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37245F" w14:paraId="3C51A9B4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940511" w14:textId="77777777" w:rsidR="0037245F" w:rsidRDefault="00EC3A86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389337EA" w14:textId="77777777" w:rsidR="0037245F" w:rsidRDefault="0037245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2D4E494" w14:textId="77777777" w:rsidR="0037245F" w:rsidRDefault="0037245F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37245F" w14:paraId="1764A5ED" w14:textId="77777777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3E8311E" w14:textId="77777777" w:rsidR="0037245F" w:rsidRDefault="00EC3A86">
            <w:pPr>
              <w:spacing w:before="0"/>
              <w:jc w:val="left"/>
              <w:rPr>
                <w:szCs w:val="24"/>
              </w:rPr>
            </w:pPr>
            <w:r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DB10466" w14:textId="77777777" w:rsidR="0037245F" w:rsidRDefault="00EC3A86">
            <w:pPr>
              <w:spacing w:befor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CACE/1050</w:t>
            </w:r>
          </w:p>
        </w:tc>
        <w:tc>
          <w:tcPr>
            <w:tcW w:w="2835" w:type="dxa"/>
            <w:shd w:val="clear" w:color="auto" w:fill="auto"/>
          </w:tcPr>
          <w:p w14:paraId="2B026EE2" w14:textId="77777777" w:rsidR="0037245F" w:rsidRDefault="00EC3A86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eastAsia="zh-CN"/>
              </w:rPr>
              <w:t>2023</w:t>
            </w:r>
            <w:r>
              <w:rPr>
                <w:rFonts w:ascii="SimSun" w:hAnsi="SimSun" w:hint="eastAsia"/>
                <w:szCs w:val="24"/>
                <w:lang w:eastAsia="zh-CN"/>
              </w:rPr>
              <w:t>年</w:t>
            </w:r>
            <w:r>
              <w:rPr>
                <w:rFonts w:asciiTheme="minorHAnsi" w:hAnsiTheme="minorHAnsi" w:cstheme="minorHAnsi"/>
                <w:szCs w:val="24"/>
                <w:lang w:eastAsia="zh-CN"/>
              </w:rPr>
              <w:t>2</w:t>
            </w:r>
            <w:r>
              <w:rPr>
                <w:rFonts w:ascii="SimSun" w:hAnsi="SimSun" w:hint="eastAsia"/>
                <w:szCs w:val="24"/>
                <w:lang w:eastAsia="zh-CN"/>
              </w:rPr>
              <w:t>月</w:t>
            </w:r>
            <w:r>
              <w:rPr>
                <w:rFonts w:hint="eastAsia"/>
                <w:szCs w:val="24"/>
                <w:lang w:eastAsia="zh-CN"/>
              </w:rPr>
              <w:t>10</w:t>
            </w:r>
            <w:r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37245F" w14:paraId="6CACC9CB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3E3610" w14:textId="77777777" w:rsidR="0037245F" w:rsidRDefault="0037245F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245F" w14:paraId="44E8430B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C6639D" w14:textId="77777777" w:rsidR="0037245F" w:rsidRDefault="0037245F">
            <w:pPr>
              <w:spacing w:before="0"/>
              <w:jc w:val="left"/>
              <w:rPr>
                <w:szCs w:val="24"/>
              </w:rPr>
            </w:pPr>
          </w:p>
        </w:tc>
      </w:tr>
      <w:tr w:rsidR="0037245F" w14:paraId="0C1EDA9C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D60E200" w14:textId="77777777" w:rsidR="0037245F" w:rsidRDefault="00EC3A86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  <w:r>
              <w:rPr>
                <w:rFonts w:ascii="SimSun" w:hAnsi="SimSun" w:hint="eastAsia"/>
                <w:b/>
                <w:lang w:eastAsia="zh-CN"/>
              </w:rPr>
              <w:t>、无线电通信部门成员和观察员</w:t>
            </w:r>
          </w:p>
          <w:p w14:paraId="28CAEE25" w14:textId="77777777" w:rsidR="0037245F" w:rsidRDefault="0037245F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37245F" w14:paraId="44312764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6B54BFF" w14:textId="77777777" w:rsidR="0037245F" w:rsidRDefault="0037245F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37245F" w14:paraId="0117BA2A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CC0F22F" w14:textId="77777777" w:rsidR="0037245F" w:rsidRDefault="0037245F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37245F" w14:paraId="66965980" w14:textId="77777777">
        <w:trPr>
          <w:jc w:val="center"/>
        </w:trPr>
        <w:tc>
          <w:tcPr>
            <w:tcW w:w="1526" w:type="dxa"/>
            <w:shd w:val="clear" w:color="auto" w:fill="auto"/>
          </w:tcPr>
          <w:p w14:paraId="064D7C82" w14:textId="77777777" w:rsidR="0037245F" w:rsidRDefault="00EC3A86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5AE30E3" w14:textId="77777777" w:rsidR="0037245F" w:rsidRDefault="00EC3A86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2023</w:t>
            </w: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eastAsia="zh-CN" w:bidi="ar-EG"/>
              </w:rPr>
              <w:t>无线电通信全会（</w:t>
            </w:r>
            <w:r>
              <w:rPr>
                <w:rFonts w:hint="eastAsia"/>
                <w:b/>
                <w:bCs/>
                <w:lang w:eastAsia="zh-CN" w:bidi="ar-EG"/>
              </w:rPr>
              <w:t>RA-23</w:t>
            </w:r>
            <w:r>
              <w:rPr>
                <w:rFonts w:hint="eastAsia"/>
                <w:b/>
                <w:bCs/>
                <w:lang w:eastAsia="zh-CN" w:bidi="ar-EG"/>
              </w:rPr>
              <w:t>）</w:t>
            </w:r>
          </w:p>
        </w:tc>
      </w:tr>
      <w:tr w:rsidR="0037245F" w14:paraId="5DE5C584" w14:textId="77777777">
        <w:trPr>
          <w:jc w:val="center"/>
        </w:trPr>
        <w:tc>
          <w:tcPr>
            <w:tcW w:w="1526" w:type="dxa"/>
            <w:shd w:val="clear" w:color="auto" w:fill="auto"/>
          </w:tcPr>
          <w:p w14:paraId="30F466B5" w14:textId="77777777" w:rsidR="0037245F" w:rsidRDefault="0037245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B14F41D" w14:textId="77777777" w:rsidR="0037245F" w:rsidRDefault="0037245F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37245F" w14:paraId="0632EDDB" w14:textId="77777777">
        <w:trPr>
          <w:jc w:val="center"/>
        </w:trPr>
        <w:tc>
          <w:tcPr>
            <w:tcW w:w="1526" w:type="dxa"/>
            <w:shd w:val="clear" w:color="auto" w:fill="auto"/>
          </w:tcPr>
          <w:p w14:paraId="52D72FA5" w14:textId="77777777" w:rsidR="0037245F" w:rsidRDefault="0037245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44BACDA" w14:textId="77777777" w:rsidR="0037245F" w:rsidRDefault="0037245F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37245F" w14:paraId="07F11DEF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ADBA90C" w14:textId="77777777" w:rsidR="0037245F" w:rsidRDefault="0037245F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37245F" w14:paraId="122E4775" w14:textId="7777777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1614F1" w14:textId="77777777" w:rsidR="0037245F" w:rsidRDefault="0037245F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14:paraId="1478082E" w14:textId="77777777" w:rsidR="0037245F" w:rsidRDefault="00EC3A86">
      <w:pPr>
        <w:pStyle w:val="Normalaftertitle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秘书长在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>日发布</w:t>
      </w:r>
      <w:r>
        <w:rPr>
          <w:lang w:eastAsia="zh-CN"/>
        </w:rPr>
        <w:t>的</w:t>
      </w:r>
      <w:r>
        <w:rPr>
          <w:lang w:eastAsia="zh-CN"/>
        </w:rPr>
        <w:t>CL-22/42</w:t>
      </w:r>
      <w:r>
        <w:rPr>
          <w:rFonts w:hint="eastAsia"/>
          <w:lang w:eastAsia="zh-CN"/>
        </w:rPr>
        <w:t>、</w:t>
      </w:r>
      <w:r>
        <w:rPr>
          <w:lang w:eastAsia="zh-CN"/>
        </w:rPr>
        <w:t>DM-22/1013</w:t>
      </w:r>
      <w:r>
        <w:rPr>
          <w:rFonts w:hint="eastAsia"/>
          <w:lang w:eastAsia="zh-CN"/>
        </w:rPr>
        <w:t>、</w:t>
      </w:r>
      <w:r>
        <w:rPr>
          <w:lang w:eastAsia="zh-CN"/>
        </w:rPr>
        <w:t>DM-22/1014</w:t>
      </w:r>
      <w:r>
        <w:rPr>
          <w:rFonts w:hint="eastAsia"/>
          <w:lang w:eastAsia="zh-CN"/>
        </w:rPr>
        <w:t>和</w:t>
      </w:r>
      <w:r>
        <w:rPr>
          <w:lang w:eastAsia="zh-CN"/>
        </w:rPr>
        <w:t>DM</w:t>
      </w:r>
      <w:r>
        <w:rPr>
          <w:lang w:eastAsia="zh-CN"/>
        </w:rPr>
        <w:noBreakHyphen/>
        <w:t>22/1015</w:t>
      </w:r>
      <w:r>
        <w:rPr>
          <w:rFonts w:hint="eastAsia"/>
          <w:lang w:eastAsia="zh-CN"/>
        </w:rPr>
        <w:t>号通函中宣布，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年无线电通信全会将在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年世界无线电通信大会（</w:t>
      </w:r>
      <w:r>
        <w:rPr>
          <w:rFonts w:hint="eastAsia"/>
          <w:lang w:eastAsia="zh-CN"/>
        </w:rPr>
        <w:t>WRC-23</w:t>
      </w:r>
      <w:r>
        <w:rPr>
          <w:rFonts w:hint="eastAsia"/>
          <w:lang w:eastAsia="zh-CN"/>
        </w:rPr>
        <w:t>）前夕于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日在位于阿拉伯联合酋长国（阿联酋）迪拜市的迪拜世界贸易中心召开。本行政通函的目的是提供更多关于此届全会的细节，以帮助与会者进行筹备工作。这些细节</w:t>
      </w:r>
      <w:r>
        <w:rPr>
          <w:lang w:eastAsia="zh-CN"/>
        </w:rPr>
        <w:t>见</w:t>
      </w:r>
      <w:r>
        <w:rPr>
          <w:b/>
          <w:bCs/>
          <w:lang w:eastAsia="zh-CN"/>
        </w:rPr>
        <w:t>附件</w:t>
      </w:r>
      <w:r>
        <w:rPr>
          <w:rFonts w:hint="eastAsia"/>
          <w:b/>
          <w:bCs/>
          <w:lang w:eastAsia="zh-CN"/>
        </w:rPr>
        <w:t>1</w:t>
      </w:r>
      <w:r>
        <w:rPr>
          <w:rFonts w:hint="eastAsia"/>
          <w:lang w:eastAsia="zh-CN"/>
        </w:rPr>
        <w:t>。</w:t>
      </w:r>
    </w:p>
    <w:p w14:paraId="5BDE9AC9" w14:textId="77777777" w:rsidR="0037245F" w:rsidRDefault="00EC3A8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1-8</w:t>
      </w:r>
      <w:r>
        <w:rPr>
          <w:rFonts w:hint="eastAsia"/>
          <w:lang w:eastAsia="zh-CN"/>
        </w:rPr>
        <w:t>号决议第</w:t>
      </w:r>
      <w:r>
        <w:rPr>
          <w:lang w:eastAsia="zh-CN"/>
        </w:rPr>
        <w:t>A1.2.2.1</w:t>
      </w:r>
      <w:r>
        <w:rPr>
          <w:rFonts w:hint="eastAsia"/>
          <w:lang w:eastAsia="zh-CN"/>
        </w:rPr>
        <w:t>段，无线电通信全会将通过建立多个委员会开展工作。</w:t>
      </w:r>
      <w:r>
        <w:rPr>
          <w:rFonts w:hint="eastAsia"/>
          <w:b/>
          <w:lang w:eastAsia="zh-CN"/>
        </w:rPr>
        <w:t>附件</w:t>
      </w:r>
      <w:r>
        <w:rPr>
          <w:b/>
          <w:lang w:eastAsia="zh-CN"/>
        </w:rPr>
        <w:t>2</w:t>
      </w:r>
      <w:r>
        <w:rPr>
          <w:rFonts w:hint="eastAsia"/>
          <w:lang w:eastAsia="zh-CN"/>
        </w:rPr>
        <w:t>概要介绍了各委员会的临时结构，在全会开幕前代表团团长们将对该结构进行审议。</w:t>
      </w:r>
    </w:p>
    <w:p w14:paraId="05E4F534" w14:textId="77777777" w:rsidR="0037245F" w:rsidRDefault="00EC3A86">
      <w:pPr>
        <w:ind w:firstLineChars="200" w:firstLine="480"/>
        <w:rPr>
          <w:rFonts w:hAnsi="SimSun"/>
          <w:lang w:eastAsia="zh-CN"/>
        </w:rPr>
      </w:pPr>
      <w:r>
        <w:rPr>
          <w:rFonts w:hAnsi="SimSun" w:hint="eastAsia"/>
          <w:lang w:eastAsia="zh-CN"/>
        </w:rPr>
        <w:t>开幕会议将于</w:t>
      </w:r>
      <w:r>
        <w:rPr>
          <w:rFonts w:hAnsi="SimSun" w:hint="eastAsia"/>
          <w:lang w:eastAsia="zh-CN"/>
        </w:rPr>
        <w:t>2023</w:t>
      </w:r>
      <w:r>
        <w:rPr>
          <w:rFonts w:hAnsi="SimSun" w:hint="eastAsia"/>
          <w:lang w:eastAsia="zh-CN"/>
        </w:rPr>
        <w:t>年</w:t>
      </w:r>
      <w:r>
        <w:rPr>
          <w:rFonts w:hAnsi="SimSun" w:hint="eastAsia"/>
          <w:lang w:eastAsia="zh-CN"/>
        </w:rPr>
        <w:t>11</w:t>
      </w:r>
      <w:r>
        <w:rPr>
          <w:rFonts w:hAnsi="SimSun" w:hint="eastAsia"/>
          <w:lang w:eastAsia="zh-CN"/>
        </w:rPr>
        <w:t>月</w:t>
      </w:r>
      <w:r>
        <w:rPr>
          <w:rFonts w:hAnsi="SimSun" w:hint="eastAsia"/>
          <w:lang w:eastAsia="zh-CN"/>
        </w:rPr>
        <w:t>13</w:t>
      </w:r>
      <w:r>
        <w:rPr>
          <w:rFonts w:hAnsi="SimSun" w:hint="eastAsia"/>
          <w:lang w:eastAsia="zh-CN"/>
        </w:rPr>
        <w:t>日（星期一）上午</w:t>
      </w:r>
      <w:r>
        <w:rPr>
          <w:rFonts w:hAnsi="SimSun" w:hint="eastAsia"/>
          <w:lang w:eastAsia="zh-CN"/>
        </w:rPr>
        <w:t>10</w:t>
      </w:r>
      <w:r>
        <w:rPr>
          <w:rFonts w:hAnsi="SimSun" w:hint="eastAsia"/>
          <w:lang w:eastAsia="zh-CN"/>
        </w:rPr>
        <w:t>时开始，在此之前将于</w:t>
      </w:r>
      <w:r>
        <w:rPr>
          <w:rFonts w:hAnsi="SimSun" w:hint="eastAsia"/>
          <w:lang w:eastAsia="zh-CN"/>
        </w:rPr>
        <w:t>9</w:t>
      </w:r>
      <w:r>
        <w:rPr>
          <w:rFonts w:hAnsi="SimSun" w:hint="eastAsia"/>
          <w:lang w:eastAsia="zh-CN"/>
        </w:rPr>
        <w:t>时召开代表团团长会议。</w:t>
      </w:r>
    </w:p>
    <w:p w14:paraId="3B9F79BF" w14:textId="77777777" w:rsidR="0037245F" w:rsidRDefault="00EC3A86">
      <w:pPr>
        <w:ind w:firstLineChars="200" w:firstLine="480"/>
      </w:pPr>
      <w:r>
        <w:rPr>
          <w:rFonts w:hint="eastAsia"/>
          <w:lang w:eastAsia="zh-CN"/>
        </w:rPr>
        <w:t>如有任何与</w:t>
      </w:r>
      <w:r>
        <w:t>RA</w:t>
      </w:r>
      <w:r>
        <w:noBreakHyphen/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相关的一般性问题，请联系：</w:t>
      </w:r>
      <w:hyperlink r:id="rId7" w:history="1">
        <w:r>
          <w:rPr>
            <w:rStyle w:val="Hyperlink"/>
          </w:rPr>
          <w:t>ra23contact@itu.int</w:t>
        </w:r>
      </w:hyperlink>
      <w:r>
        <w:t>。</w:t>
      </w:r>
    </w:p>
    <w:p w14:paraId="700E7484" w14:textId="77777777" w:rsidR="0037245F" w:rsidRDefault="0037245F">
      <w:pPr>
        <w:rPr>
          <w:rFonts w:asciiTheme="minorHAnsi" w:hAnsiTheme="minorHAnsi" w:cstheme="minorHAnsi"/>
          <w:szCs w:val="24"/>
          <w:lang w:eastAsia="zh-CN"/>
        </w:rPr>
      </w:pPr>
    </w:p>
    <w:p w14:paraId="7598EDE0" w14:textId="77777777" w:rsidR="0037245F" w:rsidRDefault="0037245F">
      <w:pPr>
        <w:rPr>
          <w:rFonts w:asciiTheme="minorHAnsi" w:hAnsiTheme="minorHAnsi" w:cstheme="minorHAnsi"/>
          <w:szCs w:val="24"/>
          <w:lang w:eastAsia="zh-CN"/>
        </w:rPr>
      </w:pPr>
    </w:p>
    <w:p w14:paraId="06EAA962" w14:textId="77777777" w:rsidR="0037245F" w:rsidRDefault="0037245F">
      <w:pPr>
        <w:rPr>
          <w:rFonts w:asciiTheme="minorHAnsi" w:hAnsiTheme="minorHAnsi" w:cstheme="minorHAnsi"/>
          <w:szCs w:val="24"/>
          <w:lang w:eastAsia="zh-CN"/>
        </w:rPr>
      </w:pPr>
    </w:p>
    <w:p w14:paraId="7370C394" w14:textId="77777777" w:rsidR="0037245F" w:rsidRDefault="00EC3A86">
      <w:pPr>
        <w:spacing w:before="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  <w:r>
        <w:rPr>
          <w:rFonts w:asciiTheme="majorEastAsia" w:eastAsiaTheme="majorEastAsia" w:hAnsiTheme="majorEastAsia" w:hint="eastAsia"/>
          <w:szCs w:val="24"/>
          <w:lang w:eastAsia="zh-CN"/>
        </w:rPr>
        <w:t>主任</w:t>
      </w:r>
      <w:r w:rsidRPr="00287E4F">
        <w:rPr>
          <w:rFonts w:asciiTheme="majorEastAsia" w:eastAsiaTheme="majorEastAsia" w:hAnsiTheme="majorEastAsia"/>
          <w:szCs w:val="24"/>
          <w:lang w:eastAsia="zh-CN"/>
        </w:rPr>
        <w:br/>
      </w:r>
      <w:r>
        <w:rPr>
          <w:rFonts w:hint="eastAsia"/>
          <w:lang w:eastAsia="zh-CN"/>
        </w:rPr>
        <w:t>马里奥·马尼维奇</w:t>
      </w:r>
    </w:p>
    <w:p w14:paraId="480C00B2" w14:textId="77777777" w:rsidR="0037245F" w:rsidRDefault="00EC3A86" w:rsidP="00DE001A">
      <w:pPr>
        <w:spacing w:before="1560"/>
        <w:rPr>
          <w:lang w:eastAsia="zh-CN"/>
        </w:rPr>
      </w:pPr>
      <w:r>
        <w:rPr>
          <w:rFonts w:hint="eastAsia"/>
          <w:b/>
          <w:lang w:eastAsia="zh-CN"/>
        </w:rPr>
        <w:t>附件</w:t>
      </w:r>
      <w:r>
        <w:rPr>
          <w:rFonts w:hint="eastAsia"/>
          <w:b/>
          <w:lang w:eastAsia="zh-CN"/>
        </w:rPr>
        <w:t>1</w:t>
      </w:r>
      <w:r>
        <w:rPr>
          <w:rFonts w:hint="eastAsia"/>
          <w:b/>
          <w:lang w:eastAsia="zh-CN"/>
        </w:rPr>
        <w:t>：</w:t>
      </w:r>
      <w:r>
        <w:rPr>
          <w:rFonts w:hint="eastAsia"/>
          <w:lang w:eastAsia="zh-CN"/>
        </w:rPr>
        <w:t>有关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年无线电通信全会的组织</w:t>
      </w:r>
      <w:r>
        <w:rPr>
          <w:lang w:eastAsia="zh-CN"/>
        </w:rPr>
        <w:t>工</w:t>
      </w:r>
      <w:bookmarkStart w:id="0" w:name="_GoBack"/>
      <w:bookmarkEnd w:id="0"/>
      <w:r>
        <w:rPr>
          <w:lang w:eastAsia="zh-CN"/>
        </w:rPr>
        <w:t>作</w:t>
      </w:r>
      <w:r>
        <w:rPr>
          <w:rFonts w:hint="eastAsia"/>
          <w:lang w:eastAsia="zh-CN"/>
        </w:rPr>
        <w:t>以</w:t>
      </w:r>
      <w:r>
        <w:rPr>
          <w:lang w:eastAsia="zh-CN"/>
        </w:rPr>
        <w:t>及出席全会</w:t>
      </w:r>
      <w:r>
        <w:rPr>
          <w:rFonts w:hint="eastAsia"/>
          <w:lang w:eastAsia="zh-CN"/>
        </w:rPr>
        <w:t>的细节</w:t>
      </w:r>
    </w:p>
    <w:p w14:paraId="0F83974A" w14:textId="77777777" w:rsidR="0037245F" w:rsidRDefault="00EC3A86">
      <w:pPr>
        <w:rPr>
          <w:rFonts w:asciiTheme="minorHAnsi" w:hAnsiTheme="minorHAnsi" w:cstheme="minorHAnsi"/>
          <w:szCs w:val="24"/>
          <w:lang w:eastAsia="zh-CN"/>
        </w:rPr>
      </w:pPr>
      <w:r>
        <w:rPr>
          <w:rFonts w:hint="eastAsia"/>
          <w:b/>
          <w:lang w:eastAsia="zh-CN"/>
        </w:rPr>
        <w:t>附件</w:t>
      </w:r>
      <w:r>
        <w:rPr>
          <w:rFonts w:hint="eastAsia"/>
          <w:b/>
          <w:lang w:eastAsia="zh-CN"/>
        </w:rPr>
        <w:t>2</w:t>
      </w:r>
      <w:r>
        <w:rPr>
          <w:rFonts w:hint="eastAsia"/>
          <w:b/>
          <w:lang w:eastAsia="zh-CN"/>
        </w:rPr>
        <w:t>：</w:t>
      </w:r>
      <w:r>
        <w:rPr>
          <w:rFonts w:hint="eastAsia"/>
          <w:lang w:eastAsia="zh-CN"/>
        </w:rPr>
        <w:t>有关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年无线电通信全会组织工作的建议</w:t>
      </w:r>
    </w:p>
    <w:p w14:paraId="464FB791" w14:textId="77777777" w:rsidR="0037245F" w:rsidRDefault="00EC3A86">
      <w:pPr>
        <w:pStyle w:val="enumlev1"/>
        <w:tabs>
          <w:tab w:val="clear" w:pos="794"/>
          <w:tab w:val="left" w:pos="284"/>
        </w:tabs>
        <w:spacing w:before="0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7B420CAA" w14:textId="77777777" w:rsidR="0037245F" w:rsidRPr="00287E4F" w:rsidRDefault="00EC3A86">
      <w:pPr>
        <w:pStyle w:val="AnnexNo"/>
        <w:rPr>
          <w:b/>
          <w:bCs/>
          <w:lang w:val="en-US" w:eastAsia="zh-CN"/>
        </w:rPr>
      </w:pPr>
      <w:r>
        <w:rPr>
          <w:rFonts w:hint="eastAsia"/>
          <w:b/>
          <w:bCs/>
          <w:lang w:val="fr-CH" w:eastAsia="zh-CN"/>
        </w:rPr>
        <w:lastRenderedPageBreak/>
        <w:t>附件</w:t>
      </w:r>
      <w:r w:rsidRPr="00287E4F">
        <w:rPr>
          <w:rFonts w:hint="eastAsia"/>
          <w:b/>
          <w:bCs/>
          <w:lang w:val="en-US" w:eastAsia="zh-CN"/>
        </w:rPr>
        <w:t>1</w:t>
      </w:r>
    </w:p>
    <w:p w14:paraId="2FECD18A" w14:textId="77777777" w:rsidR="0037245F" w:rsidRPr="00287E4F" w:rsidRDefault="00EC3A86">
      <w:pPr>
        <w:pStyle w:val="Annextitle"/>
        <w:rPr>
          <w:lang w:val="en-US" w:eastAsia="zh-CN"/>
        </w:rPr>
      </w:pPr>
      <w:r>
        <w:rPr>
          <w:rFonts w:hint="eastAsia"/>
          <w:lang w:eastAsia="zh-CN"/>
        </w:rPr>
        <w:t>有关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年无线电通信全会的组织工作以及出席全会的细节</w:t>
      </w:r>
    </w:p>
    <w:p w14:paraId="2B2F77AC" w14:textId="77777777" w:rsidR="0037245F" w:rsidRDefault="00EC3A86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无线电</w:t>
      </w:r>
      <w:r>
        <w:rPr>
          <w:lang w:eastAsia="zh-CN"/>
        </w:rPr>
        <w:t>通信全会的</w:t>
      </w:r>
      <w:r>
        <w:rPr>
          <w:rFonts w:hint="eastAsia"/>
          <w:lang w:eastAsia="zh-CN"/>
        </w:rPr>
        <w:t>责任</w:t>
      </w:r>
      <w:r>
        <w:rPr>
          <w:lang w:eastAsia="zh-CN"/>
        </w:rPr>
        <w:t>和</w:t>
      </w:r>
      <w:r>
        <w:rPr>
          <w:rFonts w:hint="eastAsia"/>
          <w:lang w:eastAsia="zh-CN"/>
        </w:rPr>
        <w:t>职能</w:t>
      </w:r>
    </w:p>
    <w:p w14:paraId="570EC179" w14:textId="77777777" w:rsidR="0037245F" w:rsidRDefault="00EC3A8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《组织法》第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条和《公约》第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条规定了无线电通信全会的责任和职能，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1-8</w:t>
      </w:r>
      <w:r>
        <w:rPr>
          <w:rFonts w:hint="eastAsia"/>
          <w:lang w:eastAsia="zh-CN"/>
        </w:rPr>
        <w:t>号决议第</w:t>
      </w:r>
      <w:r>
        <w:rPr>
          <w:lang w:eastAsia="zh-CN"/>
        </w:rPr>
        <w:t>A1.2</w:t>
      </w:r>
      <w:r>
        <w:rPr>
          <w:rFonts w:hint="eastAsia"/>
          <w:lang w:eastAsia="zh-CN"/>
        </w:rPr>
        <w:t>段描述了全会的工作方法。</w:t>
      </w:r>
    </w:p>
    <w:p w14:paraId="6C211D70" w14:textId="77777777" w:rsidR="0037245F" w:rsidRDefault="00EC3A86">
      <w:pPr>
        <w:pStyle w:val="Heading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筹备</w:t>
      </w:r>
      <w:r>
        <w:rPr>
          <w:lang w:eastAsia="zh-CN"/>
        </w:rPr>
        <w:t>文件</w:t>
      </w:r>
    </w:p>
    <w:p w14:paraId="4D7353C3" w14:textId="77777777" w:rsidR="0037245F" w:rsidRDefault="00EC3A8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1-8</w:t>
      </w:r>
      <w:r>
        <w:rPr>
          <w:rFonts w:hint="eastAsia"/>
          <w:lang w:eastAsia="zh-CN"/>
        </w:rPr>
        <w:t>号决议第</w:t>
      </w:r>
      <w:r>
        <w:rPr>
          <w:lang w:eastAsia="zh-CN"/>
        </w:rPr>
        <w:t>A2.2.1</w:t>
      </w:r>
      <w:r>
        <w:rPr>
          <w:rFonts w:hint="eastAsia"/>
          <w:lang w:eastAsia="zh-CN"/>
        </w:rPr>
        <w:t>段，下列文件将作为本届全会的筹备文件：</w:t>
      </w:r>
    </w:p>
    <w:p w14:paraId="5C614644" w14:textId="77777777" w:rsidR="0037245F" w:rsidRDefault="00EC3A8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研究组起草的有待批准的文本草案；</w:t>
      </w:r>
    </w:p>
    <w:p w14:paraId="1AD18429" w14:textId="77777777" w:rsidR="0037245F" w:rsidRDefault="00EC3A8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各研究组、特委会、词汇协调委员会、无线电通信顾问组</w:t>
      </w:r>
      <w:r>
        <w:rPr>
          <w:rStyle w:val="FootnoteReference"/>
        </w:rPr>
        <w:footnoteReference w:id="1"/>
      </w:r>
      <w:r>
        <w:rPr>
          <w:rFonts w:hint="eastAsia"/>
          <w:lang w:eastAsia="zh-CN"/>
        </w:rPr>
        <w:t>和</w:t>
      </w:r>
      <w:r>
        <w:rPr>
          <w:lang w:eastAsia="zh-CN"/>
        </w:rPr>
        <w:t>CPM</w:t>
      </w:r>
      <w:r>
        <w:rPr>
          <w:rFonts w:hint="eastAsia"/>
          <w:lang w:eastAsia="zh-CN"/>
        </w:rPr>
        <w:t>主席有关回顾自上次无线电通信全会以来活动的报告，包括研究组主席提交的一份有关以下内容的清单：</w:t>
      </w:r>
    </w:p>
    <w:p w14:paraId="72C7CA1F" w14:textId="77777777" w:rsidR="0037245F" w:rsidRDefault="00EC3A86">
      <w:pPr>
        <w:pStyle w:val="enumlev2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确定需要转到下一研究周期的议题；</w:t>
      </w:r>
    </w:p>
    <w:p w14:paraId="75A1EE0F" w14:textId="77777777" w:rsidR="0037245F" w:rsidRDefault="00EC3A86">
      <w:pPr>
        <w:pStyle w:val="enumlev2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在</w:t>
      </w:r>
      <w:r>
        <w:rPr>
          <w:lang w:eastAsia="zh-CN"/>
        </w:rPr>
        <w:t>（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1-8</w:t>
      </w:r>
      <w:r>
        <w:rPr>
          <w:rFonts w:hint="eastAsia"/>
          <w:lang w:eastAsia="zh-CN"/>
        </w:rPr>
        <w:t>号决议</w:t>
      </w:r>
      <w:r>
        <w:rPr>
          <w:lang w:eastAsia="zh-CN"/>
        </w:rPr>
        <w:t>）</w:t>
      </w: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第</w:t>
      </w:r>
      <w:r>
        <w:rPr>
          <w:lang w:eastAsia="zh-CN"/>
        </w:rPr>
        <w:t>A1.2.1.1</w:t>
      </w:r>
      <w:r>
        <w:rPr>
          <w:rFonts w:hint="eastAsia"/>
          <w:lang w:eastAsia="zh-CN"/>
        </w:rPr>
        <w:t>段所述期间内未收到输入文件的课题和决议。如研究组认为应当保留某个课题或决议，则主席必须在其报告中解释说明；</w:t>
      </w:r>
    </w:p>
    <w:p w14:paraId="6036BDBE" w14:textId="77777777" w:rsidR="0037245F" w:rsidRDefault="00EC3A8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主任起草的报告，其中应包括对未来工作计划的建议；</w:t>
      </w:r>
    </w:p>
    <w:p w14:paraId="2F1A0B73" w14:textId="77777777" w:rsidR="0037245F" w:rsidRDefault="00EC3A8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自上届无线电通信全会以来所通过建议书的清单；</w:t>
      </w:r>
    </w:p>
    <w:p w14:paraId="1536040F" w14:textId="77777777" w:rsidR="0037245F" w:rsidRDefault="00EC3A86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>
        <w:rPr>
          <w:rFonts w:hint="eastAsia"/>
          <w:lang w:eastAsia="zh-CN"/>
        </w:rPr>
        <w:t>成员国和部门成员提交给无线电通信全会的文稿。</w:t>
      </w:r>
    </w:p>
    <w:p w14:paraId="54467FA6" w14:textId="77777777" w:rsidR="0037245F" w:rsidRDefault="00EC3A86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文稿</w:t>
      </w:r>
    </w:p>
    <w:p w14:paraId="2F9BF918" w14:textId="77777777" w:rsidR="0037245F" w:rsidRDefault="00EC3A86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提交无线电全会的文稿将按照</w:t>
      </w:r>
      <w:hyperlink r:id="rId8" w:history="1">
        <w:r>
          <w:rPr>
            <w:rStyle w:val="Hyperlink"/>
            <w:szCs w:val="24"/>
            <w:lang w:eastAsia="zh-CN"/>
          </w:rPr>
          <w:t>ITU-R</w:t>
        </w:r>
        <w:r>
          <w:rPr>
            <w:rStyle w:val="Hyperlink"/>
            <w:szCs w:val="24"/>
            <w:lang w:eastAsia="zh-CN"/>
          </w:rPr>
          <w:t>第</w:t>
        </w:r>
        <w:r>
          <w:rPr>
            <w:rStyle w:val="Hyperlink"/>
            <w:rFonts w:hint="eastAsia"/>
            <w:szCs w:val="24"/>
            <w:lang w:eastAsia="zh-CN"/>
          </w:rPr>
          <w:t>1-8</w:t>
        </w:r>
        <w:r>
          <w:rPr>
            <w:rStyle w:val="Hyperlink"/>
            <w:rFonts w:hint="eastAsia"/>
            <w:szCs w:val="24"/>
            <w:lang w:eastAsia="zh-CN"/>
          </w:rPr>
          <w:t>号决议</w:t>
        </w:r>
      </w:hyperlink>
      <w:r>
        <w:rPr>
          <w:rFonts w:hint="eastAsia"/>
          <w:lang w:eastAsia="zh-CN"/>
        </w:rPr>
        <w:t>的规定以及在此所述的无线电通信全会工作方法</w:t>
      </w:r>
      <w:hyperlink r:id="rId9" w:history="1">
        <w:r>
          <w:rPr>
            <w:rStyle w:val="Hyperlink"/>
            <w:szCs w:val="24"/>
            <w:lang w:eastAsia="zh-CN"/>
          </w:rPr>
          <w:t>导则</w:t>
        </w:r>
      </w:hyperlink>
      <w:r>
        <w:rPr>
          <w:rFonts w:hint="eastAsia"/>
          <w:lang w:eastAsia="zh-CN"/>
        </w:rPr>
        <w:t>进行处理。根据第</w:t>
      </w:r>
      <w:r>
        <w:rPr>
          <w:rFonts w:hint="eastAsia"/>
          <w:lang w:eastAsia="zh-CN"/>
        </w:rPr>
        <w:t>165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201</w:t>
      </w:r>
      <w:r>
        <w:rPr>
          <w:lang w:eastAsia="zh-CN"/>
        </w:rPr>
        <w:t>8</w:t>
      </w:r>
      <w:r>
        <w:rPr>
          <w:rFonts w:hint="eastAsia"/>
          <w:lang w:eastAsia="zh-CN"/>
        </w:rPr>
        <w:t>年，迪拜，修订版）的规定，为确保及时翻译并充分审议提交</w:t>
      </w:r>
      <w:r>
        <w:rPr>
          <w:rFonts w:hint="eastAsia"/>
          <w:lang w:eastAsia="zh-CN"/>
        </w:rPr>
        <w:t>RA-23</w:t>
      </w:r>
      <w:r>
        <w:rPr>
          <w:rFonts w:hint="eastAsia"/>
          <w:lang w:eastAsia="zh-CN"/>
        </w:rPr>
        <w:t>的文件，各成员国和部门成员应</w:t>
      </w:r>
      <w:r>
        <w:rPr>
          <w:rFonts w:hint="eastAsia"/>
          <w:b/>
          <w:bCs/>
          <w:lang w:eastAsia="zh-CN"/>
        </w:rPr>
        <w:t>在全会开幕的二十一</w:t>
      </w:r>
      <w:r>
        <w:rPr>
          <w:b/>
          <w:bCs/>
          <w:lang w:eastAsia="zh-CN"/>
        </w:rPr>
        <w:t>(21)</w:t>
      </w:r>
      <w:r>
        <w:rPr>
          <w:rFonts w:hint="eastAsia"/>
          <w:b/>
          <w:bCs/>
          <w:lang w:eastAsia="zh-CN"/>
        </w:rPr>
        <w:t>个日历日前提交文稿（截止日期</w:t>
      </w:r>
      <w:r>
        <w:rPr>
          <w:b/>
          <w:bCs/>
          <w:lang w:eastAsia="zh-CN"/>
        </w:rPr>
        <w:t>是</w:t>
      </w:r>
      <w:r>
        <w:rPr>
          <w:rFonts w:hint="eastAsia"/>
          <w:b/>
          <w:bCs/>
          <w:lang w:eastAsia="zh-CN"/>
        </w:rPr>
        <w:t>2023</w:t>
      </w:r>
      <w:r>
        <w:rPr>
          <w:rFonts w:hint="eastAsia"/>
          <w:b/>
          <w:bCs/>
          <w:lang w:eastAsia="zh-CN"/>
        </w:rPr>
        <w:t>年</w:t>
      </w:r>
      <w:r>
        <w:rPr>
          <w:rFonts w:hint="eastAsia"/>
          <w:b/>
          <w:bCs/>
          <w:lang w:eastAsia="zh-CN"/>
        </w:rPr>
        <w:t>10</w:t>
      </w:r>
      <w:r>
        <w:rPr>
          <w:rFonts w:hint="eastAsia"/>
          <w:b/>
          <w:bCs/>
          <w:lang w:eastAsia="zh-CN"/>
        </w:rPr>
        <w:t>月</w:t>
      </w:r>
      <w:r>
        <w:rPr>
          <w:rFonts w:hint="eastAsia"/>
          <w:b/>
          <w:bCs/>
          <w:lang w:eastAsia="zh-CN"/>
        </w:rPr>
        <w:t>23</w:t>
      </w:r>
      <w:r>
        <w:rPr>
          <w:rFonts w:hint="eastAsia"/>
          <w:b/>
          <w:bCs/>
          <w:lang w:eastAsia="zh-CN"/>
        </w:rPr>
        <w:t>日）。</w:t>
      </w:r>
    </w:p>
    <w:p w14:paraId="0DAFD5E1" w14:textId="77777777" w:rsidR="0037245F" w:rsidRDefault="00EC3A86">
      <w:pPr>
        <w:ind w:firstLineChars="200" w:firstLine="480"/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国际电联标准文件格式的</w:t>
      </w:r>
      <w:r>
        <w:rPr>
          <w:rFonts w:hint="eastAsia"/>
          <w:szCs w:val="24"/>
        </w:rPr>
        <w:t>模板可从网址</w:t>
      </w:r>
      <w:hyperlink r:id="rId10" w:history="1">
        <w:r>
          <w:rPr>
            <w:rStyle w:val="Hyperlink"/>
            <w:szCs w:val="24"/>
          </w:rPr>
          <w:t>https://www.itu.int/oth/R0A0E0000EA</w:t>
        </w:r>
      </w:hyperlink>
      <w:r>
        <w:rPr>
          <w:rFonts w:hint="eastAsia"/>
          <w:szCs w:val="24"/>
        </w:rPr>
        <w:t>下载</w:t>
      </w:r>
      <w:r>
        <w:rPr>
          <w:rFonts w:hint="eastAsia"/>
          <w:szCs w:val="24"/>
          <w:lang w:eastAsia="zh-CN"/>
        </w:rPr>
        <w:t>。</w:t>
      </w:r>
    </w:p>
    <w:p w14:paraId="2DACC925" w14:textId="77777777" w:rsidR="0037245F" w:rsidRDefault="00EC3A86">
      <w:pPr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应当指出，按照</w:t>
      </w:r>
      <w:r>
        <w:rPr>
          <w:szCs w:val="24"/>
          <w:lang w:eastAsia="zh-CN"/>
        </w:rPr>
        <w:t>ITU-R</w:t>
      </w:r>
      <w:r>
        <w:rPr>
          <w:rFonts w:hint="eastAsia"/>
          <w:szCs w:val="24"/>
          <w:lang w:eastAsia="zh-CN"/>
        </w:rPr>
        <w:t>第</w:t>
      </w:r>
      <w:r>
        <w:rPr>
          <w:szCs w:val="24"/>
          <w:lang w:eastAsia="zh-CN"/>
        </w:rPr>
        <w:t>1</w:t>
      </w:r>
      <w:r>
        <w:rPr>
          <w:rFonts w:hint="eastAsia"/>
          <w:szCs w:val="24"/>
          <w:lang w:eastAsia="zh-CN"/>
        </w:rPr>
        <w:t>-8</w:t>
      </w:r>
      <w:r>
        <w:rPr>
          <w:rFonts w:hint="eastAsia"/>
          <w:szCs w:val="24"/>
          <w:lang w:eastAsia="zh-CN"/>
        </w:rPr>
        <w:t>号决议的规定，在会议开幕时未提供给与会者的文稿将不予审议。</w:t>
      </w:r>
    </w:p>
    <w:p w14:paraId="58AD50F4" w14:textId="77777777" w:rsidR="0037245F" w:rsidRDefault="00EC3A86">
      <w:pPr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文稿将在以下网站发布：</w:t>
      </w:r>
    </w:p>
    <w:p w14:paraId="0C07898B" w14:textId="77777777" w:rsidR="0037245F" w:rsidRDefault="00DE001A">
      <w:pPr>
        <w:spacing w:after="120"/>
        <w:jc w:val="center"/>
        <w:rPr>
          <w:rStyle w:val="Hyperlink"/>
          <w:szCs w:val="24"/>
        </w:rPr>
      </w:pPr>
      <w:hyperlink w:history="1"/>
      <w:hyperlink r:id="rId11" w:history="1">
        <w:r w:rsidR="00EC3A86">
          <w:rPr>
            <w:rStyle w:val="cf01"/>
            <w:rFonts w:asciiTheme="minorHAnsi" w:hAnsiTheme="minorHAnsi" w:cstheme="minorHAnsi"/>
            <w:color w:val="0000FF"/>
            <w:sz w:val="24"/>
            <w:szCs w:val="24"/>
            <w:u w:val="single"/>
          </w:rPr>
          <w:t>https://www.itu.int/ra-23/documents/</w:t>
        </w:r>
      </w:hyperlink>
    </w:p>
    <w:p w14:paraId="1834585D" w14:textId="77777777" w:rsidR="0037245F" w:rsidRDefault="00EC3A86">
      <w:pPr>
        <w:tabs>
          <w:tab w:val="clear" w:pos="794"/>
          <w:tab w:val="left" w:pos="567"/>
        </w:tabs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应通过电子邮件将每份文稿发送至无线电通信局：</w:t>
      </w:r>
    </w:p>
    <w:p w14:paraId="2B2EAA79" w14:textId="77777777" w:rsidR="0037245F" w:rsidRDefault="00DE001A">
      <w:pPr>
        <w:jc w:val="center"/>
        <w:rPr>
          <w:szCs w:val="24"/>
          <w:lang w:eastAsia="zh-CN"/>
        </w:rPr>
      </w:pPr>
      <w:hyperlink r:id="rId12" w:history="1"/>
      <w:hyperlink r:id="rId13" w:history="1">
        <w:r w:rsidR="00EC3A86">
          <w:rPr>
            <w:rStyle w:val="Hyperlink"/>
            <w:szCs w:val="24"/>
          </w:rPr>
          <w:t>ra23contributions@itu.int</w:t>
        </w:r>
      </w:hyperlink>
    </w:p>
    <w:p w14:paraId="384EB0C2" w14:textId="77777777" w:rsidR="0037245F" w:rsidRDefault="00EC3A86">
      <w:pPr>
        <w:pStyle w:val="Heading1"/>
        <w:spacing w:before="0"/>
        <w:rPr>
          <w:lang w:eastAsia="zh-CN"/>
        </w:rPr>
      </w:pPr>
      <w:r>
        <w:rPr>
          <w:lang w:eastAsia="zh-CN"/>
        </w:rPr>
        <w:lastRenderedPageBreak/>
        <w:t>4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文件</w:t>
      </w:r>
    </w:p>
    <w:p w14:paraId="3DDFE349" w14:textId="77777777" w:rsidR="0037245F" w:rsidRDefault="00EC3A86">
      <w:pPr>
        <w:keepLines/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根据第</w:t>
      </w:r>
      <w:r>
        <w:rPr>
          <w:rFonts w:hint="eastAsia"/>
          <w:szCs w:val="24"/>
          <w:lang w:eastAsia="zh-CN"/>
        </w:rPr>
        <w:t>5</w:t>
      </w:r>
      <w:r>
        <w:rPr>
          <w:rFonts w:hint="eastAsia"/>
          <w:szCs w:val="24"/>
          <w:lang w:eastAsia="zh-CN"/>
        </w:rPr>
        <w:t>号</w:t>
      </w:r>
      <w:r>
        <w:rPr>
          <w:szCs w:val="24"/>
          <w:lang w:eastAsia="zh-CN"/>
        </w:rPr>
        <w:t>决定</w:t>
      </w:r>
      <w:r>
        <w:rPr>
          <w:rFonts w:hint="eastAsia"/>
          <w:szCs w:val="24"/>
          <w:lang w:eastAsia="zh-CN"/>
        </w:rPr>
        <w:t>（</w:t>
      </w:r>
      <w:r>
        <w:rPr>
          <w:rFonts w:hint="eastAsia"/>
          <w:szCs w:val="24"/>
          <w:lang w:eastAsia="zh-CN"/>
        </w:rPr>
        <w:t>2022</w:t>
      </w:r>
      <w:r>
        <w:rPr>
          <w:rFonts w:hint="eastAsia"/>
          <w:szCs w:val="24"/>
          <w:lang w:eastAsia="zh-CN"/>
        </w:rPr>
        <w:t>年，布加勒斯特，修订版）附件</w:t>
      </w:r>
      <w:r>
        <w:rPr>
          <w:rFonts w:hint="eastAsia"/>
          <w:szCs w:val="24"/>
          <w:lang w:eastAsia="zh-CN"/>
        </w:rPr>
        <w:t>2</w:t>
      </w:r>
      <w:r>
        <w:rPr>
          <w:rFonts w:hint="eastAsia"/>
          <w:szCs w:val="24"/>
          <w:lang w:eastAsia="zh-CN"/>
        </w:rPr>
        <w:t>的第</w:t>
      </w:r>
      <w:r>
        <w:rPr>
          <w:rFonts w:hint="eastAsia"/>
          <w:szCs w:val="24"/>
          <w:lang w:eastAsia="zh-CN"/>
        </w:rPr>
        <w:t>10</w:t>
      </w:r>
      <w:r>
        <w:rPr>
          <w:rFonts w:hint="eastAsia"/>
          <w:szCs w:val="24"/>
          <w:lang w:eastAsia="zh-CN"/>
        </w:rPr>
        <w:t>项</w:t>
      </w:r>
      <w:r>
        <w:rPr>
          <w:szCs w:val="24"/>
          <w:lang w:eastAsia="zh-CN"/>
        </w:rPr>
        <w:t>，</w:t>
      </w:r>
      <w:r>
        <w:rPr>
          <w:rFonts w:hint="eastAsia"/>
          <w:szCs w:val="24"/>
          <w:lang w:eastAsia="zh-CN"/>
        </w:rPr>
        <w:t>为减少</w:t>
      </w:r>
      <w:r>
        <w:rPr>
          <w:szCs w:val="24"/>
          <w:lang w:eastAsia="zh-CN"/>
        </w:rPr>
        <w:t>国际电联会议文件的成本</w:t>
      </w:r>
      <w:r>
        <w:rPr>
          <w:rFonts w:hint="eastAsia"/>
          <w:szCs w:val="24"/>
          <w:lang w:eastAsia="zh-CN"/>
        </w:rPr>
        <w:t>，</w:t>
      </w:r>
      <w:r>
        <w:rPr>
          <w:rFonts w:hint="eastAsia"/>
          <w:b/>
          <w:bCs/>
          <w:szCs w:val="24"/>
          <w:lang w:eastAsia="zh-CN"/>
        </w:rPr>
        <w:t>RA-23</w:t>
      </w:r>
      <w:r>
        <w:rPr>
          <w:rFonts w:hint="eastAsia"/>
          <w:b/>
          <w:bCs/>
          <w:szCs w:val="24"/>
          <w:lang w:eastAsia="zh-CN"/>
        </w:rPr>
        <w:t>将完全实现无纸化</w:t>
      </w:r>
      <w:r>
        <w:rPr>
          <w:rFonts w:hint="eastAsia"/>
          <w:szCs w:val="24"/>
          <w:lang w:eastAsia="zh-CN"/>
        </w:rPr>
        <w:t>，但仍设有</w:t>
      </w:r>
      <w:r>
        <w:rPr>
          <w:szCs w:val="24"/>
          <w:lang w:eastAsia="zh-CN"/>
        </w:rPr>
        <w:t>打印机</w:t>
      </w:r>
      <w:r>
        <w:rPr>
          <w:rFonts w:hint="eastAsia"/>
          <w:szCs w:val="24"/>
          <w:lang w:eastAsia="zh-CN"/>
        </w:rPr>
        <w:t>，供需要现场打印的代表使用。</w:t>
      </w:r>
      <w:r>
        <w:rPr>
          <w:rFonts w:hint="eastAsia"/>
          <w:lang w:eastAsia="zh-CN"/>
        </w:rPr>
        <w:t>所有文件均将通过电子方式发布在</w:t>
      </w:r>
      <w:hyperlink r:id="rId14" w:history="1">
        <w:r>
          <w:rPr>
            <w:rStyle w:val="Hyperlink"/>
            <w:lang w:eastAsia="zh-CN"/>
          </w:rPr>
          <w:t>RA-23</w:t>
        </w:r>
        <w:r>
          <w:rPr>
            <w:rStyle w:val="Hyperlink"/>
            <w:rFonts w:hint="eastAsia"/>
            <w:lang w:eastAsia="zh-CN"/>
          </w:rPr>
          <w:t>网站</w:t>
        </w:r>
      </w:hyperlink>
      <w:r>
        <w:rPr>
          <w:rFonts w:hint="eastAsia"/>
          <w:lang w:eastAsia="zh-CN"/>
        </w:rPr>
        <w:t>上。会议室</w:t>
      </w:r>
      <w:r>
        <w:rPr>
          <w:rFonts w:hint="eastAsia"/>
          <w:szCs w:val="24"/>
          <w:lang w:eastAsia="zh-CN"/>
        </w:rPr>
        <w:t>提供无线局域网设施，供与会代表使用。</w:t>
      </w:r>
      <w:r>
        <w:rPr>
          <w:rFonts w:hint="eastAsia"/>
          <w:lang w:eastAsia="zh-CN"/>
        </w:rPr>
        <w:t>获取</w:t>
      </w:r>
      <w:r>
        <w:rPr>
          <w:rFonts w:hint="eastAsia"/>
          <w:lang w:eastAsia="zh-CN"/>
        </w:rPr>
        <w:t>RA-23</w:t>
      </w:r>
      <w:r>
        <w:rPr>
          <w:lang w:eastAsia="zh-CN"/>
        </w:rPr>
        <w:t>文件和其他电子资源需要</w:t>
      </w:r>
      <w:r>
        <w:rPr>
          <w:rFonts w:hint="eastAsia"/>
          <w:lang w:eastAsia="zh-CN"/>
        </w:rPr>
        <w:t>国际电联</w:t>
      </w:r>
      <w:hyperlink r:id="rId15" w:history="1">
        <w:r>
          <w:rPr>
            <w:rStyle w:val="Hyperlink"/>
            <w:rFonts w:asciiTheme="minorHAnsi" w:hAnsiTheme="minorHAnsi" w:cstheme="majorBidi"/>
            <w:szCs w:val="24"/>
            <w:shd w:val="clear" w:color="auto" w:fill="FFFFFF"/>
            <w:lang w:eastAsia="zh-CN"/>
          </w:rPr>
          <w:t>TIES</w:t>
        </w:r>
        <w:r>
          <w:rPr>
            <w:rStyle w:val="Hyperlink"/>
            <w:rFonts w:asciiTheme="minorHAnsi" w:hAnsiTheme="minorHAnsi" w:cstheme="majorBidi" w:hint="eastAsia"/>
            <w:szCs w:val="24"/>
            <w:shd w:val="clear" w:color="auto" w:fill="FFFFFF"/>
            <w:lang w:eastAsia="zh-CN"/>
          </w:rPr>
          <w:t>账号</w:t>
        </w:r>
      </w:hyperlink>
      <w:r>
        <w:rPr>
          <w:rFonts w:hint="eastAsia"/>
          <w:lang w:eastAsia="zh-CN"/>
        </w:rPr>
        <w:t>。</w:t>
      </w:r>
    </w:p>
    <w:p w14:paraId="511F3512" w14:textId="77777777" w:rsidR="0037245F" w:rsidRDefault="00EC3A86">
      <w:pPr>
        <w:pStyle w:val="Heading1"/>
        <w:keepNext w:val="0"/>
        <w:keepLines w:val="0"/>
        <w:widowControl w:val="0"/>
        <w:spacing w:before="360"/>
        <w:rPr>
          <w:b w:val="0"/>
          <w:bCs/>
          <w:sz w:val="22"/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>
        <w:rPr>
          <w:rFonts w:hint="eastAsia"/>
          <w:lang w:eastAsia="zh-CN"/>
        </w:rPr>
        <w:t>注册与签证申请</w:t>
      </w:r>
    </w:p>
    <w:p w14:paraId="3543CD4E" w14:textId="77777777" w:rsidR="0037245F" w:rsidRDefault="00EC3A86">
      <w:pPr>
        <w:widowControl w:val="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RA-23</w:t>
      </w:r>
      <w:r>
        <w:rPr>
          <w:rFonts w:hint="eastAsia"/>
          <w:lang w:eastAsia="zh-CN"/>
        </w:rPr>
        <w:t>的注册将不迟于</w:t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月开放。</w:t>
      </w:r>
      <w:r>
        <w:rPr>
          <w:rFonts w:hint="eastAsia"/>
          <w:lang w:eastAsia="zh-CN"/>
        </w:rPr>
        <w:t>RA-23</w:t>
      </w:r>
      <w:r>
        <w:rPr>
          <w:color w:val="000000"/>
          <w:lang w:eastAsia="zh-CN"/>
        </w:rPr>
        <w:t>必须进行预注册，</w:t>
      </w:r>
      <w:r>
        <w:rPr>
          <w:rFonts w:hint="eastAsia"/>
          <w:color w:val="000000"/>
          <w:lang w:eastAsia="zh-CN"/>
        </w:rPr>
        <w:t>且仅可</w:t>
      </w:r>
      <w:r>
        <w:rPr>
          <w:color w:val="000000"/>
          <w:lang w:eastAsia="zh-CN"/>
        </w:rPr>
        <w:t>通过</w:t>
      </w:r>
      <w:r>
        <w:rPr>
          <w:rFonts w:hint="eastAsia"/>
          <w:color w:val="000000"/>
          <w:lang w:eastAsia="zh-CN"/>
        </w:rPr>
        <w:t>负责</w:t>
      </w:r>
      <w:r>
        <w:rPr>
          <w:rFonts w:hint="eastAsia"/>
          <w:color w:val="000000"/>
          <w:lang w:eastAsia="zh-CN"/>
        </w:rPr>
        <w:t>ITU-R</w:t>
      </w:r>
      <w:r>
        <w:rPr>
          <w:rFonts w:hint="eastAsia"/>
          <w:color w:val="000000"/>
          <w:lang w:eastAsia="zh-CN"/>
        </w:rPr>
        <w:t>活动注册工作的</w:t>
      </w:r>
      <w:r>
        <w:rPr>
          <w:color w:val="000000"/>
          <w:lang w:eastAsia="zh-CN"/>
        </w:rPr>
        <w:t>指定</w:t>
      </w:r>
      <w:r>
        <w:rPr>
          <w:rFonts w:hint="eastAsia"/>
          <w:color w:val="000000"/>
          <w:lang w:eastAsia="zh-CN"/>
        </w:rPr>
        <w:t>联系</w:t>
      </w:r>
      <w:r>
        <w:rPr>
          <w:color w:val="000000"/>
          <w:lang w:eastAsia="zh-CN"/>
        </w:rPr>
        <w:t>人（</w:t>
      </w:r>
      <w:r>
        <w:rPr>
          <w:color w:val="000000"/>
          <w:lang w:eastAsia="zh-CN"/>
        </w:rPr>
        <w:t>DFP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在</w:t>
      </w:r>
      <w:r>
        <w:rPr>
          <w:color w:val="000000"/>
          <w:lang w:eastAsia="zh-CN"/>
        </w:rPr>
        <w:t>网上</w:t>
      </w:r>
      <w:r>
        <w:rPr>
          <w:rFonts w:hint="eastAsia"/>
          <w:color w:val="000000"/>
          <w:lang w:eastAsia="zh-CN"/>
        </w:rPr>
        <w:t>完成</w:t>
      </w:r>
      <w:r>
        <w:rPr>
          <w:rFonts w:ascii="SimSun" w:eastAsia="SimSun" w:hAnsi="SimSun" w:cs="SimSun" w:hint="eastAsia"/>
          <w:color w:val="000000"/>
          <w:lang w:eastAsia="zh-CN"/>
        </w:rPr>
        <w:t>。</w:t>
      </w:r>
      <w:r>
        <w:rPr>
          <w:rFonts w:hint="eastAsia"/>
          <w:lang w:eastAsia="zh-CN"/>
        </w:rPr>
        <w:t>进一步信息适当时将在</w:t>
      </w:r>
      <w:hyperlink r:id="rId16" w:history="1">
        <w:r>
          <w:rPr>
            <w:rStyle w:val="Hyperlink"/>
            <w:lang w:eastAsia="zh-CN"/>
          </w:rPr>
          <w:t>RA-23</w:t>
        </w:r>
        <w:r>
          <w:rPr>
            <w:rStyle w:val="Hyperlink"/>
            <w:rFonts w:hint="eastAsia"/>
            <w:lang w:eastAsia="zh-CN"/>
          </w:rPr>
          <w:t>网站</w:t>
        </w:r>
      </w:hyperlink>
      <w:r>
        <w:rPr>
          <w:rFonts w:hint="eastAsia"/>
          <w:lang w:eastAsia="zh-CN"/>
        </w:rPr>
        <w:t>上公布。</w:t>
      </w:r>
    </w:p>
    <w:p w14:paraId="0527F40B" w14:textId="77777777" w:rsidR="0037245F" w:rsidRDefault="00EC3A86">
      <w:pPr>
        <w:widowControl w:val="0"/>
        <w:ind w:firstLineChars="200" w:firstLine="480"/>
        <w:rPr>
          <w:lang w:eastAsia="zh-CN"/>
        </w:rPr>
      </w:pPr>
      <w:r>
        <w:rPr>
          <w:szCs w:val="24"/>
          <w:lang w:eastAsia="zh-CN"/>
        </w:rPr>
        <w:t>请注意，无法</w:t>
      </w:r>
      <w:r>
        <w:rPr>
          <w:rFonts w:hint="eastAsia"/>
          <w:szCs w:val="24"/>
          <w:lang w:eastAsia="zh-CN"/>
        </w:rPr>
        <w:t>通过</w:t>
      </w:r>
      <w:r>
        <w:rPr>
          <w:szCs w:val="24"/>
          <w:lang w:eastAsia="zh-CN"/>
        </w:rPr>
        <w:t>国际电联秘书处</w:t>
      </w:r>
      <w:r>
        <w:rPr>
          <w:rFonts w:hint="eastAsia"/>
          <w:szCs w:val="24"/>
          <w:lang w:eastAsia="zh-CN"/>
        </w:rPr>
        <w:t>获得</w:t>
      </w:r>
      <w:r>
        <w:rPr>
          <w:rFonts w:hint="eastAsia"/>
          <w:lang w:eastAsia="zh-CN"/>
        </w:rPr>
        <w:t>入境阿联酋的</w:t>
      </w:r>
      <w:r>
        <w:rPr>
          <w:szCs w:val="24"/>
          <w:lang w:eastAsia="zh-CN"/>
        </w:rPr>
        <w:t>签证。</w:t>
      </w:r>
      <w:r>
        <w:rPr>
          <w:rFonts w:hint="eastAsia"/>
          <w:szCs w:val="24"/>
          <w:lang w:eastAsia="zh-CN"/>
        </w:rPr>
        <w:t>您必须在签证申请中确认已完成</w:t>
      </w:r>
      <w:r>
        <w:rPr>
          <w:rFonts w:hint="eastAsia"/>
          <w:szCs w:val="24"/>
          <w:lang w:eastAsia="zh-CN"/>
        </w:rPr>
        <w:t>RA-23</w:t>
      </w:r>
      <w:r>
        <w:rPr>
          <w:rFonts w:hint="eastAsia"/>
          <w:szCs w:val="24"/>
          <w:lang w:eastAsia="zh-CN"/>
        </w:rPr>
        <w:t>的注册，且必须将签证申请直接提交给</w:t>
      </w:r>
      <w:r>
        <w:rPr>
          <w:rFonts w:hint="eastAsia"/>
          <w:lang w:eastAsia="zh-CN"/>
        </w:rPr>
        <w:t>阿联酋</w:t>
      </w:r>
      <w:r>
        <w:rPr>
          <w:rFonts w:hint="eastAsia"/>
          <w:szCs w:val="24"/>
          <w:lang w:eastAsia="zh-CN"/>
        </w:rPr>
        <w:t>当局。您将可从</w:t>
      </w:r>
      <w:r>
        <w:rPr>
          <w:rFonts w:hint="eastAsia"/>
          <w:szCs w:val="24"/>
          <w:lang w:eastAsia="zh-CN"/>
        </w:rPr>
        <w:t>RA-23</w:t>
      </w:r>
      <w:r>
        <w:rPr>
          <w:rFonts w:hint="eastAsia"/>
          <w:szCs w:val="24"/>
          <w:lang w:eastAsia="zh-CN"/>
        </w:rPr>
        <w:t>网站访问东道国网站，其中将含有前往阿联酋签证要求的信息。</w:t>
      </w:r>
    </w:p>
    <w:p w14:paraId="68CA0124" w14:textId="77777777" w:rsidR="0037245F" w:rsidRDefault="00EC3A86">
      <w:pPr>
        <w:pStyle w:val="Heading1"/>
        <w:keepNext w:val="0"/>
        <w:keepLines w:val="0"/>
        <w:widowControl w:val="0"/>
        <w:tabs>
          <w:tab w:val="center" w:pos="4819"/>
        </w:tabs>
        <w:spacing w:before="360"/>
        <w:rPr>
          <w:bCs/>
          <w:sz w:val="22"/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</w:r>
      <w:r>
        <w:rPr>
          <w:rFonts w:hint="eastAsia"/>
          <w:lang w:eastAsia="zh-CN"/>
        </w:rPr>
        <w:t>实用信息</w:t>
      </w:r>
    </w:p>
    <w:p w14:paraId="289AB64B" w14:textId="77777777" w:rsidR="0037245F" w:rsidRDefault="00EC3A86">
      <w:pPr>
        <w:ind w:firstLineChars="200" w:firstLine="480"/>
        <w:rPr>
          <w:lang w:val="en-GB" w:eastAsia="zh-CN"/>
        </w:rPr>
      </w:pPr>
      <w:r>
        <w:rPr>
          <w:rFonts w:hint="eastAsia"/>
          <w:szCs w:val="24"/>
          <w:lang w:eastAsia="zh-CN"/>
        </w:rPr>
        <w:t>可从</w:t>
      </w:r>
      <w:hyperlink r:id="rId17" w:history="1">
        <w:r>
          <w:rPr>
            <w:rStyle w:val="Hyperlink"/>
            <w:lang w:eastAsia="zh-CN"/>
          </w:rPr>
          <w:t>RA-23</w:t>
        </w:r>
        <w:r>
          <w:rPr>
            <w:rStyle w:val="Hyperlink"/>
            <w:rFonts w:hint="eastAsia"/>
            <w:lang w:eastAsia="zh-CN"/>
          </w:rPr>
          <w:t>网站</w:t>
        </w:r>
      </w:hyperlink>
      <w:r>
        <w:rPr>
          <w:rFonts w:hint="eastAsia"/>
          <w:szCs w:val="24"/>
          <w:lang w:eastAsia="zh-CN"/>
        </w:rPr>
        <w:t>访问的东道国网站将提供有关住宿预订、签证要求、前往阿联酋之旅、当地交通等实用信息。随着更多信息的提供，网站将定期更新。</w:t>
      </w:r>
    </w:p>
    <w:p w14:paraId="52502A85" w14:textId="77777777" w:rsidR="0037245F" w:rsidRDefault="00EC3A8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bCs/>
          <w:caps/>
          <w:sz w:val="28"/>
          <w:szCs w:val="20"/>
          <w:lang w:val="fr-CH" w:eastAsia="zh-CN"/>
        </w:rPr>
      </w:pPr>
      <w:r>
        <w:rPr>
          <w:b/>
          <w:bCs/>
          <w:lang w:val="fr-CH" w:eastAsia="zh-CN"/>
        </w:rPr>
        <w:br w:type="page"/>
      </w:r>
    </w:p>
    <w:p w14:paraId="687C10E6" w14:textId="77777777" w:rsidR="0037245F" w:rsidRDefault="00EC3A86">
      <w:pPr>
        <w:pStyle w:val="AnnexNo"/>
        <w:rPr>
          <w:b/>
          <w:bCs/>
          <w:lang w:val="fr-CH" w:eastAsia="zh-CN"/>
        </w:rPr>
      </w:pPr>
      <w:r>
        <w:rPr>
          <w:rFonts w:hint="eastAsia"/>
          <w:b/>
          <w:bCs/>
          <w:lang w:val="fr-CH" w:eastAsia="zh-CN"/>
        </w:rPr>
        <w:lastRenderedPageBreak/>
        <w:t>附件</w:t>
      </w:r>
      <w:r>
        <w:rPr>
          <w:rFonts w:hint="eastAsia"/>
          <w:b/>
          <w:bCs/>
          <w:lang w:val="fr-CH" w:eastAsia="zh-CN"/>
        </w:rPr>
        <w:t>2</w:t>
      </w:r>
    </w:p>
    <w:p w14:paraId="7AA1268F" w14:textId="77777777" w:rsidR="0037245F" w:rsidRDefault="00EC3A86">
      <w:pPr>
        <w:pStyle w:val="Annextitle"/>
        <w:rPr>
          <w:lang w:val="fr-CH" w:eastAsia="zh-CN"/>
        </w:rPr>
      </w:pPr>
      <w:r>
        <w:rPr>
          <w:rFonts w:hint="eastAsia"/>
          <w:lang w:eastAsia="zh-CN"/>
        </w:rPr>
        <w:t>有关</w:t>
      </w:r>
      <w:r w:rsidRPr="00287E4F">
        <w:rPr>
          <w:rFonts w:hint="eastAsia"/>
          <w:lang w:val="fr-CH" w:eastAsia="zh-CN"/>
        </w:rPr>
        <w:t>2023</w:t>
      </w:r>
      <w:r>
        <w:rPr>
          <w:rFonts w:hint="eastAsia"/>
          <w:lang w:eastAsia="zh-CN"/>
        </w:rPr>
        <w:t>年无线电通信全会组织工作的建议</w:t>
      </w:r>
    </w:p>
    <w:p w14:paraId="13514871" w14:textId="77777777" w:rsidR="0037245F" w:rsidRPr="00287E4F" w:rsidRDefault="00EC3A86">
      <w:pPr>
        <w:pStyle w:val="Headingb"/>
        <w:spacing w:before="480"/>
        <w:rPr>
          <w:lang w:val="fr-CH" w:eastAsia="zh-CN"/>
        </w:rPr>
      </w:pPr>
      <w:r>
        <w:rPr>
          <w:lang w:eastAsia="zh-CN"/>
        </w:rPr>
        <w:t>第</w:t>
      </w:r>
      <w:r w:rsidRPr="00287E4F">
        <w:rPr>
          <w:lang w:val="fr-CH" w:eastAsia="zh-CN"/>
        </w:rPr>
        <w:t>1</w:t>
      </w:r>
      <w:r>
        <w:rPr>
          <w:lang w:eastAsia="zh-CN"/>
        </w:rPr>
        <w:t>委员会</w:t>
      </w:r>
      <w:r w:rsidRPr="00287E4F">
        <w:rPr>
          <w:rFonts w:hint="eastAsia"/>
          <w:lang w:val="fr-CH" w:eastAsia="zh-CN"/>
        </w:rPr>
        <w:t xml:space="preserve"> </w:t>
      </w:r>
      <w:r w:rsidRPr="00287E4F">
        <w:rPr>
          <w:lang w:val="fr-CH" w:eastAsia="zh-CN"/>
        </w:rPr>
        <w:t xml:space="preserve">– </w:t>
      </w:r>
      <w:r>
        <w:rPr>
          <w:lang w:eastAsia="zh-CN"/>
        </w:rPr>
        <w:t>指导委员会</w:t>
      </w:r>
    </w:p>
    <w:p w14:paraId="3054E0B5" w14:textId="77777777" w:rsidR="0037245F" w:rsidRPr="00287E4F" w:rsidRDefault="00EC3A86">
      <w:pPr>
        <w:ind w:firstLineChars="200" w:firstLine="480"/>
        <w:rPr>
          <w:lang w:val="fr-CH" w:eastAsia="zh-CN"/>
        </w:rPr>
      </w:pPr>
      <w:r>
        <w:rPr>
          <w:lang w:eastAsia="zh-CN"/>
        </w:rPr>
        <w:t>该委员会将由全会主席和副主席及各委员会的正副主席组成。</w:t>
      </w:r>
    </w:p>
    <w:p w14:paraId="433D486F" w14:textId="77777777" w:rsidR="0037245F" w:rsidRDefault="00EC3A86">
      <w:pPr>
        <w:ind w:firstLineChars="200" w:firstLine="480"/>
        <w:rPr>
          <w:lang w:eastAsia="zh-CN"/>
        </w:rPr>
      </w:pPr>
      <w:r>
        <w:rPr>
          <w:lang w:eastAsia="zh-CN"/>
        </w:rPr>
        <w:t>职责范围</w:t>
      </w:r>
      <w:r w:rsidRPr="00287E4F">
        <w:rPr>
          <w:lang w:val="fr-CH" w:eastAsia="zh-CN"/>
        </w:rPr>
        <w:t>：</w:t>
      </w:r>
      <w:r>
        <w:rPr>
          <w:lang w:eastAsia="zh-CN"/>
        </w:rPr>
        <w:t>就涉及到顺利开展工作的所有问题进行协调</w:t>
      </w:r>
      <w:r w:rsidRPr="00287E4F">
        <w:rPr>
          <w:lang w:val="fr-CH" w:eastAsia="zh-CN"/>
        </w:rPr>
        <w:t>，</w:t>
      </w:r>
      <w:r>
        <w:rPr>
          <w:lang w:eastAsia="zh-CN"/>
        </w:rPr>
        <w:t>并对会议的顺序和次数</w:t>
      </w:r>
      <w:r>
        <w:rPr>
          <w:rFonts w:hint="eastAsia"/>
          <w:lang w:eastAsia="zh-CN"/>
        </w:rPr>
        <w:t>做</w:t>
      </w:r>
      <w:r>
        <w:rPr>
          <w:lang w:eastAsia="zh-CN"/>
        </w:rPr>
        <w:t>出</w:t>
      </w:r>
      <w:r>
        <w:rPr>
          <w:rFonts w:hint="eastAsia"/>
          <w:lang w:eastAsia="zh-CN"/>
        </w:rPr>
        <w:t>计划</w:t>
      </w:r>
      <w:r>
        <w:rPr>
          <w:lang w:eastAsia="zh-CN"/>
        </w:rPr>
        <w:t>。考虑到一些代表团人数有限，</w:t>
      </w:r>
      <w:r>
        <w:rPr>
          <w:rFonts w:hint="eastAsia"/>
          <w:lang w:eastAsia="zh-CN"/>
        </w:rPr>
        <w:t>应</w:t>
      </w:r>
      <w:r>
        <w:rPr>
          <w:lang w:eastAsia="zh-CN"/>
        </w:rPr>
        <w:t>尽量避免</w:t>
      </w:r>
      <w:r>
        <w:rPr>
          <w:rFonts w:hint="eastAsia"/>
          <w:lang w:eastAsia="zh-CN"/>
        </w:rPr>
        <w:t>并行</w:t>
      </w:r>
      <w:r>
        <w:rPr>
          <w:lang w:eastAsia="zh-CN"/>
        </w:rPr>
        <w:t>会议。</w:t>
      </w:r>
    </w:p>
    <w:p w14:paraId="2110AB82" w14:textId="77777777" w:rsidR="0037245F" w:rsidRDefault="00EC3A86">
      <w:pPr>
        <w:pStyle w:val="Headingb"/>
        <w:spacing w:before="360"/>
        <w:rPr>
          <w:lang w:eastAsia="zh-CN"/>
        </w:rPr>
      </w:pPr>
      <w:r>
        <w:rPr>
          <w:lang w:eastAsia="zh-CN"/>
        </w:rPr>
        <w:t>第</w:t>
      </w:r>
      <w:r>
        <w:rPr>
          <w:lang w:eastAsia="zh-CN"/>
        </w:rPr>
        <w:t>2</w:t>
      </w:r>
      <w:r>
        <w:rPr>
          <w:lang w:eastAsia="zh-CN"/>
        </w:rPr>
        <w:t>委员会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预算控制</w:t>
      </w:r>
    </w:p>
    <w:p w14:paraId="17906442" w14:textId="77777777" w:rsidR="0037245F" w:rsidRDefault="00EC3A86">
      <w:pPr>
        <w:tabs>
          <w:tab w:val="clear" w:pos="794"/>
          <w:tab w:val="clear" w:pos="1191"/>
          <w:tab w:val="clear" w:pos="1588"/>
          <w:tab w:val="clear" w:pos="1985"/>
        </w:tabs>
        <w:ind w:firstLineChars="200" w:firstLine="480"/>
        <w:rPr>
          <w:color w:val="000000"/>
          <w:szCs w:val="24"/>
          <w:lang w:eastAsia="zh-CN"/>
        </w:rPr>
      </w:pPr>
      <w:r>
        <w:rPr>
          <w:rFonts w:hAnsi="SimSun"/>
          <w:color w:val="000000"/>
          <w:szCs w:val="24"/>
          <w:lang w:eastAsia="zh-CN"/>
        </w:rPr>
        <w:t>职责范围：确定组织</w:t>
      </w:r>
      <w:r>
        <w:rPr>
          <w:rFonts w:hAnsi="SimSun" w:hint="eastAsia"/>
          <w:color w:val="000000"/>
          <w:szCs w:val="24"/>
          <w:lang w:eastAsia="zh-CN"/>
        </w:rPr>
        <w:t>并</w:t>
      </w:r>
      <w:r>
        <w:rPr>
          <w:rFonts w:hAnsi="SimSun"/>
          <w:color w:val="000000"/>
          <w:szCs w:val="24"/>
          <w:lang w:eastAsia="zh-CN"/>
        </w:rPr>
        <w:t>向代表提供的设施，审查和批准整个全会进行过程中发生的支出帐目，并</w:t>
      </w:r>
      <w:r>
        <w:rPr>
          <w:rFonts w:hAnsi="SimSun" w:hint="eastAsia"/>
          <w:color w:val="000000"/>
          <w:szCs w:val="24"/>
          <w:lang w:eastAsia="zh-CN"/>
        </w:rPr>
        <w:t>尽可能准确地</w:t>
      </w:r>
      <w:r>
        <w:rPr>
          <w:rFonts w:hAnsi="SimSun"/>
          <w:color w:val="000000"/>
          <w:szCs w:val="24"/>
          <w:lang w:eastAsia="zh-CN"/>
        </w:rPr>
        <w:t>向全体会议报告全会的预计总支出，以及由于执行</w:t>
      </w:r>
      <w:r>
        <w:rPr>
          <w:rFonts w:hAnsi="SimSun" w:hint="eastAsia"/>
          <w:color w:val="000000"/>
          <w:szCs w:val="24"/>
          <w:lang w:eastAsia="zh-CN"/>
        </w:rPr>
        <w:t>全会</w:t>
      </w:r>
      <w:r>
        <w:rPr>
          <w:rFonts w:hAnsi="SimSun"/>
          <w:color w:val="000000"/>
          <w:szCs w:val="24"/>
          <w:lang w:eastAsia="zh-CN"/>
        </w:rPr>
        <w:t>的决定所引起的支出的估算。</w:t>
      </w:r>
    </w:p>
    <w:p w14:paraId="1962FD23" w14:textId="77777777" w:rsidR="0037245F" w:rsidRDefault="00EC3A86">
      <w:pPr>
        <w:pStyle w:val="Headingb"/>
        <w:spacing w:before="360"/>
        <w:rPr>
          <w:lang w:eastAsia="zh-CN"/>
        </w:rPr>
      </w:pPr>
      <w:r>
        <w:rPr>
          <w:lang w:eastAsia="zh-CN"/>
        </w:rPr>
        <w:t>第</w:t>
      </w:r>
      <w:r>
        <w:rPr>
          <w:lang w:eastAsia="zh-CN"/>
        </w:rPr>
        <w:t>3</w:t>
      </w:r>
      <w:r>
        <w:rPr>
          <w:lang w:eastAsia="zh-CN"/>
        </w:rPr>
        <w:t>委员会</w:t>
      </w:r>
      <w:r>
        <w:rPr>
          <w:lang w:eastAsia="zh-CN"/>
        </w:rPr>
        <w:t xml:space="preserve"> </w:t>
      </w:r>
      <w:r>
        <w:rPr>
          <w:bCs/>
          <w:color w:val="000000"/>
          <w:szCs w:val="24"/>
          <w:lang w:eastAsia="zh-CN"/>
        </w:rPr>
        <w:t xml:space="preserve">– </w:t>
      </w:r>
      <w:r>
        <w:rPr>
          <w:lang w:eastAsia="zh-CN"/>
        </w:rPr>
        <w:t>编辑委员会</w:t>
      </w:r>
    </w:p>
    <w:p w14:paraId="0595F44C" w14:textId="77777777" w:rsidR="0037245F" w:rsidRDefault="00EC3A86">
      <w:pPr>
        <w:tabs>
          <w:tab w:val="clear" w:pos="794"/>
          <w:tab w:val="clear" w:pos="1191"/>
          <w:tab w:val="clear" w:pos="1588"/>
          <w:tab w:val="clear" w:pos="1985"/>
        </w:tabs>
        <w:ind w:firstLineChars="200" w:firstLine="480"/>
        <w:rPr>
          <w:color w:val="000000"/>
          <w:szCs w:val="24"/>
          <w:lang w:eastAsia="zh-CN"/>
        </w:rPr>
      </w:pPr>
      <w:r>
        <w:rPr>
          <w:rFonts w:hAnsi="SimSun"/>
          <w:color w:val="000000"/>
          <w:szCs w:val="24"/>
          <w:lang w:eastAsia="zh-CN"/>
        </w:rPr>
        <w:t>职责范围：</w:t>
      </w:r>
      <w:r>
        <w:rPr>
          <w:color w:val="000000"/>
          <w:szCs w:val="24"/>
          <w:lang w:eastAsia="zh-CN"/>
        </w:rPr>
        <w:t>在不改变全会所做决议和决定含意的情况下，对其</w:t>
      </w:r>
      <w:r>
        <w:rPr>
          <w:rFonts w:hint="eastAsia"/>
          <w:color w:val="000000"/>
          <w:szCs w:val="24"/>
          <w:lang w:eastAsia="zh-CN"/>
        </w:rPr>
        <w:t>案</w:t>
      </w:r>
      <w:r>
        <w:rPr>
          <w:color w:val="000000"/>
          <w:szCs w:val="24"/>
          <w:lang w:eastAsia="zh-CN"/>
        </w:rPr>
        <w:t>文进行协调，</w:t>
      </w:r>
      <w:r>
        <w:rPr>
          <w:rFonts w:hAnsi="SimSun"/>
          <w:color w:val="000000"/>
          <w:szCs w:val="24"/>
          <w:lang w:eastAsia="zh-CN"/>
        </w:rPr>
        <w:t>以便提交全体会议。</w:t>
      </w:r>
    </w:p>
    <w:p w14:paraId="64C9AD26" w14:textId="77777777" w:rsidR="0037245F" w:rsidRDefault="00EC3A86">
      <w:pPr>
        <w:pStyle w:val="Headingb"/>
        <w:spacing w:before="360"/>
        <w:rPr>
          <w:lang w:eastAsia="zh-CN"/>
        </w:rPr>
      </w:pPr>
      <w:r>
        <w:rPr>
          <w:lang w:eastAsia="zh-CN"/>
        </w:rPr>
        <w:t>第</w:t>
      </w:r>
      <w:r>
        <w:rPr>
          <w:lang w:eastAsia="zh-CN"/>
        </w:rPr>
        <w:t>4</w:t>
      </w:r>
      <w:r>
        <w:rPr>
          <w:lang w:eastAsia="zh-CN"/>
        </w:rPr>
        <w:t>委员会</w:t>
      </w:r>
      <w:r>
        <w:rPr>
          <w:lang w:eastAsia="zh-CN"/>
        </w:rPr>
        <w:t xml:space="preserve"> – </w:t>
      </w:r>
      <w:r>
        <w:rPr>
          <w:lang w:eastAsia="zh-CN"/>
        </w:rPr>
        <w:t>研究组</w:t>
      </w:r>
      <w:r>
        <w:rPr>
          <w:rFonts w:hint="eastAsia"/>
          <w:lang w:eastAsia="zh-CN"/>
        </w:rPr>
        <w:t>的</w:t>
      </w:r>
      <w:r>
        <w:rPr>
          <w:lang w:eastAsia="zh-CN"/>
        </w:rPr>
        <w:t>结构和工作计划</w:t>
      </w:r>
    </w:p>
    <w:p w14:paraId="280464B8" w14:textId="77777777" w:rsidR="0037245F" w:rsidRDefault="00EC3A86">
      <w:pPr>
        <w:tabs>
          <w:tab w:val="clear" w:pos="794"/>
          <w:tab w:val="clear" w:pos="1191"/>
          <w:tab w:val="clear" w:pos="1588"/>
          <w:tab w:val="clear" w:pos="1985"/>
        </w:tabs>
        <w:ind w:firstLineChars="200" w:firstLine="480"/>
        <w:rPr>
          <w:color w:val="000000"/>
          <w:szCs w:val="24"/>
          <w:lang w:eastAsia="zh-CN"/>
        </w:rPr>
      </w:pPr>
      <w:r>
        <w:rPr>
          <w:rFonts w:hAnsi="SimSun"/>
          <w:color w:val="000000"/>
          <w:szCs w:val="24"/>
          <w:lang w:eastAsia="zh-CN"/>
        </w:rPr>
        <w:t>职责范围：审查</w:t>
      </w:r>
      <w:r>
        <w:rPr>
          <w:rFonts w:hAnsi="SimSun" w:hint="eastAsia"/>
          <w:color w:val="000000"/>
          <w:szCs w:val="24"/>
          <w:lang w:eastAsia="zh-CN"/>
        </w:rPr>
        <w:t>各</w:t>
      </w:r>
      <w:r>
        <w:rPr>
          <w:rFonts w:hAnsi="SimSun"/>
          <w:color w:val="000000"/>
          <w:szCs w:val="24"/>
          <w:lang w:eastAsia="zh-CN"/>
        </w:rPr>
        <w:t>研究组的结构和工作计划，酌情修订研究课题清单。提议并根据收到的文稿起草新决议和</w:t>
      </w:r>
      <w:r>
        <w:rPr>
          <w:color w:val="000000"/>
          <w:szCs w:val="24"/>
          <w:lang w:eastAsia="zh-CN"/>
        </w:rPr>
        <w:t>/</w:t>
      </w:r>
      <w:r>
        <w:rPr>
          <w:rFonts w:hAnsi="SimSun"/>
          <w:color w:val="000000"/>
          <w:szCs w:val="24"/>
          <w:lang w:eastAsia="zh-CN"/>
        </w:rPr>
        <w:t>或修订</w:t>
      </w:r>
      <w:r>
        <w:rPr>
          <w:color w:val="000000"/>
          <w:szCs w:val="24"/>
          <w:lang w:eastAsia="zh-CN"/>
        </w:rPr>
        <w:t>ITU-R</w:t>
      </w:r>
      <w:r>
        <w:rPr>
          <w:rFonts w:hAnsi="SimSun"/>
          <w:color w:val="000000"/>
          <w:szCs w:val="24"/>
          <w:lang w:eastAsia="zh-CN"/>
        </w:rPr>
        <w:t>第</w:t>
      </w:r>
      <w:r>
        <w:rPr>
          <w:color w:val="000000"/>
          <w:szCs w:val="24"/>
          <w:lang w:eastAsia="zh-CN"/>
        </w:rPr>
        <w:t>4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color w:val="000000"/>
          <w:szCs w:val="24"/>
          <w:lang w:eastAsia="zh-CN"/>
        </w:rPr>
        <w:t>5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color w:val="000000"/>
          <w:szCs w:val="24"/>
          <w:lang w:eastAsia="zh-CN"/>
        </w:rPr>
        <w:t>8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11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22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23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25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28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37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color w:val="000000"/>
          <w:szCs w:val="24"/>
          <w:lang w:eastAsia="zh-CN"/>
        </w:rPr>
        <w:t>4</w:t>
      </w:r>
      <w:r>
        <w:rPr>
          <w:rFonts w:hint="eastAsia"/>
          <w:color w:val="000000"/>
          <w:szCs w:val="24"/>
          <w:lang w:eastAsia="zh-CN"/>
        </w:rPr>
        <w:t>0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47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50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54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55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56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57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58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59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/>
          <w:color w:val="000000"/>
          <w:szCs w:val="24"/>
          <w:lang w:eastAsia="zh-CN"/>
        </w:rPr>
        <w:t>60</w:t>
      </w:r>
      <w:r>
        <w:rPr>
          <w:rFonts w:asciiTheme="minorHAnsi" w:hAnsiTheme="minorHAnsi"/>
          <w:lang w:eastAsia="zh-CN"/>
        </w:rPr>
        <w:t>、</w:t>
      </w:r>
      <w:r>
        <w:rPr>
          <w:rFonts w:asciiTheme="minorHAnsi" w:hAnsiTheme="minorHAnsi"/>
          <w:lang w:eastAsia="zh-CN"/>
        </w:rPr>
        <w:t>64</w:t>
      </w:r>
      <w:r>
        <w:rPr>
          <w:rFonts w:asciiTheme="minorHAnsi" w:hAnsiTheme="minorHAnsi"/>
          <w:lang w:eastAsia="zh-CN"/>
        </w:rPr>
        <w:t>、</w:t>
      </w:r>
      <w:r>
        <w:rPr>
          <w:rFonts w:asciiTheme="minorHAnsi" w:hAnsiTheme="minorHAnsi"/>
          <w:lang w:eastAsia="zh-CN"/>
        </w:rPr>
        <w:t>65</w:t>
      </w:r>
      <w:r>
        <w:rPr>
          <w:rFonts w:asciiTheme="minorHAnsi" w:hAnsiTheme="minorHAnsi"/>
          <w:lang w:eastAsia="zh-CN"/>
        </w:rPr>
        <w:t>、</w:t>
      </w:r>
      <w:r>
        <w:rPr>
          <w:rFonts w:asciiTheme="minorHAnsi" w:hAnsiTheme="minorHAnsi"/>
          <w:lang w:eastAsia="zh-CN"/>
        </w:rPr>
        <w:t>66</w:t>
      </w:r>
      <w:r>
        <w:rPr>
          <w:rFonts w:asciiTheme="minorHAnsi" w:hAnsiTheme="minorHAnsi"/>
          <w:lang w:eastAsia="zh-CN"/>
        </w:rPr>
        <w:t>、</w:t>
      </w:r>
      <w:r>
        <w:rPr>
          <w:rFonts w:asciiTheme="minorHAnsi" w:hAnsiTheme="minorHAnsi"/>
          <w:lang w:eastAsia="zh-CN"/>
        </w:rPr>
        <w:t>67</w:t>
      </w:r>
      <w:r>
        <w:rPr>
          <w:rFonts w:asciiTheme="minorHAnsi" w:hAnsiTheme="minorHAnsi"/>
          <w:lang w:eastAsia="zh-CN"/>
        </w:rPr>
        <w:t>、</w:t>
      </w:r>
      <w:r>
        <w:rPr>
          <w:rFonts w:asciiTheme="minorHAnsi" w:hAnsiTheme="minorHAnsi"/>
          <w:lang w:eastAsia="zh-CN"/>
        </w:rPr>
        <w:t>68</w:t>
      </w:r>
      <w:r>
        <w:rPr>
          <w:rFonts w:asciiTheme="minorHAnsi" w:hAnsiTheme="minorHAnsi" w:hint="eastAsia"/>
          <w:lang w:eastAsia="zh-CN"/>
        </w:rPr>
        <w:t>、</w:t>
      </w:r>
      <w:r>
        <w:rPr>
          <w:rFonts w:asciiTheme="minorHAnsi" w:hAnsiTheme="minorHAnsi"/>
          <w:lang w:eastAsia="zh-CN"/>
        </w:rPr>
        <w:t>69</w:t>
      </w:r>
      <w:r>
        <w:rPr>
          <w:rFonts w:asciiTheme="minorHAnsi" w:hAnsiTheme="minorHAnsi" w:hint="eastAsia"/>
          <w:lang w:eastAsia="zh-CN"/>
        </w:rPr>
        <w:t>和</w:t>
      </w:r>
      <w:r>
        <w:rPr>
          <w:rFonts w:asciiTheme="minorHAnsi" w:hAnsiTheme="minorHAnsi" w:hint="eastAsia"/>
          <w:lang w:eastAsia="zh-CN"/>
        </w:rPr>
        <w:t>70</w:t>
      </w:r>
      <w:r>
        <w:rPr>
          <w:rFonts w:hAnsi="SimSun"/>
          <w:color w:val="000000"/>
          <w:szCs w:val="24"/>
          <w:lang w:eastAsia="zh-CN"/>
        </w:rPr>
        <w:t>号决议。</w:t>
      </w:r>
    </w:p>
    <w:p w14:paraId="4B98BF7C" w14:textId="77777777" w:rsidR="0037245F" w:rsidRDefault="00EC3A86">
      <w:pPr>
        <w:pStyle w:val="Headingb"/>
        <w:spacing w:before="360"/>
        <w:rPr>
          <w:lang w:eastAsia="zh-CN"/>
        </w:rPr>
      </w:pPr>
      <w:r>
        <w:rPr>
          <w:lang w:eastAsia="zh-CN"/>
        </w:rPr>
        <w:t>第</w:t>
      </w:r>
      <w:r>
        <w:rPr>
          <w:lang w:eastAsia="zh-CN"/>
        </w:rPr>
        <w:t>5</w:t>
      </w:r>
      <w:r>
        <w:rPr>
          <w:lang w:eastAsia="zh-CN"/>
        </w:rPr>
        <w:t>委员会</w:t>
      </w:r>
      <w:r>
        <w:rPr>
          <w:lang w:eastAsia="zh-CN"/>
        </w:rPr>
        <w:t xml:space="preserve"> – </w:t>
      </w:r>
      <w:r>
        <w:rPr>
          <w:lang w:eastAsia="zh-CN"/>
        </w:rPr>
        <w:t>无线电通信全会和研究组</w:t>
      </w:r>
      <w:r>
        <w:rPr>
          <w:rFonts w:hint="eastAsia"/>
          <w:lang w:eastAsia="zh-CN"/>
        </w:rPr>
        <w:t>的</w:t>
      </w:r>
      <w:r>
        <w:rPr>
          <w:lang w:eastAsia="zh-CN"/>
        </w:rPr>
        <w:t>工作方法</w:t>
      </w:r>
    </w:p>
    <w:p w14:paraId="3DF6CD51" w14:textId="77777777" w:rsidR="0037245F" w:rsidRDefault="00EC3A86">
      <w:pPr>
        <w:tabs>
          <w:tab w:val="clear" w:pos="794"/>
          <w:tab w:val="clear" w:pos="1191"/>
          <w:tab w:val="clear" w:pos="1588"/>
          <w:tab w:val="clear" w:pos="1985"/>
        </w:tabs>
        <w:ind w:firstLineChars="200" w:firstLine="480"/>
        <w:rPr>
          <w:color w:val="000000"/>
          <w:szCs w:val="24"/>
          <w:lang w:eastAsia="zh-CN"/>
        </w:rPr>
      </w:pPr>
      <w:r>
        <w:rPr>
          <w:rFonts w:hAnsi="SimSun"/>
          <w:color w:val="000000"/>
          <w:szCs w:val="24"/>
          <w:lang w:eastAsia="zh-CN"/>
        </w:rPr>
        <w:t>职责范围：根据国际电联《组织法》和《公约》，</w:t>
      </w:r>
      <w:r>
        <w:rPr>
          <w:rFonts w:hAnsi="SimSun" w:hint="eastAsia"/>
          <w:color w:val="000000"/>
          <w:szCs w:val="24"/>
          <w:lang w:eastAsia="zh-CN"/>
        </w:rPr>
        <w:t>通过</w:t>
      </w:r>
      <w:r>
        <w:rPr>
          <w:rFonts w:hAnsi="SimSun"/>
          <w:color w:val="000000"/>
          <w:szCs w:val="24"/>
          <w:lang w:eastAsia="zh-CN"/>
        </w:rPr>
        <w:t>无线电通信全会和各研究组的</w:t>
      </w:r>
      <w:r>
        <w:rPr>
          <w:rFonts w:hAnsi="SimSun" w:hint="eastAsia"/>
          <w:color w:val="000000"/>
          <w:szCs w:val="24"/>
          <w:lang w:eastAsia="zh-CN"/>
        </w:rPr>
        <w:t>适当</w:t>
      </w:r>
      <w:r>
        <w:rPr>
          <w:rFonts w:hAnsi="SimSun"/>
          <w:color w:val="000000"/>
          <w:szCs w:val="24"/>
          <w:lang w:eastAsia="zh-CN"/>
        </w:rPr>
        <w:t>工作方法。提议并根据收到的文稿起草新决议和</w:t>
      </w:r>
      <w:r>
        <w:rPr>
          <w:color w:val="000000"/>
          <w:szCs w:val="24"/>
          <w:lang w:eastAsia="zh-CN"/>
        </w:rPr>
        <w:t>/</w:t>
      </w:r>
      <w:r>
        <w:rPr>
          <w:rFonts w:hAnsi="SimSun"/>
          <w:color w:val="000000"/>
          <w:szCs w:val="24"/>
          <w:lang w:eastAsia="zh-CN"/>
        </w:rPr>
        <w:t>或修订</w:t>
      </w:r>
      <w:r>
        <w:rPr>
          <w:color w:val="000000"/>
          <w:szCs w:val="24"/>
          <w:lang w:eastAsia="zh-CN"/>
        </w:rPr>
        <w:t>ITU-R</w:t>
      </w:r>
      <w:r>
        <w:rPr>
          <w:rFonts w:hAnsi="SimSun"/>
          <w:color w:val="000000"/>
          <w:szCs w:val="24"/>
          <w:lang w:eastAsia="zh-CN"/>
        </w:rPr>
        <w:t>第</w:t>
      </w:r>
      <w:r>
        <w:rPr>
          <w:color w:val="000000"/>
          <w:szCs w:val="24"/>
          <w:lang w:eastAsia="zh-CN"/>
        </w:rPr>
        <w:t>1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color w:val="000000"/>
          <w:szCs w:val="24"/>
          <w:lang w:eastAsia="zh-CN"/>
        </w:rPr>
        <w:t>2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6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7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9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color w:val="000000"/>
          <w:szCs w:val="24"/>
          <w:lang w:eastAsia="zh-CN"/>
        </w:rPr>
        <w:t>12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15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color w:val="000000"/>
          <w:szCs w:val="24"/>
          <w:lang w:eastAsia="zh-CN"/>
        </w:rPr>
        <w:t>19</w:t>
      </w:r>
      <w:r>
        <w:rPr>
          <w:rFonts w:hAnsi="SimSun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36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48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52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61</w:t>
      </w:r>
      <w:r>
        <w:rPr>
          <w:rFonts w:hAnsi="SimSun" w:hint="eastAsia"/>
          <w:color w:val="000000"/>
          <w:szCs w:val="24"/>
          <w:lang w:eastAsia="zh-CN"/>
        </w:rPr>
        <w:t>、</w:t>
      </w:r>
      <w:r>
        <w:rPr>
          <w:rFonts w:hAnsi="SimSun" w:hint="eastAsia"/>
          <w:color w:val="000000"/>
          <w:szCs w:val="24"/>
          <w:lang w:eastAsia="zh-CN"/>
        </w:rPr>
        <w:t>62</w:t>
      </w:r>
      <w:r>
        <w:rPr>
          <w:rFonts w:hAnsi="SimSun" w:hint="eastAsia"/>
          <w:color w:val="000000"/>
          <w:szCs w:val="24"/>
          <w:lang w:eastAsia="zh-CN"/>
        </w:rPr>
        <w:t>和</w:t>
      </w:r>
      <w:r>
        <w:rPr>
          <w:rFonts w:hAnsi="SimSun" w:hint="eastAsia"/>
          <w:color w:val="000000"/>
          <w:szCs w:val="24"/>
          <w:lang w:eastAsia="zh-CN"/>
        </w:rPr>
        <w:t>71</w:t>
      </w:r>
      <w:r>
        <w:rPr>
          <w:rFonts w:hAnsi="SimSun"/>
          <w:color w:val="000000"/>
          <w:szCs w:val="24"/>
          <w:lang w:eastAsia="zh-CN"/>
        </w:rPr>
        <w:t>号决议。</w:t>
      </w:r>
    </w:p>
    <w:p w14:paraId="402F6B07" w14:textId="77777777" w:rsidR="0037245F" w:rsidRDefault="00EC3A86">
      <w:pPr>
        <w:pStyle w:val="Note"/>
        <w:spacing w:before="16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注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–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无线电通信全会的工作方法在</w:t>
      </w:r>
      <w:r>
        <w:rPr>
          <w:sz w:val="24"/>
          <w:szCs w:val="24"/>
          <w:lang w:eastAsia="zh-CN"/>
        </w:rPr>
        <w:t>ITU-R</w:t>
      </w:r>
      <w:r>
        <w:rPr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eastAsia="zh-CN"/>
        </w:rPr>
        <w:t>1-8</w:t>
      </w:r>
      <w:r>
        <w:rPr>
          <w:rFonts w:hint="eastAsia"/>
          <w:sz w:val="24"/>
          <w:szCs w:val="24"/>
          <w:lang w:eastAsia="zh-CN"/>
        </w:rPr>
        <w:t>号决议</w:t>
      </w:r>
      <w:r>
        <w:rPr>
          <w:sz w:val="24"/>
          <w:szCs w:val="24"/>
          <w:lang w:eastAsia="zh-CN"/>
        </w:rPr>
        <w:t>（尤其是第</w:t>
      </w:r>
      <w:r>
        <w:rPr>
          <w:rFonts w:asciiTheme="minorHAnsi" w:hAnsiTheme="minorHAnsi"/>
          <w:sz w:val="24"/>
          <w:szCs w:val="24"/>
          <w:lang w:eastAsia="zh-CN"/>
        </w:rPr>
        <w:t>A1.2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eastAsia="zh-CN"/>
        </w:rPr>
        <w:t>A2.2.1</w:t>
      </w:r>
      <w:r>
        <w:rPr>
          <w:rFonts w:hint="eastAsia"/>
          <w:sz w:val="24"/>
          <w:szCs w:val="24"/>
          <w:lang w:eastAsia="zh-CN"/>
        </w:rPr>
        <w:t>和</w:t>
      </w:r>
      <w:r>
        <w:rPr>
          <w:rFonts w:hint="eastAsia"/>
          <w:sz w:val="24"/>
          <w:szCs w:val="24"/>
          <w:lang w:eastAsia="zh-CN"/>
        </w:rPr>
        <w:t>A2.2.2</w:t>
      </w:r>
      <w:r>
        <w:rPr>
          <w:sz w:val="24"/>
          <w:szCs w:val="24"/>
          <w:lang w:eastAsia="zh-CN"/>
        </w:rPr>
        <w:t>段）中有明确规定。</w:t>
      </w:r>
    </w:p>
    <w:p w14:paraId="7629B3C5" w14:textId="77777777" w:rsidR="0037245F" w:rsidRDefault="00EC3A86">
      <w:pPr>
        <w:jc w:val="center"/>
        <w:rPr>
          <w:rFonts w:asciiTheme="majorEastAsia" w:eastAsiaTheme="majorEastAsia" w:hAnsiTheme="majorEastAsia"/>
          <w:szCs w:val="24"/>
          <w:lang w:eastAsia="zh-CN"/>
        </w:rPr>
      </w:pPr>
      <w:r>
        <w:t>_______________</w:t>
      </w:r>
    </w:p>
    <w:sectPr w:rsidR="0037245F">
      <w:headerReference w:type="even" r:id="rId18"/>
      <w:headerReference w:type="default" r:id="rId19"/>
      <w:headerReference w:type="first" r:id="rId20"/>
      <w:footerReference w:type="first" r:id="rId21"/>
      <w:pgSz w:w="11907" w:h="16834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8DED" w14:textId="77777777" w:rsidR="0037245F" w:rsidRDefault="00EC3A86">
      <w:pPr>
        <w:spacing w:line="240" w:lineRule="auto"/>
      </w:pPr>
      <w:r>
        <w:separator/>
      </w:r>
    </w:p>
  </w:endnote>
  <w:endnote w:type="continuationSeparator" w:id="0">
    <w:p w14:paraId="3349226C" w14:textId="77777777" w:rsidR="0037245F" w:rsidRDefault="00EC3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A1D8" w14:textId="77777777" w:rsidR="0037245F" w:rsidRDefault="00EC3A86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</w:rPr>
    </w:pPr>
    <w:r>
      <w:rPr>
        <w:color w:val="4F81BD" w:themeColor="accent1"/>
        <w:sz w:val="19"/>
        <w:szCs w:val="19"/>
      </w:rPr>
      <w:t>International Telecommunication Union • Place des Nations, CH</w:t>
    </w:r>
    <w:r>
      <w:rPr>
        <w:color w:val="4F81BD" w:themeColor="accent1"/>
        <w:sz w:val="19"/>
        <w:szCs w:val="19"/>
      </w:rPr>
      <w:noBreakHyphen/>
      <w:t>1211 Geneva 20, Switzerland</w:t>
    </w:r>
    <w:r>
      <w:rPr>
        <w:color w:val="4F81BD" w:themeColor="accent1"/>
        <w:sz w:val="19"/>
        <w:szCs w:val="19"/>
      </w:rPr>
      <w:br/>
      <w:t xml:space="preserve">Tel: +41 22 730 5111 • E-mail: </w:t>
    </w:r>
    <w:hyperlink r:id="rId1" w:history="1">
      <w:r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>
      <w:rPr>
        <w:color w:val="4F81BD"/>
        <w:sz w:val="19"/>
        <w:szCs w:val="19"/>
      </w:rPr>
      <w:t xml:space="preserve">• Fax: +41 22 733 7256 • </w:t>
    </w:r>
    <w:hyperlink r:id="rId2" w:history="1">
      <w:r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290AA" w14:textId="77777777" w:rsidR="0037245F" w:rsidRDefault="00EC3A86">
      <w:pPr>
        <w:spacing w:before="0" w:line="240" w:lineRule="auto"/>
      </w:pPr>
      <w:r>
        <w:separator/>
      </w:r>
    </w:p>
  </w:footnote>
  <w:footnote w:type="continuationSeparator" w:id="0">
    <w:p w14:paraId="07EDE6BD" w14:textId="77777777" w:rsidR="0037245F" w:rsidRDefault="00EC3A86">
      <w:pPr>
        <w:spacing w:before="0" w:line="240" w:lineRule="auto"/>
      </w:pPr>
      <w:r>
        <w:continuationSeparator/>
      </w:r>
    </w:p>
  </w:footnote>
  <w:footnote w:id="1">
    <w:p w14:paraId="4DF31CEA" w14:textId="77777777" w:rsidR="0037245F" w:rsidRDefault="00EC3A86">
      <w:pPr>
        <w:pStyle w:val="FootnoteText"/>
        <w:rPr>
          <w:szCs w:val="20"/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ab/>
      </w:r>
      <w:r>
        <w:rPr>
          <w:rFonts w:hint="eastAsia"/>
          <w:szCs w:val="20"/>
          <w:lang w:eastAsia="zh-CN"/>
        </w:rPr>
        <w:t>根据《公约》第</w:t>
      </w:r>
      <w:r>
        <w:rPr>
          <w:rFonts w:hint="eastAsia"/>
          <w:szCs w:val="20"/>
          <w:lang w:eastAsia="zh-CN"/>
        </w:rPr>
        <w:t>160 I</w:t>
      </w:r>
      <w:r>
        <w:rPr>
          <w:rFonts w:hint="eastAsia"/>
          <w:szCs w:val="20"/>
          <w:lang w:eastAsia="zh-CN"/>
        </w:rPr>
        <w:t>款的规定，</w:t>
      </w:r>
      <w:r>
        <w:rPr>
          <w:rFonts w:hint="eastAsia"/>
          <w:szCs w:val="20"/>
          <w:lang w:eastAsia="zh-CN"/>
        </w:rPr>
        <w:t>RAG</w:t>
      </w:r>
      <w:r>
        <w:rPr>
          <w:rFonts w:hint="eastAsia"/>
          <w:szCs w:val="20"/>
          <w:lang w:eastAsia="zh-CN"/>
        </w:rPr>
        <w:t>起草一份通过无线电通信局主任提交无线电通信全会的报告。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DEBA" w14:textId="77777777" w:rsidR="0037245F" w:rsidRDefault="00EC3A86">
    <w:pPr>
      <w:pStyle w:val="Header"/>
      <w:rPr>
        <w:sz w:val="18"/>
        <w:szCs w:val="18"/>
      </w:rPr>
    </w:pP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18"/>
        <w:szCs w:val="18"/>
      </w:rPr>
      <w:t xml:space="preserve">-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FE76F" w14:textId="77777777" w:rsidR="0037245F" w:rsidRDefault="00EC3A86">
    <w:pPr>
      <w:pStyle w:val="Header"/>
      <w:rPr>
        <w:iCs/>
        <w:sz w:val="18"/>
        <w:szCs w:val="18"/>
      </w:rPr>
    </w:pPr>
    <w:r>
      <w:tab/>
    </w:r>
    <w:r>
      <w:tab/>
    </w:r>
    <w:r>
      <w:rPr>
        <w:sz w:val="18"/>
        <w:szCs w:val="18"/>
      </w:rPr>
      <w:t xml:space="preserve">-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4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37245F" w14:paraId="0CD4DB15" w14:textId="77777777">
      <w:tc>
        <w:tcPr>
          <w:tcW w:w="4889" w:type="dxa"/>
          <w:tcMar>
            <w:left w:w="0" w:type="dxa"/>
          </w:tcMar>
        </w:tcPr>
        <w:p w14:paraId="4EE88F69" w14:textId="77777777" w:rsidR="0037245F" w:rsidRDefault="00EC3A86">
          <w:pPr>
            <w:pStyle w:val="Header"/>
            <w:spacing w:line="360" w:lineRule="auto"/>
          </w:pPr>
          <w:r>
            <w:rPr>
              <w:noProof/>
              <w:lang w:val="en-GB" w:eastAsia="en-GB"/>
            </w:rPr>
            <w:drawing>
              <wp:inline distT="0" distB="0" distL="0" distR="0" wp14:anchorId="37AB4198" wp14:editId="40003943">
                <wp:extent cx="765175" cy="765175"/>
                <wp:effectExtent l="0" t="0" r="0" b="0"/>
                <wp:docPr id="14" name="Picture 1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  <w:tcMar>
            <w:left w:w="0" w:type="dxa"/>
          </w:tcMar>
        </w:tcPr>
        <w:p w14:paraId="4AD29CC4" w14:textId="77777777" w:rsidR="0037245F" w:rsidRDefault="00EC3A86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3A19F65" wp14:editId="4A6CE0A6">
                <wp:extent cx="2628265" cy="739775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9483" cy="76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E559DE" w14:textId="77777777" w:rsidR="0037245F" w:rsidRDefault="00372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commondata" w:val="eyJoZGlkIjoiYTc2ZGZiNzZiNDVlOGViOWVmM2JhOTY0NGJkNjUyYzgifQ=="/>
  </w:docVars>
  <w:rsids>
    <w:rsidRoot w:val="00B669E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1DF4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4B6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87E4F"/>
    <w:rsid w:val="00295CFA"/>
    <w:rsid w:val="002A2618"/>
    <w:rsid w:val="002A5DD7"/>
    <w:rsid w:val="002A7926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245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888"/>
    <w:rsid w:val="008F4F21"/>
    <w:rsid w:val="00904D4A"/>
    <w:rsid w:val="009076D7"/>
    <w:rsid w:val="009151BA"/>
    <w:rsid w:val="0091560C"/>
    <w:rsid w:val="00925023"/>
    <w:rsid w:val="009277BC"/>
    <w:rsid w:val="00927D57"/>
    <w:rsid w:val="00931A51"/>
    <w:rsid w:val="00936E1F"/>
    <w:rsid w:val="00947185"/>
    <w:rsid w:val="009518B3"/>
    <w:rsid w:val="00963D9D"/>
    <w:rsid w:val="00971DC7"/>
    <w:rsid w:val="0098013E"/>
    <w:rsid w:val="00981B54"/>
    <w:rsid w:val="009842C3"/>
    <w:rsid w:val="009903F4"/>
    <w:rsid w:val="009A009A"/>
    <w:rsid w:val="009A6BB6"/>
    <w:rsid w:val="009B3F43"/>
    <w:rsid w:val="009B5CFA"/>
    <w:rsid w:val="009C161F"/>
    <w:rsid w:val="009C56B4"/>
    <w:rsid w:val="009C6A12"/>
    <w:rsid w:val="009D51A2"/>
    <w:rsid w:val="009D722A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1F2B"/>
    <w:rsid w:val="00AC3896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34CF9"/>
    <w:rsid w:val="00B37559"/>
    <w:rsid w:val="00B4054B"/>
    <w:rsid w:val="00B579B0"/>
    <w:rsid w:val="00B57D11"/>
    <w:rsid w:val="00B649D7"/>
    <w:rsid w:val="00B669E4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31510"/>
    <w:rsid w:val="00C4395E"/>
    <w:rsid w:val="00C47FFD"/>
    <w:rsid w:val="00C51E92"/>
    <w:rsid w:val="00C57E07"/>
    <w:rsid w:val="00C57E2C"/>
    <w:rsid w:val="00C608B7"/>
    <w:rsid w:val="00C66F24"/>
    <w:rsid w:val="00C76D7F"/>
    <w:rsid w:val="00C813AA"/>
    <w:rsid w:val="00C828B5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E001A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3A86"/>
    <w:rsid w:val="00EC4A96"/>
    <w:rsid w:val="00ED20E1"/>
    <w:rsid w:val="00EE03A0"/>
    <w:rsid w:val="00F424BF"/>
    <w:rsid w:val="00F44FC3"/>
    <w:rsid w:val="00F46107"/>
    <w:rsid w:val="00F468C5"/>
    <w:rsid w:val="00F52F39"/>
    <w:rsid w:val="00F55884"/>
    <w:rsid w:val="00F572D3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  <w:rsid w:val="17306175"/>
    <w:rsid w:val="1D854666"/>
    <w:rsid w:val="20AF6F5C"/>
    <w:rsid w:val="2B85118D"/>
    <w:rsid w:val="51BF41E5"/>
    <w:rsid w:val="556F5290"/>
    <w:rsid w:val="563D03BB"/>
    <w:rsid w:val="6981440C"/>
    <w:rsid w:val="6ED547AD"/>
    <w:rsid w:val="71EB0255"/>
    <w:rsid w:val="74143FCA"/>
    <w:rsid w:val="77060E80"/>
    <w:rsid w:val="7C9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03DD5"/>
  <w15:docId w15:val="{E7B18889-4508-41B1-B1E1-0C65175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4"/>
    <w:next w:val="Normal"/>
    <w:semiHidden/>
    <w:qFormat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</w:style>
  <w:style w:type="paragraph" w:styleId="TOC2">
    <w:name w:val="toc 2"/>
    <w:basedOn w:val="TOC1"/>
    <w:next w:val="Normal"/>
    <w:semiHidden/>
    <w:pPr>
      <w:spacing w:before="80"/>
      <w:ind w:left="1531" w:hanging="851"/>
    </w:pPr>
  </w:style>
  <w:style w:type="paragraph" w:styleId="TOC1">
    <w:name w:val="toc 1"/>
    <w:basedOn w:val="Normal"/>
    <w:next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CommentText">
    <w:name w:val="annotation text"/>
    <w:basedOn w:val="Normal"/>
    <w:semiHidden/>
    <w:qFormat/>
    <w:rPr>
      <w:sz w:val="20"/>
    </w:rPr>
  </w:style>
  <w:style w:type="paragraph" w:styleId="TOC5">
    <w:name w:val="toc 5"/>
    <w:basedOn w:val="TOC4"/>
    <w:next w:val="Normal"/>
    <w:semiHidden/>
    <w:qFormat/>
  </w:style>
  <w:style w:type="paragraph" w:styleId="PlainText">
    <w:name w:val="Plain Text"/>
    <w:basedOn w:val="Normal"/>
    <w:link w:val="PlainTextChar"/>
    <w:uiPriority w:val="99"/>
    <w:unhideWhenUsed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paragraph" w:styleId="TOC8">
    <w:name w:val="toc 8"/>
    <w:basedOn w:val="TOC4"/>
    <w:next w:val="Normal"/>
    <w:semiHidden/>
  </w:style>
  <w:style w:type="paragraph" w:styleId="Index3">
    <w:name w:val="index 3"/>
    <w:basedOn w:val="Normal"/>
    <w:next w:val="Normal"/>
    <w:semiHidden/>
    <w:qFormat/>
    <w:pPr>
      <w:ind w:left="567"/>
      <w:jc w:val="left"/>
    </w:pPr>
  </w:style>
  <w:style w:type="paragraph" w:styleId="BalloonText">
    <w:name w:val="Balloon Text"/>
    <w:basedOn w:val="Normal"/>
    <w:link w:val="BalloonTextChar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paragraph" w:styleId="FootnoteText">
    <w:name w:val="footnote text"/>
    <w:basedOn w:val="Note"/>
    <w:link w:val="FootnoteTextChar"/>
    <w:semiHidden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qFormat/>
    <w:pPr>
      <w:spacing w:before="80" w:line="240" w:lineRule="exact"/>
    </w:pPr>
    <w:rPr>
      <w:sz w:val="20"/>
    </w:rPr>
  </w:style>
  <w:style w:type="paragraph" w:styleId="TOC6">
    <w:name w:val="toc 6"/>
    <w:basedOn w:val="TOC4"/>
    <w:next w:val="Normal"/>
    <w:semiHidden/>
    <w:qFormat/>
  </w:style>
  <w:style w:type="paragraph" w:styleId="TOC9">
    <w:name w:val="toc 9"/>
    <w:basedOn w:val="TOC3"/>
    <w:next w:val="Normal"/>
    <w:semiHidden/>
    <w:qFormat/>
  </w:style>
  <w:style w:type="paragraph" w:styleId="Index1">
    <w:name w:val="index 1"/>
    <w:basedOn w:val="Normal"/>
    <w:next w:val="Normal"/>
    <w:semiHidden/>
    <w:qFormat/>
    <w:pPr>
      <w:jc w:val="left"/>
    </w:pPr>
  </w:style>
  <w:style w:type="paragraph" w:styleId="Index2">
    <w:name w:val="index 2"/>
    <w:basedOn w:val="Normal"/>
    <w:next w:val="Normal"/>
    <w:semiHidden/>
    <w:qFormat/>
    <w:pPr>
      <w:ind w:left="284"/>
      <w:jc w:val="left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position w:val="6"/>
      <w:sz w:val="18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Equation">
    <w:name w:val="Equation"/>
    <w:basedOn w:val="Normal"/>
    <w:qFormat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qFormat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lang w:val="fr-FR" w:eastAsia="en-US"/>
    </w:rPr>
  </w:style>
  <w:style w:type="paragraph" w:customStyle="1" w:styleId="Chaptitle">
    <w:name w:val="Chap_title"/>
    <w:basedOn w:val="Normal"/>
    <w:next w:val="Normalaftertitl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qFormat/>
    <w:pPr>
      <w:spacing w:before="400"/>
    </w:pPr>
  </w:style>
  <w:style w:type="paragraph" w:customStyle="1" w:styleId="Reftitle">
    <w:name w:val="Ref_title"/>
    <w:basedOn w:val="Normal"/>
    <w:next w:val="Reftext"/>
    <w:qFormat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qFormat/>
    <w:pPr>
      <w:ind w:left="794" w:hanging="794"/>
      <w:jc w:val="left"/>
    </w:pPr>
  </w:style>
  <w:style w:type="paragraph" w:customStyle="1" w:styleId="Formal">
    <w:name w:val="Formal"/>
    <w:basedOn w:val="ASN1"/>
    <w:qFormat/>
    <w:rPr>
      <w:b w:val="0"/>
    </w:rPr>
  </w:style>
  <w:style w:type="paragraph" w:customStyle="1" w:styleId="AnnexNoTitle">
    <w:name w:val="Annex_NoTitle"/>
    <w:basedOn w:val="Normal"/>
    <w:next w:val="Normalaftertitle"/>
    <w:qFormat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qFormat/>
  </w:style>
  <w:style w:type="paragraph" w:customStyle="1" w:styleId="Artheading">
    <w:name w:val="Art_heading"/>
    <w:basedOn w:val="Normal"/>
    <w:next w:val="Normalaftertitle"/>
    <w:qFormat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qFormat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qFormat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qFormat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qFormat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qFormat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qFormat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240"/>
      <w:jc w:val="left"/>
    </w:pPr>
    <w:rPr>
      <w:i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qFormat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qFormat/>
  </w:style>
  <w:style w:type="paragraph" w:customStyle="1" w:styleId="RecNo">
    <w:name w:val="Rec_No"/>
    <w:basedOn w:val="Normal"/>
    <w:next w:val="Rectitle"/>
    <w:qFormat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qFormat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qFormat/>
  </w:style>
  <w:style w:type="paragraph" w:customStyle="1" w:styleId="Questiontitle">
    <w:name w:val="Question_title"/>
    <w:basedOn w:val="Rectitle"/>
    <w:next w:val="Questionref"/>
    <w:qFormat/>
  </w:style>
  <w:style w:type="paragraph" w:customStyle="1" w:styleId="Questionref">
    <w:name w:val="Question_ref"/>
    <w:basedOn w:val="Recref"/>
    <w:next w:val="Questiondate"/>
    <w:qFormat/>
  </w:style>
  <w:style w:type="paragraph" w:customStyle="1" w:styleId="Recref">
    <w:name w:val="Rec_ref"/>
    <w:basedOn w:val="Normal"/>
    <w:next w:val="Recdate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qFormat/>
  </w:style>
  <w:style w:type="paragraph" w:customStyle="1" w:styleId="RepNo">
    <w:name w:val="Rep_No"/>
    <w:basedOn w:val="RecNo"/>
    <w:next w:val="Reptitle"/>
    <w:qFormat/>
  </w:style>
  <w:style w:type="paragraph" w:customStyle="1" w:styleId="Reptitle">
    <w:name w:val="Rep_title"/>
    <w:basedOn w:val="Rectitle"/>
    <w:next w:val="Repref"/>
    <w:qFormat/>
  </w:style>
  <w:style w:type="paragraph" w:customStyle="1" w:styleId="Repref">
    <w:name w:val="Rep_ref"/>
    <w:basedOn w:val="Recref"/>
    <w:next w:val="Repdate"/>
    <w:qFormat/>
  </w:style>
  <w:style w:type="paragraph" w:customStyle="1" w:styleId="Resdate">
    <w:name w:val="Res_date"/>
    <w:basedOn w:val="Recdate"/>
    <w:next w:val="Normalaftertitle"/>
    <w:qFormat/>
  </w:style>
  <w:style w:type="paragraph" w:customStyle="1" w:styleId="ResNo">
    <w:name w:val="Res_No"/>
    <w:basedOn w:val="RecNo"/>
    <w:next w:val="Restitle"/>
    <w:qFormat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qFormat/>
  </w:style>
  <w:style w:type="paragraph" w:customStyle="1" w:styleId="Resref">
    <w:name w:val="Res_ref"/>
    <w:basedOn w:val="Recref"/>
    <w:next w:val="Resdate"/>
    <w:qFormat/>
  </w:style>
  <w:style w:type="paragraph" w:customStyle="1" w:styleId="SectionNo">
    <w:name w:val="Section_No"/>
    <w:basedOn w:val="Normal"/>
    <w:next w:val="Sectiontitle"/>
    <w:qFormat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qFormat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qFormat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qFormat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customStyle="1" w:styleId="href">
    <w:name w:val="href"/>
    <w:basedOn w:val="DefaultParagraphFont"/>
  </w:style>
  <w:style w:type="paragraph" w:customStyle="1" w:styleId="NormalIndent">
    <w:name w:val="Normal_Indent"/>
    <w:basedOn w:val="Normal"/>
    <w:qFormat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styleId="ListParagraph">
    <w:name w:val="List Paragraph"/>
    <w:basedOn w:val="Normal"/>
    <w:uiPriority w:val="34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Pr>
      <w:sz w:val="24"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szCs w:val="22"/>
      <w:lang w:val="en-US" w:eastAsia="en-US"/>
    </w:rPr>
  </w:style>
  <w:style w:type="paragraph" w:customStyle="1" w:styleId="AnnexNo">
    <w:name w:val="Annex_No"/>
    <w:basedOn w:val="Normal"/>
    <w:next w:val="Normal"/>
    <w:pPr>
      <w:spacing w:before="720" w:line="240" w:lineRule="auto"/>
      <w:jc w:val="center"/>
    </w:pPr>
    <w:rPr>
      <w:rFonts w:asciiTheme="minorHAnsi" w:hAnsiTheme="minorHAnsi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pPr>
      <w:spacing w:before="240" w:after="240" w:line="240" w:lineRule="auto"/>
      <w:jc w:val="center"/>
    </w:pPr>
    <w:rPr>
      <w:rFonts w:asciiTheme="minorHAnsi" w:hAnsiTheme="minorHAnsi" w:cs="Times New Roman"/>
      <w:b/>
      <w:sz w:val="28"/>
      <w:szCs w:val="20"/>
      <w:lang w:val="en-GB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7-2015" TargetMode="External"/><Relationship Id="rId13" Type="http://schemas.openxmlformats.org/officeDocument/2006/relationships/hyperlink" Target="mailto:ra23contributions@itu.in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ra23contact@itu.int" TargetMode="External"/><Relationship Id="rId12" Type="http://schemas.openxmlformats.org/officeDocument/2006/relationships/hyperlink" Target="mailto:RA19contributions@itu.int" TargetMode="External"/><Relationship Id="rId17" Type="http://schemas.openxmlformats.org/officeDocument/2006/relationships/hyperlink" Target="https://www.itu.int/ra-2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ra-23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ra-23/docume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TI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oth/R0A0E0000E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oth/R0A01000003" TargetMode="External"/><Relationship Id="rId14" Type="http://schemas.openxmlformats.org/officeDocument/2006/relationships/hyperlink" Target="https://www.itu.int/ra-23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3DA6-AA3A-403E-95C4-4BFD256B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1932</Words>
  <Characters>1078</Characters>
  <Application>Microsoft Office Word</Application>
  <DocSecurity>0</DocSecurity>
  <Lines>49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Chen, Meng</dc:creator>
  <cp:lastModifiedBy>Panoussopoulos, Sonia</cp:lastModifiedBy>
  <cp:revision>4</cp:revision>
  <cp:lastPrinted>2013-03-08T10:15:00Z</cp:lastPrinted>
  <dcterms:created xsi:type="dcterms:W3CDTF">2023-02-08T12:25:00Z</dcterms:created>
  <dcterms:modified xsi:type="dcterms:W3CDTF">2023-02-10T09:55:00Z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KSOProductBuildVer">
    <vt:lpwstr>2052-11.1.0.13703</vt:lpwstr>
  </property>
  <property fmtid="{D5CDD505-2E9C-101B-9397-08002B2CF9AE}" pid="11" name="ICV">
    <vt:lpwstr>CFD581ADAEE741B0AD0D6C458B59E88D</vt:lpwstr>
  </property>
</Properties>
</file>