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582B6F4" w14:textId="77777777" w:rsidTr="004228FA">
        <w:trPr>
          <w:jc w:val="center"/>
        </w:trPr>
        <w:tc>
          <w:tcPr>
            <w:tcW w:w="9889" w:type="dxa"/>
            <w:gridSpan w:val="3"/>
            <w:shd w:val="clear" w:color="auto" w:fill="auto"/>
          </w:tcPr>
          <w:p w14:paraId="3D80E37C" w14:textId="77777777" w:rsidR="00E53DCE" w:rsidRDefault="00E53DCE" w:rsidP="004D15B0">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14A3D16F" w14:textId="77777777" w:rsidR="00E53DCE" w:rsidRPr="006F38C7" w:rsidRDefault="00E53DCE" w:rsidP="004D15B0">
            <w:pPr>
              <w:spacing w:before="0" w:line="240" w:lineRule="auto"/>
              <w:jc w:val="left"/>
              <w:rPr>
                <w:rFonts w:cstheme="minorHAnsi"/>
                <w:b/>
                <w:bCs/>
                <w:color w:val="808080"/>
                <w:sz w:val="22"/>
                <w:lang w:val="en-GB"/>
              </w:rPr>
            </w:pPr>
          </w:p>
          <w:p w14:paraId="6BA64A71" w14:textId="77777777" w:rsidR="00E53DCE" w:rsidRPr="00AF70DA" w:rsidRDefault="00E53DCE" w:rsidP="004D15B0">
            <w:pPr>
              <w:spacing w:before="0" w:line="240" w:lineRule="auto"/>
              <w:jc w:val="left"/>
              <w:rPr>
                <w:rFonts w:cs="Times New Roman Bold"/>
                <w:b/>
                <w:bCs/>
                <w:color w:val="808080"/>
                <w:sz w:val="28"/>
                <w:szCs w:val="28"/>
                <w:lang w:val="en-GB"/>
              </w:rPr>
            </w:pPr>
          </w:p>
        </w:tc>
      </w:tr>
      <w:tr w:rsidR="00E53DCE" w:rsidRPr="002D26CB" w14:paraId="6C6B013F" w14:textId="77777777" w:rsidTr="004228FA">
        <w:trPr>
          <w:jc w:val="center"/>
        </w:trPr>
        <w:tc>
          <w:tcPr>
            <w:tcW w:w="7054" w:type="dxa"/>
            <w:gridSpan w:val="2"/>
            <w:shd w:val="clear" w:color="auto" w:fill="auto"/>
          </w:tcPr>
          <w:p w14:paraId="62B189AD" w14:textId="77777777" w:rsidR="00E53DCE" w:rsidRPr="002D26CB" w:rsidRDefault="00E53DCE" w:rsidP="004D15B0">
            <w:pPr>
              <w:spacing w:before="0" w:line="240" w:lineRule="auto"/>
              <w:jc w:val="left"/>
              <w:rPr>
                <w:sz w:val="28"/>
                <w:szCs w:val="28"/>
                <w:lang w:val="fr-FR"/>
              </w:rPr>
            </w:pPr>
            <w:r w:rsidRPr="002D26CB">
              <w:rPr>
                <w:szCs w:val="24"/>
                <w:lang w:val="fr-FR"/>
              </w:rPr>
              <w:t>Circulaire administrative</w:t>
            </w:r>
          </w:p>
          <w:p w14:paraId="4FFBA649" w14:textId="3B87F777" w:rsidR="00E53DCE" w:rsidRPr="002D26CB" w:rsidRDefault="00E53DCE" w:rsidP="004D15B0">
            <w:pPr>
              <w:spacing w:before="0" w:line="240" w:lineRule="auto"/>
              <w:jc w:val="left"/>
              <w:rPr>
                <w:b/>
                <w:bCs/>
                <w:sz w:val="28"/>
                <w:szCs w:val="28"/>
                <w:lang w:val="fr-FR"/>
              </w:rPr>
            </w:pPr>
            <w:r w:rsidRPr="002D26CB">
              <w:rPr>
                <w:b/>
                <w:bCs/>
                <w:szCs w:val="24"/>
                <w:lang w:val="fr-FR"/>
              </w:rPr>
              <w:t>CA</w:t>
            </w:r>
            <w:r w:rsidR="00F55652" w:rsidRPr="002D26CB">
              <w:rPr>
                <w:b/>
                <w:bCs/>
                <w:szCs w:val="24"/>
                <w:lang w:val="fr-FR"/>
              </w:rPr>
              <w:t>CE</w:t>
            </w:r>
            <w:r w:rsidRPr="002D26CB">
              <w:rPr>
                <w:b/>
                <w:bCs/>
                <w:szCs w:val="24"/>
                <w:lang w:val="fr-FR"/>
              </w:rPr>
              <w:t>/</w:t>
            </w:r>
            <w:r w:rsidR="005C023B">
              <w:rPr>
                <w:b/>
                <w:bCs/>
                <w:szCs w:val="24"/>
                <w:lang w:val="fr-FR"/>
              </w:rPr>
              <w:t>104</w:t>
            </w:r>
            <w:r w:rsidR="00D91947">
              <w:rPr>
                <w:b/>
                <w:bCs/>
                <w:szCs w:val="24"/>
                <w:lang w:val="fr-FR"/>
              </w:rPr>
              <w:t>7</w:t>
            </w:r>
          </w:p>
        </w:tc>
        <w:tc>
          <w:tcPr>
            <w:tcW w:w="2835" w:type="dxa"/>
            <w:shd w:val="clear" w:color="auto" w:fill="auto"/>
          </w:tcPr>
          <w:p w14:paraId="042722B4" w14:textId="73FC235D" w:rsidR="00E53DCE" w:rsidRPr="002D26CB" w:rsidRDefault="00F55652" w:rsidP="004D15B0">
            <w:pPr>
              <w:spacing w:before="0" w:line="240" w:lineRule="auto"/>
              <w:jc w:val="right"/>
              <w:rPr>
                <w:sz w:val="28"/>
                <w:szCs w:val="28"/>
                <w:lang w:val="fr-FR"/>
              </w:rPr>
            </w:pPr>
            <w:r w:rsidRPr="002D26CB">
              <w:rPr>
                <w:szCs w:val="24"/>
                <w:lang w:val="fr-FR"/>
              </w:rPr>
              <w:t>L</w:t>
            </w:r>
            <w:r w:rsidR="00E53DCE" w:rsidRPr="002D26CB">
              <w:rPr>
                <w:szCs w:val="24"/>
                <w:lang w:val="fr-FR"/>
              </w:rPr>
              <w:t xml:space="preserve">e </w:t>
            </w:r>
            <w:r w:rsidR="005C023B">
              <w:rPr>
                <w:rFonts w:cs="Arial"/>
                <w:szCs w:val="24"/>
                <w:lang w:val="fr-FR"/>
              </w:rPr>
              <w:t>21 décembre 2022</w:t>
            </w:r>
          </w:p>
        </w:tc>
      </w:tr>
      <w:tr w:rsidR="00E53DCE" w:rsidRPr="002D26CB" w14:paraId="20EFD175" w14:textId="77777777" w:rsidTr="004228FA">
        <w:trPr>
          <w:jc w:val="center"/>
        </w:trPr>
        <w:tc>
          <w:tcPr>
            <w:tcW w:w="9889" w:type="dxa"/>
            <w:gridSpan w:val="3"/>
            <w:shd w:val="clear" w:color="auto" w:fill="auto"/>
          </w:tcPr>
          <w:p w14:paraId="601BAE05" w14:textId="77777777" w:rsidR="00E53DCE" w:rsidRPr="002D26CB" w:rsidRDefault="00E53DCE" w:rsidP="004D15B0">
            <w:pPr>
              <w:spacing w:before="0" w:line="240" w:lineRule="auto"/>
              <w:jc w:val="left"/>
              <w:rPr>
                <w:rFonts w:cs="Arial"/>
                <w:szCs w:val="24"/>
                <w:lang w:val="fr-FR"/>
              </w:rPr>
            </w:pPr>
          </w:p>
        </w:tc>
      </w:tr>
      <w:tr w:rsidR="00E53DCE" w:rsidRPr="002D26CB" w14:paraId="4B5F8D28" w14:textId="77777777" w:rsidTr="004228FA">
        <w:trPr>
          <w:jc w:val="center"/>
        </w:trPr>
        <w:tc>
          <w:tcPr>
            <w:tcW w:w="9889" w:type="dxa"/>
            <w:gridSpan w:val="3"/>
            <w:shd w:val="clear" w:color="auto" w:fill="auto"/>
          </w:tcPr>
          <w:p w14:paraId="2B432E9A" w14:textId="77777777" w:rsidR="00E53DCE" w:rsidRPr="002D26CB" w:rsidRDefault="00E53DCE" w:rsidP="004D15B0">
            <w:pPr>
              <w:spacing w:before="0" w:line="240" w:lineRule="auto"/>
              <w:jc w:val="left"/>
              <w:rPr>
                <w:szCs w:val="24"/>
                <w:lang w:val="fr-FR"/>
              </w:rPr>
            </w:pPr>
          </w:p>
        </w:tc>
      </w:tr>
      <w:tr w:rsidR="00E53DCE" w:rsidRPr="00271B0F" w14:paraId="28BD9FB6" w14:textId="77777777" w:rsidTr="004228FA">
        <w:trPr>
          <w:jc w:val="center"/>
        </w:trPr>
        <w:tc>
          <w:tcPr>
            <w:tcW w:w="9889" w:type="dxa"/>
            <w:gridSpan w:val="3"/>
            <w:shd w:val="clear" w:color="auto" w:fill="auto"/>
          </w:tcPr>
          <w:p w14:paraId="2BB70EC0" w14:textId="45BD1B3F" w:rsidR="00E53DCE" w:rsidRPr="002D26CB" w:rsidRDefault="00EE1A57" w:rsidP="004D15B0">
            <w:pPr>
              <w:spacing w:before="0" w:line="240" w:lineRule="auto"/>
              <w:jc w:val="left"/>
              <w:rPr>
                <w:b/>
                <w:bCs/>
                <w:szCs w:val="24"/>
                <w:lang w:val="fr-FR"/>
              </w:rPr>
            </w:pPr>
            <w:r w:rsidRPr="002D26CB">
              <w:rPr>
                <w:b/>
                <w:bCs/>
                <w:szCs w:val="24"/>
                <w:lang w:val="fr-FR"/>
              </w:rPr>
              <w:t xml:space="preserve">Aux Administrations des </w:t>
            </w:r>
            <w:r w:rsidR="002D26CB" w:rsidRPr="002D26CB">
              <w:rPr>
                <w:b/>
                <w:bCs/>
                <w:szCs w:val="24"/>
                <w:lang w:val="fr-FR"/>
              </w:rPr>
              <w:t>États</w:t>
            </w:r>
            <w:r w:rsidRPr="002D26CB">
              <w:rPr>
                <w:b/>
                <w:bCs/>
                <w:szCs w:val="24"/>
                <w:lang w:val="fr-FR"/>
              </w:rPr>
              <w:t xml:space="preserve"> Membres de l'UIT</w:t>
            </w:r>
            <w:r w:rsidR="006F38C7" w:rsidRPr="002D26CB">
              <w:rPr>
                <w:b/>
                <w:bCs/>
                <w:szCs w:val="24"/>
                <w:lang w:val="fr-FR"/>
              </w:rPr>
              <w:t>,</w:t>
            </w:r>
            <w:r w:rsidR="006F38C7" w:rsidRPr="002D26CB">
              <w:rPr>
                <w:b/>
                <w:lang w:val="fr-FR"/>
              </w:rPr>
              <w:t xml:space="preserve"> aux Membres du Secteur des radiocommunications, </w:t>
            </w:r>
            <w:r w:rsidR="006F38C7" w:rsidRPr="002D26CB">
              <w:rPr>
                <w:b/>
                <w:bCs/>
                <w:lang w:val="fr-FR"/>
              </w:rPr>
              <w:t>aux</w:t>
            </w:r>
            <w:r w:rsidR="006F38C7" w:rsidRPr="002D26CB">
              <w:rPr>
                <w:b/>
                <w:lang w:val="fr-FR"/>
              </w:rPr>
              <w:t xml:space="preserve"> </w:t>
            </w:r>
            <w:r w:rsidR="006F38C7" w:rsidRPr="002D26CB">
              <w:rPr>
                <w:b/>
                <w:bCs/>
                <w:lang w:val="fr-FR"/>
              </w:rPr>
              <w:t>Associés de l'UIT</w:t>
            </w:r>
            <w:r w:rsidR="006F38C7" w:rsidRPr="002D26CB">
              <w:rPr>
                <w:b/>
                <w:bCs/>
                <w:lang w:val="fr-FR"/>
              </w:rPr>
              <w:noBreakHyphen/>
              <w:t>R</w:t>
            </w:r>
            <w:r w:rsidR="006F38C7" w:rsidRPr="002D26CB">
              <w:rPr>
                <w:b/>
                <w:lang w:val="fr-FR"/>
              </w:rPr>
              <w:t xml:space="preserve"> participant aux travaux de la Commission d'études </w:t>
            </w:r>
            <w:r w:rsidR="005C023B">
              <w:rPr>
                <w:b/>
                <w:lang w:val="fr-FR"/>
              </w:rPr>
              <w:t>6</w:t>
            </w:r>
            <w:r w:rsidR="006F38C7" w:rsidRPr="002D26CB">
              <w:rPr>
                <w:b/>
                <w:lang w:val="fr-FR"/>
              </w:rPr>
              <w:t xml:space="preserve"> des radiocommunications et </w:t>
            </w:r>
            <w:r w:rsidR="006F38C7" w:rsidRPr="002D26CB">
              <w:rPr>
                <w:b/>
                <w:szCs w:val="24"/>
                <w:lang w:val="fr-FR"/>
              </w:rPr>
              <w:t>aux établissements universitaires participant aux travaux de l'UIT</w:t>
            </w:r>
          </w:p>
        </w:tc>
      </w:tr>
      <w:tr w:rsidR="00E53DCE" w:rsidRPr="00271B0F" w14:paraId="0830D35D" w14:textId="77777777" w:rsidTr="004228FA">
        <w:trPr>
          <w:jc w:val="center"/>
        </w:trPr>
        <w:tc>
          <w:tcPr>
            <w:tcW w:w="9889" w:type="dxa"/>
            <w:gridSpan w:val="3"/>
            <w:shd w:val="clear" w:color="auto" w:fill="auto"/>
          </w:tcPr>
          <w:p w14:paraId="0DA4D94B" w14:textId="77777777" w:rsidR="00E53DCE" w:rsidRPr="002D26CB" w:rsidRDefault="00E53DCE" w:rsidP="004D15B0">
            <w:pPr>
              <w:spacing w:before="0" w:line="240" w:lineRule="auto"/>
              <w:jc w:val="left"/>
              <w:rPr>
                <w:sz w:val="16"/>
                <w:szCs w:val="16"/>
                <w:lang w:val="fr-FR"/>
              </w:rPr>
            </w:pPr>
          </w:p>
        </w:tc>
      </w:tr>
      <w:tr w:rsidR="00E53DCE" w:rsidRPr="00271B0F" w14:paraId="4E2FA83A" w14:textId="77777777" w:rsidTr="004228FA">
        <w:trPr>
          <w:jc w:val="center"/>
        </w:trPr>
        <w:tc>
          <w:tcPr>
            <w:tcW w:w="9889" w:type="dxa"/>
            <w:gridSpan w:val="3"/>
            <w:shd w:val="clear" w:color="auto" w:fill="auto"/>
          </w:tcPr>
          <w:p w14:paraId="54294457" w14:textId="77777777" w:rsidR="00E53DCE" w:rsidRPr="002D26CB" w:rsidRDefault="00E53DCE" w:rsidP="004D15B0">
            <w:pPr>
              <w:spacing w:before="0" w:line="240" w:lineRule="auto"/>
              <w:jc w:val="left"/>
              <w:rPr>
                <w:sz w:val="16"/>
                <w:szCs w:val="16"/>
                <w:lang w:val="fr-FR"/>
              </w:rPr>
            </w:pPr>
          </w:p>
        </w:tc>
      </w:tr>
      <w:tr w:rsidR="00E53DCE" w:rsidRPr="00271B0F" w14:paraId="6D996C95" w14:textId="77777777" w:rsidTr="004228FA">
        <w:trPr>
          <w:jc w:val="center"/>
        </w:trPr>
        <w:tc>
          <w:tcPr>
            <w:tcW w:w="1526" w:type="dxa"/>
            <w:shd w:val="clear" w:color="auto" w:fill="auto"/>
          </w:tcPr>
          <w:p w14:paraId="1555A51F" w14:textId="77777777" w:rsidR="00E53DCE" w:rsidRPr="005C023B" w:rsidRDefault="003471C9" w:rsidP="004D15B0">
            <w:pPr>
              <w:tabs>
                <w:tab w:val="clear" w:pos="1588"/>
                <w:tab w:val="left" w:pos="1560"/>
              </w:tabs>
              <w:spacing w:before="0" w:line="240" w:lineRule="auto"/>
              <w:jc w:val="left"/>
              <w:rPr>
                <w:szCs w:val="24"/>
                <w:lang w:val="fr-FR"/>
              </w:rPr>
            </w:pPr>
            <w:proofErr w:type="gramStart"/>
            <w:r w:rsidRPr="005C023B">
              <w:rPr>
                <w:lang w:val="fr-FR"/>
              </w:rPr>
              <w:t>Objet</w:t>
            </w:r>
            <w:r w:rsidR="00E53DCE" w:rsidRPr="005C023B">
              <w:rPr>
                <w:szCs w:val="24"/>
                <w:lang w:val="fr-FR"/>
              </w:rPr>
              <w:t>:</w:t>
            </w:r>
            <w:proofErr w:type="gramEnd"/>
          </w:p>
        </w:tc>
        <w:tc>
          <w:tcPr>
            <w:tcW w:w="8363" w:type="dxa"/>
            <w:gridSpan w:val="2"/>
            <w:vMerge w:val="restart"/>
            <w:shd w:val="clear" w:color="auto" w:fill="auto"/>
          </w:tcPr>
          <w:p w14:paraId="11AC46E5" w14:textId="1A00D235" w:rsidR="00E53DCE" w:rsidRPr="005C023B" w:rsidRDefault="00112DC9" w:rsidP="004D15B0">
            <w:pPr>
              <w:tabs>
                <w:tab w:val="clear" w:pos="1588"/>
                <w:tab w:val="left" w:pos="1560"/>
              </w:tabs>
              <w:spacing w:before="0" w:line="240" w:lineRule="auto"/>
              <w:jc w:val="left"/>
              <w:rPr>
                <w:b/>
                <w:bCs/>
                <w:lang w:val="fr-FR"/>
              </w:rPr>
            </w:pPr>
            <w:r w:rsidRPr="005C023B">
              <w:rPr>
                <w:b/>
                <w:bCs/>
                <w:lang w:val="fr-FR"/>
              </w:rPr>
              <w:t xml:space="preserve">Commission d'études </w:t>
            </w:r>
            <w:r w:rsidR="005C023B" w:rsidRPr="005C023B">
              <w:rPr>
                <w:b/>
                <w:bCs/>
                <w:lang w:val="fr-FR"/>
              </w:rPr>
              <w:t>6</w:t>
            </w:r>
            <w:r w:rsidRPr="005C023B">
              <w:rPr>
                <w:b/>
                <w:bCs/>
                <w:lang w:val="fr-FR"/>
              </w:rPr>
              <w:t xml:space="preserve"> des radiocommunications </w:t>
            </w:r>
            <w:r w:rsidR="005C023B" w:rsidRPr="005C023B">
              <w:rPr>
                <w:b/>
                <w:bCs/>
                <w:spacing w:val="-2"/>
                <w:lang w:val="fr-FR"/>
              </w:rPr>
              <w:t>(Service de radiodiffusion)</w:t>
            </w:r>
          </w:p>
          <w:p w14:paraId="3F1A436C" w14:textId="5878AC9E" w:rsidR="006F38C7" w:rsidRPr="005C023B" w:rsidRDefault="006F38C7" w:rsidP="005C023B">
            <w:pPr>
              <w:tabs>
                <w:tab w:val="clear" w:pos="1588"/>
                <w:tab w:val="left" w:pos="1560"/>
              </w:tabs>
              <w:spacing w:before="80" w:line="240" w:lineRule="auto"/>
              <w:ind w:left="794" w:hanging="794"/>
              <w:jc w:val="left"/>
              <w:rPr>
                <w:b/>
                <w:bCs/>
                <w:szCs w:val="24"/>
                <w:lang w:val="fr-FR"/>
              </w:rPr>
            </w:pPr>
            <w:r w:rsidRPr="005C023B">
              <w:rPr>
                <w:b/>
                <w:bCs/>
                <w:lang w:val="fr-FR"/>
              </w:rPr>
              <w:t>–</w:t>
            </w:r>
            <w:r w:rsidRPr="005C023B">
              <w:rPr>
                <w:b/>
                <w:bCs/>
                <w:lang w:val="fr-FR"/>
              </w:rPr>
              <w:tab/>
              <w:t xml:space="preserve">Adoption de </w:t>
            </w:r>
            <w:r w:rsidR="005C023B" w:rsidRPr="005C023B">
              <w:rPr>
                <w:b/>
                <w:bCs/>
                <w:lang w:val="fr-FR"/>
              </w:rPr>
              <w:t>2</w:t>
            </w:r>
            <w:r w:rsidRPr="005C023B">
              <w:rPr>
                <w:b/>
                <w:bCs/>
                <w:lang w:val="fr-FR"/>
              </w:rPr>
              <w:t xml:space="preserve"> nouvelles Recommandations UIT-R et de</w:t>
            </w:r>
            <w:r w:rsidR="004D15B0" w:rsidRPr="005C023B">
              <w:rPr>
                <w:b/>
                <w:bCs/>
                <w:lang w:val="fr-FR"/>
              </w:rPr>
              <w:t> </w:t>
            </w:r>
            <w:r w:rsidR="005C023B" w:rsidRPr="005C023B">
              <w:rPr>
                <w:b/>
                <w:bCs/>
                <w:lang w:val="fr-FR"/>
              </w:rPr>
              <w:t>6</w:t>
            </w:r>
            <w:r w:rsidR="004D15B0" w:rsidRPr="005C023B">
              <w:rPr>
                <w:b/>
                <w:bCs/>
                <w:lang w:val="fr-FR"/>
              </w:rPr>
              <w:t> </w:t>
            </w:r>
            <w:r w:rsidRPr="005C023B">
              <w:rPr>
                <w:b/>
                <w:bCs/>
                <w:lang w:val="fr-FR"/>
              </w:rPr>
              <w:t xml:space="preserve">Recommandations UIT-R révisées </w:t>
            </w:r>
            <w:r w:rsidR="003708BF" w:rsidRPr="005C023B">
              <w:rPr>
                <w:b/>
                <w:bCs/>
                <w:lang w:val="fr-FR"/>
              </w:rPr>
              <w:t xml:space="preserve">et approbation simultanée </w:t>
            </w:r>
            <w:r w:rsidRPr="005C023B">
              <w:rPr>
                <w:b/>
                <w:bCs/>
                <w:lang w:val="fr-FR"/>
              </w:rPr>
              <w:t>par</w:t>
            </w:r>
            <w:r w:rsidR="004D15B0" w:rsidRPr="005C023B">
              <w:rPr>
                <w:b/>
                <w:bCs/>
                <w:lang w:val="fr-FR"/>
              </w:rPr>
              <w:t> </w:t>
            </w:r>
            <w:r w:rsidRPr="005C023B">
              <w:rPr>
                <w:b/>
                <w:bCs/>
                <w:lang w:val="fr-FR"/>
              </w:rPr>
              <w:t xml:space="preserve">correspondance </w:t>
            </w:r>
            <w:r w:rsidR="003708BF" w:rsidRPr="005C023B">
              <w:rPr>
                <w:b/>
                <w:bCs/>
                <w:lang w:val="fr-FR"/>
              </w:rPr>
              <w:t>de ces textes</w:t>
            </w:r>
            <w:r w:rsidRPr="005C023B">
              <w:rPr>
                <w:b/>
                <w:bCs/>
                <w:lang w:val="fr-FR"/>
              </w:rPr>
              <w:t>, conformément au § A2.6.2.4 de la Résolution UIT</w:t>
            </w:r>
            <w:r w:rsidRPr="005C023B">
              <w:rPr>
                <w:b/>
                <w:bCs/>
                <w:lang w:val="fr-FR"/>
              </w:rPr>
              <w:noBreakHyphen/>
              <w:t>R 1</w:t>
            </w:r>
            <w:r w:rsidRPr="005C023B">
              <w:rPr>
                <w:b/>
                <w:bCs/>
                <w:lang w:val="fr-FR"/>
              </w:rPr>
              <w:noBreakHyphen/>
            </w:r>
            <w:r w:rsidR="00112DC9" w:rsidRPr="005C023B">
              <w:rPr>
                <w:b/>
                <w:bCs/>
                <w:lang w:val="fr-FR"/>
              </w:rPr>
              <w:t>8</w:t>
            </w:r>
            <w:r w:rsidRPr="005C023B">
              <w:rPr>
                <w:b/>
                <w:bCs/>
                <w:lang w:val="fr-FR"/>
              </w:rPr>
              <w:t xml:space="preserve"> (Procédure d'adoption et d'approbation simultanées par correspondance)</w:t>
            </w:r>
          </w:p>
        </w:tc>
      </w:tr>
      <w:tr w:rsidR="00E53DCE" w:rsidRPr="00271B0F" w14:paraId="07AF25B5" w14:textId="77777777" w:rsidTr="004228FA">
        <w:trPr>
          <w:jc w:val="center"/>
        </w:trPr>
        <w:tc>
          <w:tcPr>
            <w:tcW w:w="1526" w:type="dxa"/>
            <w:shd w:val="clear" w:color="auto" w:fill="auto"/>
          </w:tcPr>
          <w:p w14:paraId="31E794FA" w14:textId="77777777" w:rsidR="00E53DCE" w:rsidRPr="005C023B" w:rsidRDefault="00E53DCE" w:rsidP="004D15B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1C4B169C" w14:textId="77777777" w:rsidR="00E53DCE" w:rsidRPr="005C023B" w:rsidRDefault="00E53DCE" w:rsidP="004D15B0">
            <w:pPr>
              <w:tabs>
                <w:tab w:val="clear" w:pos="1588"/>
                <w:tab w:val="left" w:pos="1560"/>
              </w:tabs>
              <w:spacing w:before="0" w:line="240" w:lineRule="auto"/>
              <w:rPr>
                <w:b/>
                <w:bCs/>
                <w:szCs w:val="24"/>
                <w:lang w:val="fr-FR"/>
              </w:rPr>
            </w:pPr>
          </w:p>
        </w:tc>
      </w:tr>
      <w:tr w:rsidR="00E53DCE" w:rsidRPr="00271B0F" w14:paraId="5CE60B43" w14:textId="77777777" w:rsidTr="004228FA">
        <w:trPr>
          <w:jc w:val="center"/>
        </w:trPr>
        <w:tc>
          <w:tcPr>
            <w:tcW w:w="1526" w:type="dxa"/>
            <w:shd w:val="clear" w:color="auto" w:fill="auto"/>
          </w:tcPr>
          <w:p w14:paraId="65464BB8" w14:textId="77777777" w:rsidR="00E53DCE" w:rsidRPr="005C023B" w:rsidRDefault="00E53DCE" w:rsidP="004D15B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4D3D02C" w14:textId="77777777" w:rsidR="00E53DCE" w:rsidRPr="005C023B" w:rsidRDefault="00E53DCE" w:rsidP="004D15B0">
            <w:pPr>
              <w:tabs>
                <w:tab w:val="clear" w:pos="1588"/>
                <w:tab w:val="left" w:pos="1560"/>
              </w:tabs>
              <w:spacing w:before="0" w:line="240" w:lineRule="auto"/>
              <w:rPr>
                <w:b/>
                <w:bCs/>
                <w:szCs w:val="24"/>
                <w:lang w:val="fr-FR"/>
              </w:rPr>
            </w:pPr>
          </w:p>
        </w:tc>
      </w:tr>
      <w:tr w:rsidR="00E53DCE" w:rsidRPr="00271B0F" w14:paraId="57D9E0C4" w14:textId="77777777" w:rsidTr="004228FA">
        <w:trPr>
          <w:jc w:val="center"/>
        </w:trPr>
        <w:tc>
          <w:tcPr>
            <w:tcW w:w="9889" w:type="dxa"/>
            <w:gridSpan w:val="3"/>
            <w:shd w:val="clear" w:color="auto" w:fill="auto"/>
          </w:tcPr>
          <w:p w14:paraId="004AFD09" w14:textId="77777777" w:rsidR="00E53DCE" w:rsidRPr="005C023B" w:rsidRDefault="00E53DCE" w:rsidP="004D15B0">
            <w:pPr>
              <w:tabs>
                <w:tab w:val="clear" w:pos="1588"/>
                <w:tab w:val="left" w:pos="1560"/>
              </w:tabs>
              <w:spacing w:before="0" w:line="240" w:lineRule="auto"/>
              <w:jc w:val="left"/>
              <w:rPr>
                <w:szCs w:val="24"/>
                <w:lang w:val="fr-FR"/>
              </w:rPr>
            </w:pPr>
          </w:p>
        </w:tc>
      </w:tr>
    </w:tbl>
    <w:p w14:paraId="5C909645" w14:textId="38F91A0E" w:rsidR="006F38C7" w:rsidRPr="005C023B" w:rsidRDefault="006F38C7" w:rsidP="005C023B">
      <w:pPr>
        <w:spacing w:before="600" w:line="240" w:lineRule="auto"/>
        <w:rPr>
          <w:lang w:val="fr-FR"/>
        </w:rPr>
      </w:pPr>
      <w:r w:rsidRPr="005C023B">
        <w:rPr>
          <w:lang w:val="fr-FR"/>
        </w:rPr>
        <w:t xml:space="preserve">Dans la Circulaire administrative </w:t>
      </w:r>
      <w:hyperlink r:id="rId8" w:history="1">
        <w:r w:rsidRPr="005C023B">
          <w:rPr>
            <w:rStyle w:val="Hyperlink"/>
            <w:lang w:val="fr-FR"/>
          </w:rPr>
          <w:t>CACE/</w:t>
        </w:r>
        <w:r w:rsidR="005C023B" w:rsidRPr="005C023B">
          <w:rPr>
            <w:rStyle w:val="Hyperlink"/>
            <w:lang w:val="fr-FR"/>
          </w:rPr>
          <w:t>1041</w:t>
        </w:r>
      </w:hyperlink>
      <w:r w:rsidRPr="005C023B">
        <w:rPr>
          <w:lang w:val="fr-FR"/>
        </w:rPr>
        <w:t xml:space="preserve"> datée du </w:t>
      </w:r>
      <w:r w:rsidR="005C023B" w:rsidRPr="005C023B">
        <w:rPr>
          <w:lang w:val="fr-FR"/>
        </w:rPr>
        <w:t>19 octobre 2022</w:t>
      </w:r>
      <w:r w:rsidRPr="005C023B">
        <w:rPr>
          <w:lang w:val="fr-FR"/>
        </w:rPr>
        <w:t xml:space="preserve">, </w:t>
      </w:r>
      <w:r w:rsidR="005C023B" w:rsidRPr="005C023B">
        <w:rPr>
          <w:lang w:val="fr-FR"/>
        </w:rPr>
        <w:t>2</w:t>
      </w:r>
      <w:r w:rsidRPr="005C023B">
        <w:rPr>
          <w:lang w:val="fr-FR"/>
        </w:rPr>
        <w:t xml:space="preserve"> projets de nouvelle Recommandation UIT</w:t>
      </w:r>
      <w:r w:rsidRPr="005C023B">
        <w:rPr>
          <w:lang w:val="fr-FR"/>
        </w:rPr>
        <w:noBreakHyphen/>
        <w:t xml:space="preserve">R et </w:t>
      </w:r>
      <w:r w:rsidR="005C023B" w:rsidRPr="005C023B">
        <w:rPr>
          <w:lang w:val="fr-FR"/>
        </w:rPr>
        <w:t>6</w:t>
      </w:r>
      <w:r w:rsidRPr="005C023B">
        <w:rPr>
          <w:lang w:val="fr-FR"/>
        </w:rPr>
        <w:t xml:space="preserve"> projets de Recommandation UIT</w:t>
      </w:r>
      <w:r w:rsidRPr="005C023B">
        <w:rPr>
          <w:lang w:val="fr-FR"/>
        </w:rPr>
        <w:noBreakHyphen/>
        <w:t>R révisée ont été soumis pour adoption et approbation simultanées par correspondance (PAAS), conformément à la procédure prévue dans la Résolution UIT</w:t>
      </w:r>
      <w:r w:rsidRPr="005C023B">
        <w:rPr>
          <w:lang w:val="fr-FR"/>
        </w:rPr>
        <w:noBreakHyphen/>
        <w:t>R 1-</w:t>
      </w:r>
      <w:r w:rsidR="00112DC9" w:rsidRPr="005C023B">
        <w:rPr>
          <w:lang w:val="fr-FR"/>
        </w:rPr>
        <w:t>8</w:t>
      </w:r>
      <w:r w:rsidRPr="005C023B">
        <w:rPr>
          <w:lang w:val="fr-FR"/>
        </w:rPr>
        <w:t xml:space="preserve"> (§ A2.6.2.4). </w:t>
      </w:r>
    </w:p>
    <w:p w14:paraId="31E1BFD7" w14:textId="7DEF0340" w:rsidR="006F38C7" w:rsidRPr="005C023B" w:rsidRDefault="006F38C7" w:rsidP="004D15B0">
      <w:pPr>
        <w:spacing w:line="240" w:lineRule="auto"/>
        <w:rPr>
          <w:lang w:val="fr-FR"/>
        </w:rPr>
      </w:pPr>
      <w:r w:rsidRPr="005C023B">
        <w:rPr>
          <w:lang w:val="fr-FR"/>
        </w:rPr>
        <w:t xml:space="preserve">Les conditions régissant cette procédure ont été satisfaites </w:t>
      </w:r>
      <w:r w:rsidR="00EF54EB" w:rsidRPr="005C023B">
        <w:rPr>
          <w:lang w:val="fr-FR"/>
        </w:rPr>
        <w:t xml:space="preserve">le </w:t>
      </w:r>
      <w:r w:rsidR="005C023B" w:rsidRPr="00AD0025">
        <w:rPr>
          <w:u w:val="single"/>
          <w:lang w:val="fr-FR"/>
        </w:rPr>
        <w:t>19 décembre 2022</w:t>
      </w:r>
      <w:r w:rsidRPr="005C023B">
        <w:rPr>
          <w:lang w:val="fr-FR"/>
        </w:rPr>
        <w:t>.</w:t>
      </w:r>
    </w:p>
    <w:p w14:paraId="3C896EBA" w14:textId="08E194D2" w:rsidR="006F38C7" w:rsidRPr="002D26CB" w:rsidRDefault="006F38C7" w:rsidP="004D15B0">
      <w:pPr>
        <w:spacing w:line="240" w:lineRule="auto"/>
        <w:rPr>
          <w:lang w:val="fr-FR"/>
        </w:rPr>
      </w:pPr>
      <w:r w:rsidRPr="005C023B">
        <w:rPr>
          <w:lang w:val="fr-FR"/>
        </w:rPr>
        <w:t>Les Recommandations approuvées seront publiées par l'UIT et vous trouverez dans l'Annexe de la présente Circulaire leur</w:t>
      </w:r>
      <w:r w:rsidR="00112DC9" w:rsidRPr="005C023B">
        <w:rPr>
          <w:lang w:val="fr-FR"/>
        </w:rPr>
        <w:t>s</w:t>
      </w:r>
      <w:r w:rsidRPr="005C023B">
        <w:rPr>
          <w:lang w:val="fr-FR"/>
        </w:rPr>
        <w:t xml:space="preserve"> titre</w:t>
      </w:r>
      <w:r w:rsidR="00112DC9" w:rsidRPr="005C023B">
        <w:rPr>
          <w:lang w:val="fr-FR"/>
        </w:rPr>
        <w:t>s</w:t>
      </w:r>
      <w:r w:rsidRPr="005C023B">
        <w:rPr>
          <w:lang w:val="fr-FR"/>
        </w:rPr>
        <w:t xml:space="preserve"> ainsi que les numéros qui leur</w:t>
      </w:r>
      <w:r w:rsidR="006D2C3B" w:rsidRPr="005C023B">
        <w:rPr>
          <w:lang w:val="fr-FR"/>
        </w:rPr>
        <w:t xml:space="preserve"> </w:t>
      </w:r>
      <w:r w:rsidRPr="005C023B">
        <w:rPr>
          <w:lang w:val="fr-FR"/>
        </w:rPr>
        <w:t>ont été attribués.</w:t>
      </w:r>
    </w:p>
    <w:p w14:paraId="12D1B3F6" w14:textId="27E9EA8B" w:rsidR="002569F7" w:rsidRPr="002D26CB" w:rsidRDefault="00112DC9" w:rsidP="00271B0F">
      <w:pPr>
        <w:spacing w:before="1200" w:line="240" w:lineRule="auto"/>
        <w:jc w:val="left"/>
        <w:rPr>
          <w:lang w:val="fr-FR"/>
        </w:rPr>
      </w:pPr>
      <w:bookmarkStart w:id="0" w:name="_Hlk31619345"/>
      <w:r w:rsidRPr="00C9489C">
        <w:rPr>
          <w:szCs w:val="24"/>
          <w:lang w:val="fr-FR"/>
        </w:rPr>
        <w:t>Mario Maniewicz</w:t>
      </w:r>
      <w:r w:rsidR="00E80E61" w:rsidRPr="002D26CB">
        <w:rPr>
          <w:lang w:val="fr-FR"/>
        </w:rPr>
        <w:br/>
        <w:t>Directeur</w:t>
      </w:r>
    </w:p>
    <w:p w14:paraId="11F193A6" w14:textId="34D96D2C" w:rsidR="006F38C7" w:rsidRPr="002D26CB" w:rsidRDefault="006F38C7" w:rsidP="00271B0F">
      <w:pPr>
        <w:keepNext/>
        <w:keepLines/>
        <w:tabs>
          <w:tab w:val="center" w:pos="7939"/>
          <w:tab w:val="right" w:pos="8505"/>
        </w:tabs>
        <w:spacing w:before="1560" w:line="240" w:lineRule="auto"/>
        <w:rPr>
          <w:lang w:val="fr-FR"/>
        </w:rPr>
      </w:pPr>
      <w:bookmarkStart w:id="1" w:name="_GoBack"/>
      <w:bookmarkEnd w:id="0"/>
      <w:proofErr w:type="gramStart"/>
      <w:r w:rsidRPr="002D26CB">
        <w:rPr>
          <w:b/>
          <w:lang w:val="fr-FR"/>
        </w:rPr>
        <w:t>Annexe</w:t>
      </w:r>
      <w:r w:rsidRPr="002D26CB">
        <w:rPr>
          <w:bCs/>
          <w:lang w:val="fr-FR"/>
        </w:rPr>
        <w:t>:</w:t>
      </w:r>
      <w:proofErr w:type="gramEnd"/>
      <w:r w:rsidRPr="002D26CB">
        <w:rPr>
          <w:lang w:val="fr-FR"/>
        </w:rPr>
        <w:t xml:space="preserve"> </w:t>
      </w:r>
      <w:r w:rsidR="005C023B">
        <w:rPr>
          <w:lang w:val="fr-FR"/>
        </w:rPr>
        <w:t>1</w:t>
      </w:r>
    </w:p>
    <w:p w14:paraId="276E8972" w14:textId="77777777" w:rsidR="00112DC9" w:rsidRPr="002D26CB" w:rsidRDefault="00112DC9" w:rsidP="00271B0F">
      <w:pPr>
        <w:tabs>
          <w:tab w:val="clear" w:pos="794"/>
          <w:tab w:val="clear" w:pos="1191"/>
          <w:tab w:val="clear" w:pos="1588"/>
          <w:tab w:val="clear" w:pos="1985"/>
        </w:tabs>
        <w:overflowPunct/>
        <w:autoSpaceDE/>
        <w:autoSpaceDN/>
        <w:adjustRightInd/>
        <w:spacing w:before="1560" w:line="240" w:lineRule="auto"/>
        <w:jc w:val="left"/>
        <w:textAlignment w:val="auto"/>
        <w:rPr>
          <w:rFonts w:asciiTheme="minorHAnsi" w:hAnsiTheme="minorHAnsi" w:cs="Times New Roman"/>
          <w:b/>
          <w:sz w:val="28"/>
          <w:szCs w:val="20"/>
          <w:lang w:val="fr-FR"/>
        </w:rPr>
      </w:pPr>
      <w:r w:rsidRPr="002D26CB">
        <w:rPr>
          <w:rFonts w:asciiTheme="minorHAnsi" w:hAnsiTheme="minorHAnsi"/>
          <w:lang w:val="fr-FR"/>
        </w:rPr>
        <w:br w:type="page"/>
      </w:r>
    </w:p>
    <w:bookmarkEnd w:id="1"/>
    <w:p w14:paraId="0685BEAE" w14:textId="2A448BF6" w:rsidR="006F38C7" w:rsidRPr="002D26CB" w:rsidRDefault="006F38C7" w:rsidP="004D15B0">
      <w:pPr>
        <w:pStyle w:val="AnnexNotitle0"/>
        <w:spacing w:after="360"/>
        <w:rPr>
          <w:rFonts w:asciiTheme="minorHAnsi" w:hAnsiTheme="minorHAnsi"/>
          <w:lang w:val="fr-FR"/>
        </w:rPr>
      </w:pPr>
      <w:r w:rsidRPr="002D26CB">
        <w:rPr>
          <w:rFonts w:asciiTheme="minorHAnsi" w:hAnsiTheme="minorHAnsi"/>
          <w:lang w:val="fr-FR"/>
        </w:rPr>
        <w:lastRenderedPageBreak/>
        <w:t xml:space="preserve">Annexe </w:t>
      </w:r>
      <w:r w:rsidRPr="002D26CB">
        <w:rPr>
          <w:rFonts w:asciiTheme="minorHAnsi" w:hAnsiTheme="minorHAnsi"/>
          <w:lang w:val="fr-FR"/>
        </w:rPr>
        <w:br/>
      </w:r>
      <w:r w:rsidRPr="002D26CB">
        <w:rPr>
          <w:rFonts w:asciiTheme="minorHAnsi" w:hAnsiTheme="minorHAnsi"/>
          <w:lang w:val="fr-FR"/>
        </w:rPr>
        <w:br/>
      </w:r>
      <w:r w:rsidRPr="005C023B">
        <w:rPr>
          <w:rFonts w:asciiTheme="minorHAnsi" w:hAnsiTheme="minorHAnsi"/>
          <w:lang w:val="fr-FR"/>
        </w:rPr>
        <w:t>Titres des Recommandations</w:t>
      </w:r>
      <w:r w:rsidRPr="005C023B">
        <w:rPr>
          <w:rFonts w:asciiTheme="minorHAnsi" w:hAnsiTheme="minorHAnsi"/>
          <w:bCs/>
          <w:lang w:val="fr-FR"/>
        </w:rPr>
        <w:t xml:space="preserve"> UIT</w:t>
      </w:r>
      <w:r w:rsidRPr="005C023B">
        <w:rPr>
          <w:rFonts w:asciiTheme="minorHAnsi" w:hAnsiTheme="minorHAnsi"/>
          <w:bCs/>
          <w:lang w:val="fr-FR"/>
        </w:rPr>
        <w:noBreakHyphen/>
        <w:t>R</w:t>
      </w:r>
      <w:r w:rsidRPr="005C023B">
        <w:rPr>
          <w:rFonts w:asciiTheme="minorHAnsi" w:hAnsiTheme="minorHAnsi"/>
          <w:lang w:val="fr-FR"/>
        </w:rPr>
        <w:t xml:space="preserve"> approuvées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813"/>
        <w:gridCol w:w="1842"/>
      </w:tblGrid>
      <w:tr w:rsidR="00112DC9" w:rsidRPr="002D26CB" w14:paraId="1D0140EE" w14:textId="77777777" w:rsidTr="005C023B">
        <w:trPr>
          <w:jc w:val="center"/>
        </w:trPr>
        <w:tc>
          <w:tcPr>
            <w:tcW w:w="1838" w:type="dxa"/>
            <w:vAlign w:val="center"/>
          </w:tcPr>
          <w:p w14:paraId="1FC83567" w14:textId="5F10509E" w:rsidR="00112DC9" w:rsidRPr="002D26CB" w:rsidRDefault="00112DC9" w:rsidP="005C023B">
            <w:pPr>
              <w:pStyle w:val="Tablehead"/>
              <w:rPr>
                <w:rFonts w:asciiTheme="minorHAnsi" w:hAnsiTheme="minorHAnsi" w:cstheme="minorHAnsi"/>
                <w:lang w:val="fr-FR"/>
              </w:rPr>
            </w:pPr>
            <w:bookmarkStart w:id="2" w:name="_Hlk31619436"/>
            <w:r w:rsidRPr="002D26CB">
              <w:rPr>
                <w:rFonts w:asciiTheme="minorHAnsi" w:hAnsiTheme="minorHAnsi" w:cstheme="minorHAnsi"/>
                <w:lang w:val="fr-FR"/>
              </w:rPr>
              <w:t>Recommandation</w:t>
            </w:r>
            <w:r w:rsidRPr="002D26CB">
              <w:rPr>
                <w:rFonts w:asciiTheme="minorHAnsi" w:hAnsiTheme="minorHAnsi" w:cstheme="minorHAnsi"/>
                <w:lang w:val="fr-FR"/>
              </w:rPr>
              <w:br/>
              <w:t>UIT-R</w:t>
            </w:r>
          </w:p>
        </w:tc>
        <w:tc>
          <w:tcPr>
            <w:tcW w:w="5813" w:type="dxa"/>
            <w:vAlign w:val="center"/>
          </w:tcPr>
          <w:p w14:paraId="5EB585FC" w14:textId="604A1A3F" w:rsidR="00112DC9" w:rsidRPr="002D26CB" w:rsidRDefault="00112DC9" w:rsidP="005C023B">
            <w:pPr>
              <w:pStyle w:val="Tablehead"/>
              <w:rPr>
                <w:rFonts w:asciiTheme="minorHAnsi" w:hAnsiTheme="minorHAnsi" w:cstheme="minorHAnsi"/>
                <w:lang w:val="fr-FR"/>
              </w:rPr>
            </w:pPr>
            <w:r w:rsidRPr="002D26CB">
              <w:rPr>
                <w:rFonts w:asciiTheme="minorHAnsi" w:hAnsiTheme="minorHAnsi" w:cstheme="minorHAnsi"/>
                <w:bCs/>
                <w:lang w:val="fr-FR"/>
              </w:rPr>
              <w:t>Titre</w:t>
            </w:r>
          </w:p>
        </w:tc>
        <w:tc>
          <w:tcPr>
            <w:tcW w:w="1842" w:type="dxa"/>
            <w:vAlign w:val="center"/>
          </w:tcPr>
          <w:p w14:paraId="74E1FF04" w14:textId="2F6C9A64" w:rsidR="00112DC9" w:rsidRPr="002D26CB" w:rsidRDefault="00112DC9" w:rsidP="005C023B">
            <w:pPr>
              <w:pStyle w:val="Tablehead"/>
              <w:rPr>
                <w:rFonts w:asciiTheme="minorHAnsi" w:hAnsiTheme="minorHAnsi" w:cstheme="minorHAnsi"/>
                <w:bCs/>
                <w:lang w:val="fr-FR"/>
              </w:rPr>
            </w:pPr>
            <w:r w:rsidRPr="002D26CB">
              <w:rPr>
                <w:rFonts w:asciiTheme="minorHAnsi" w:hAnsiTheme="minorHAnsi" w:cstheme="minorHAnsi"/>
                <w:bCs/>
                <w:lang w:val="fr-FR"/>
              </w:rPr>
              <w:t xml:space="preserve">Doc. </w:t>
            </w:r>
            <w:r w:rsidR="004D15B0" w:rsidRPr="002D26CB">
              <w:rPr>
                <w:rFonts w:asciiTheme="minorHAnsi" w:hAnsiTheme="minorHAnsi" w:cstheme="minorHAnsi"/>
                <w:bCs/>
                <w:lang w:val="fr-FR"/>
              </w:rPr>
              <w:t>N</w:t>
            </w:r>
            <w:r w:rsidRPr="002D26CB">
              <w:rPr>
                <w:rFonts w:asciiTheme="minorHAnsi" w:hAnsiTheme="minorHAnsi" w:cstheme="minorHAnsi"/>
                <w:bCs/>
                <w:lang w:val="fr-FR"/>
              </w:rPr>
              <w:t>°</w:t>
            </w:r>
          </w:p>
        </w:tc>
      </w:tr>
      <w:tr w:rsidR="005C023B" w:rsidRPr="002D26CB" w14:paraId="708E5FE2" w14:textId="77777777" w:rsidTr="005C023B">
        <w:trPr>
          <w:jc w:val="center"/>
        </w:trPr>
        <w:tc>
          <w:tcPr>
            <w:tcW w:w="1838" w:type="dxa"/>
            <w:vAlign w:val="center"/>
          </w:tcPr>
          <w:p w14:paraId="5424A355" w14:textId="0DD1728F" w:rsidR="005C023B" w:rsidRPr="005C023B" w:rsidRDefault="005C023B" w:rsidP="005C023B">
            <w:pPr>
              <w:pStyle w:val="Tabletext"/>
              <w:jc w:val="center"/>
              <w:rPr>
                <w:rFonts w:asciiTheme="minorHAnsi" w:hAnsiTheme="minorHAnsi" w:cstheme="minorHAnsi"/>
                <w:lang w:val="fr-FR"/>
              </w:rPr>
            </w:pPr>
            <w:r w:rsidRPr="00F84A57">
              <w:rPr>
                <w:rFonts w:asciiTheme="minorHAnsi" w:hAnsiTheme="minorHAnsi" w:cstheme="minorHAnsi"/>
                <w:lang w:val="en-GB"/>
              </w:rPr>
              <w:t>BT.</w:t>
            </w:r>
            <w:r>
              <w:rPr>
                <w:lang w:val="es-ES_tradnl"/>
              </w:rPr>
              <w:t>2153-0</w:t>
            </w:r>
          </w:p>
        </w:tc>
        <w:tc>
          <w:tcPr>
            <w:tcW w:w="5813" w:type="dxa"/>
            <w:vAlign w:val="center"/>
          </w:tcPr>
          <w:p w14:paraId="1C9AC88D" w14:textId="113A96BD" w:rsidR="005C023B" w:rsidRPr="005C023B" w:rsidRDefault="005C023B" w:rsidP="005C023B">
            <w:pPr>
              <w:pStyle w:val="Tabletext"/>
              <w:rPr>
                <w:rFonts w:asciiTheme="minorHAnsi" w:hAnsiTheme="minorHAnsi" w:cstheme="minorHAnsi"/>
                <w:lang w:val="fr-FR"/>
              </w:rPr>
            </w:pPr>
            <w:r w:rsidRPr="00EC5912">
              <w:rPr>
                <w:bCs/>
                <w:lang w:val="fr-FR"/>
              </w:rPr>
              <w:t xml:space="preserve">Utilisation de flux de travail </w:t>
            </w:r>
            <w:proofErr w:type="spellStart"/>
            <w:r w:rsidRPr="00EC5912">
              <w:rPr>
                <w:bCs/>
                <w:lang w:val="fr-FR"/>
              </w:rPr>
              <w:t>multicomposantes</w:t>
            </w:r>
            <w:proofErr w:type="spellEnd"/>
            <w:r w:rsidRPr="00EC5912">
              <w:rPr>
                <w:bCs/>
                <w:lang w:val="fr-FR"/>
              </w:rPr>
              <w:t xml:space="preserve"> pour l'échange de programmes de télévision en différé</w:t>
            </w:r>
          </w:p>
        </w:tc>
        <w:tc>
          <w:tcPr>
            <w:tcW w:w="1842" w:type="dxa"/>
            <w:vAlign w:val="center"/>
          </w:tcPr>
          <w:p w14:paraId="790C8670" w14:textId="1241AC89" w:rsidR="005C023B" w:rsidRPr="005C023B" w:rsidRDefault="005C023B" w:rsidP="005C023B">
            <w:pPr>
              <w:pStyle w:val="Tabletext"/>
              <w:jc w:val="center"/>
              <w:rPr>
                <w:rFonts w:asciiTheme="minorHAnsi" w:hAnsiTheme="minorHAnsi" w:cstheme="minorHAnsi"/>
                <w:lang w:val="fr-FR"/>
              </w:rPr>
            </w:pPr>
            <w:r w:rsidRPr="00112274">
              <w:rPr>
                <w:rFonts w:asciiTheme="minorHAnsi" w:hAnsiTheme="minorHAnsi" w:cstheme="minorHAnsi"/>
                <w:szCs w:val="24"/>
              </w:rPr>
              <w:t>6/2</w:t>
            </w:r>
            <w:r>
              <w:rPr>
                <w:rFonts w:asciiTheme="minorHAnsi" w:hAnsiTheme="minorHAnsi" w:cstheme="minorHAnsi"/>
                <w:szCs w:val="24"/>
              </w:rPr>
              <w:t>70</w:t>
            </w:r>
          </w:p>
        </w:tc>
      </w:tr>
      <w:tr w:rsidR="005C023B" w:rsidRPr="002D26CB" w14:paraId="005D3E74" w14:textId="77777777" w:rsidTr="00996A48">
        <w:trPr>
          <w:jc w:val="center"/>
        </w:trPr>
        <w:tc>
          <w:tcPr>
            <w:tcW w:w="1838" w:type="dxa"/>
            <w:vAlign w:val="center"/>
          </w:tcPr>
          <w:p w14:paraId="21016235" w14:textId="7C84CEB2"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lang w:val="en-GB"/>
              </w:rPr>
              <w:t>BT.</w:t>
            </w:r>
            <w:r>
              <w:rPr>
                <w:lang w:val="es-ES_tradnl"/>
              </w:rPr>
              <w:t>2154-0</w:t>
            </w:r>
          </w:p>
        </w:tc>
        <w:tc>
          <w:tcPr>
            <w:tcW w:w="5813" w:type="dxa"/>
            <w:vAlign w:val="center"/>
          </w:tcPr>
          <w:p w14:paraId="4D213D88" w14:textId="1EA2BD60" w:rsidR="005C023B" w:rsidRPr="005C023B" w:rsidRDefault="005C023B" w:rsidP="005C023B">
            <w:pPr>
              <w:pStyle w:val="Tabletext"/>
              <w:rPr>
                <w:rFonts w:asciiTheme="minorHAnsi" w:hAnsiTheme="minorHAnsi" w:cstheme="minorHAnsi"/>
                <w:lang w:val="fr-FR"/>
              </w:rPr>
            </w:pPr>
            <w:r w:rsidRPr="00EC5912">
              <w:rPr>
                <w:bCs/>
                <w:lang w:val="fr-FR"/>
              </w:rPr>
              <w:t>Architecture de système de haut niveau pour la vidéo en immersion pour la présentation sur différents types de dispositifs d'affichage</w:t>
            </w:r>
          </w:p>
        </w:tc>
        <w:tc>
          <w:tcPr>
            <w:tcW w:w="1842" w:type="dxa"/>
            <w:vAlign w:val="center"/>
          </w:tcPr>
          <w:p w14:paraId="0F425FAE" w14:textId="5C6A6831"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76</w:t>
            </w:r>
          </w:p>
        </w:tc>
      </w:tr>
      <w:tr w:rsidR="005C023B" w:rsidRPr="002D26CB" w14:paraId="07E0B815" w14:textId="77777777" w:rsidTr="00996A48">
        <w:trPr>
          <w:jc w:val="center"/>
        </w:trPr>
        <w:tc>
          <w:tcPr>
            <w:tcW w:w="1838" w:type="dxa"/>
            <w:vAlign w:val="center"/>
          </w:tcPr>
          <w:p w14:paraId="54137AD6" w14:textId="792BF72A"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lang w:val="en-GB"/>
              </w:rPr>
              <w:t>BS.</w:t>
            </w:r>
            <w:r w:rsidRPr="00AD7A19">
              <w:rPr>
                <w:lang w:eastAsia="zh-CN"/>
              </w:rPr>
              <w:t>775-4</w:t>
            </w:r>
          </w:p>
        </w:tc>
        <w:tc>
          <w:tcPr>
            <w:tcW w:w="5813" w:type="dxa"/>
            <w:vAlign w:val="center"/>
          </w:tcPr>
          <w:p w14:paraId="0A5C54BD" w14:textId="5B495D1A" w:rsidR="005C023B" w:rsidRPr="005C023B" w:rsidRDefault="005C023B" w:rsidP="005C023B">
            <w:pPr>
              <w:pStyle w:val="Tabletext"/>
              <w:rPr>
                <w:rFonts w:asciiTheme="minorHAnsi" w:hAnsiTheme="minorHAnsi" w:cstheme="minorHAnsi"/>
                <w:lang w:val="fr-FR"/>
              </w:rPr>
            </w:pPr>
            <w:bookmarkStart w:id="3" w:name="Pre_title"/>
            <w:r w:rsidRPr="00EC5912">
              <w:rPr>
                <w:bCs/>
                <w:lang w:val="fr-FR"/>
              </w:rPr>
              <w:t>Système de son stéréophonique multicanal avec ou sans image associée</w:t>
            </w:r>
            <w:bookmarkEnd w:id="3"/>
          </w:p>
        </w:tc>
        <w:tc>
          <w:tcPr>
            <w:tcW w:w="1842" w:type="dxa"/>
            <w:vAlign w:val="center"/>
          </w:tcPr>
          <w:p w14:paraId="132B86D8" w14:textId="6283B205"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54(R</w:t>
            </w:r>
            <w:r w:rsidR="00C9489C">
              <w:rPr>
                <w:rFonts w:asciiTheme="minorHAnsi" w:hAnsiTheme="minorHAnsi" w:cstheme="minorHAnsi"/>
                <w:szCs w:val="24"/>
              </w:rPr>
              <w:t>é</w:t>
            </w:r>
            <w:r>
              <w:rPr>
                <w:rFonts w:asciiTheme="minorHAnsi" w:hAnsiTheme="minorHAnsi" w:cstheme="minorHAnsi"/>
                <w:szCs w:val="24"/>
              </w:rPr>
              <w:t>v.1)</w:t>
            </w:r>
          </w:p>
        </w:tc>
      </w:tr>
      <w:tr w:rsidR="005C023B" w:rsidRPr="002D26CB" w14:paraId="4C308D47" w14:textId="77777777" w:rsidTr="00996A48">
        <w:trPr>
          <w:jc w:val="center"/>
        </w:trPr>
        <w:tc>
          <w:tcPr>
            <w:tcW w:w="1838" w:type="dxa"/>
            <w:vAlign w:val="center"/>
          </w:tcPr>
          <w:p w14:paraId="6B530B85" w14:textId="1469C4FC"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lang w:val="en-GB"/>
              </w:rPr>
              <w:t>BT.</w:t>
            </w:r>
            <w:r w:rsidRPr="00AD7A19">
              <w:t>2016</w:t>
            </w:r>
            <w:r w:rsidRPr="00AD7A19">
              <w:noBreakHyphen/>
              <w:t>3</w:t>
            </w:r>
          </w:p>
        </w:tc>
        <w:tc>
          <w:tcPr>
            <w:tcW w:w="5813" w:type="dxa"/>
            <w:vAlign w:val="center"/>
          </w:tcPr>
          <w:p w14:paraId="6BEDEEDD" w14:textId="6A9F5F25" w:rsidR="005C023B" w:rsidRPr="005C023B" w:rsidRDefault="005C023B" w:rsidP="005C023B">
            <w:pPr>
              <w:pStyle w:val="Tabletext"/>
              <w:rPr>
                <w:rFonts w:asciiTheme="minorHAnsi" w:hAnsiTheme="minorHAnsi" w:cstheme="minorHAnsi"/>
                <w:lang w:val="fr-FR"/>
              </w:rPr>
            </w:pPr>
            <w:r w:rsidRPr="00EC5912">
              <w:rPr>
                <w:bCs/>
                <w:lang w:val="fr-FR"/>
              </w:rPr>
              <w:t>Méthodes de correction d'erreur, de mise en trame des données, de modulation et d'émission pour la radiodiffusion multimédia de Terre, pour la réception mobile au moyen de récepteurs portatifs dans les bandes d'ondes métriques/décimétriques</w:t>
            </w:r>
          </w:p>
        </w:tc>
        <w:tc>
          <w:tcPr>
            <w:tcW w:w="1842" w:type="dxa"/>
            <w:vAlign w:val="center"/>
          </w:tcPr>
          <w:p w14:paraId="21F196BD" w14:textId="55FC321F"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60</w:t>
            </w:r>
          </w:p>
        </w:tc>
      </w:tr>
      <w:tr w:rsidR="005C023B" w:rsidRPr="002D26CB" w14:paraId="0B4B1145" w14:textId="77777777" w:rsidTr="00996A48">
        <w:trPr>
          <w:jc w:val="center"/>
        </w:trPr>
        <w:tc>
          <w:tcPr>
            <w:tcW w:w="1838" w:type="dxa"/>
            <w:vAlign w:val="center"/>
          </w:tcPr>
          <w:p w14:paraId="5FA3C729" w14:textId="471BBB88"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lang w:val="en-GB"/>
              </w:rPr>
              <w:t>BS.</w:t>
            </w:r>
            <w:r w:rsidRPr="00AD7A19">
              <w:rPr>
                <w:rStyle w:val="href"/>
              </w:rPr>
              <w:t>1660-9</w:t>
            </w:r>
          </w:p>
        </w:tc>
        <w:tc>
          <w:tcPr>
            <w:tcW w:w="5813" w:type="dxa"/>
            <w:vAlign w:val="center"/>
          </w:tcPr>
          <w:p w14:paraId="291C49E3" w14:textId="009F127C" w:rsidR="005C023B" w:rsidRPr="005C023B" w:rsidRDefault="005C023B" w:rsidP="005C023B">
            <w:pPr>
              <w:pStyle w:val="Tabletext"/>
              <w:rPr>
                <w:rFonts w:asciiTheme="minorHAnsi" w:hAnsiTheme="minorHAnsi" w:cstheme="minorHAnsi"/>
                <w:lang w:val="fr-FR"/>
              </w:rPr>
            </w:pPr>
            <w:r w:rsidRPr="00EC5912">
              <w:rPr>
                <w:bCs/>
                <w:lang w:val="fr-FR"/>
              </w:rPr>
              <w:t>Bases techniques de la planification de la radiodiffusion sonore numérique de Terre dans la bande des ondes métriques</w:t>
            </w:r>
          </w:p>
        </w:tc>
        <w:tc>
          <w:tcPr>
            <w:tcW w:w="1842" w:type="dxa"/>
            <w:vAlign w:val="center"/>
          </w:tcPr>
          <w:p w14:paraId="3D4B42B6" w14:textId="3A744564"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62</w:t>
            </w:r>
          </w:p>
        </w:tc>
      </w:tr>
      <w:tr w:rsidR="005C023B" w:rsidRPr="002D26CB" w14:paraId="28818E6D" w14:textId="77777777" w:rsidTr="00996A48">
        <w:trPr>
          <w:jc w:val="center"/>
        </w:trPr>
        <w:tc>
          <w:tcPr>
            <w:tcW w:w="1838" w:type="dxa"/>
            <w:vAlign w:val="center"/>
          </w:tcPr>
          <w:p w14:paraId="40547BEA" w14:textId="1996EAFE"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lang w:val="en-GB"/>
              </w:rPr>
              <w:t>BS.</w:t>
            </w:r>
            <w:r w:rsidRPr="00AD7A19">
              <w:rPr>
                <w:lang w:eastAsia="zh-CN"/>
              </w:rPr>
              <w:t>643-4</w:t>
            </w:r>
          </w:p>
        </w:tc>
        <w:tc>
          <w:tcPr>
            <w:tcW w:w="5813" w:type="dxa"/>
            <w:vAlign w:val="center"/>
          </w:tcPr>
          <w:p w14:paraId="042297AE" w14:textId="6DD9DE85" w:rsidR="005C023B" w:rsidRPr="005C023B" w:rsidRDefault="005C023B" w:rsidP="005C023B">
            <w:pPr>
              <w:pStyle w:val="Tabletext"/>
              <w:rPr>
                <w:rFonts w:asciiTheme="minorHAnsi" w:hAnsiTheme="minorHAnsi" w:cstheme="minorHAnsi"/>
                <w:lang w:val="fr-FR"/>
              </w:rPr>
            </w:pPr>
            <w:r w:rsidRPr="00EC5912">
              <w:rPr>
                <w:bCs/>
                <w:lang w:val="fr-FR"/>
              </w:rPr>
              <w:t>Système de radiodiffusion de données destiné à l'accord automatique ainsi qu'à d'autres fonctions dans les récepteurs de radiodiffusion à modulation de fréquence et utilisable avec le système à fréquence pilote</w:t>
            </w:r>
          </w:p>
        </w:tc>
        <w:tc>
          <w:tcPr>
            <w:tcW w:w="1842" w:type="dxa"/>
            <w:vAlign w:val="center"/>
          </w:tcPr>
          <w:p w14:paraId="3E218F41" w14:textId="1E16E510"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64</w:t>
            </w:r>
          </w:p>
        </w:tc>
      </w:tr>
      <w:tr w:rsidR="005C023B" w:rsidRPr="002D26CB" w14:paraId="7E8921D8" w14:textId="77777777" w:rsidTr="00996A48">
        <w:trPr>
          <w:jc w:val="center"/>
        </w:trPr>
        <w:tc>
          <w:tcPr>
            <w:tcW w:w="1838" w:type="dxa"/>
            <w:vAlign w:val="center"/>
          </w:tcPr>
          <w:p w14:paraId="189799F6" w14:textId="6F5E51C7" w:rsidR="005C023B" w:rsidRPr="005C023B" w:rsidRDefault="005C023B" w:rsidP="005C023B">
            <w:pPr>
              <w:pStyle w:val="Tabletext"/>
              <w:jc w:val="center"/>
              <w:rPr>
                <w:rFonts w:asciiTheme="minorHAnsi" w:hAnsiTheme="minorHAnsi" w:cstheme="minorHAnsi"/>
                <w:lang w:val="fr-FR"/>
              </w:rPr>
            </w:pPr>
            <w:r w:rsidRPr="00AD7A19">
              <w:t>BS.2107-1</w:t>
            </w:r>
          </w:p>
        </w:tc>
        <w:tc>
          <w:tcPr>
            <w:tcW w:w="5813" w:type="dxa"/>
            <w:vAlign w:val="center"/>
          </w:tcPr>
          <w:p w14:paraId="0AFA2C71" w14:textId="023DE5F3" w:rsidR="005C023B" w:rsidRPr="005C023B" w:rsidRDefault="005C023B" w:rsidP="005C023B">
            <w:pPr>
              <w:pStyle w:val="Tabletext"/>
              <w:rPr>
                <w:rFonts w:asciiTheme="minorHAnsi" w:hAnsiTheme="minorHAnsi" w:cstheme="minorHAnsi"/>
                <w:lang w:val="fr-FR"/>
              </w:rPr>
            </w:pPr>
            <w:r w:rsidRPr="00EC5912">
              <w:rPr>
                <w:bCs/>
                <w:lang w:val="fr-FR"/>
              </w:rPr>
              <w:t>Utilisation des fréquences de radiodiffusion internationale pour les secours en cas de catastrophe (IRDR) pour les diffusions d'urgence dans les bandes d'ondes décamétriques</w:t>
            </w:r>
          </w:p>
        </w:tc>
        <w:tc>
          <w:tcPr>
            <w:tcW w:w="1842" w:type="dxa"/>
            <w:vAlign w:val="center"/>
          </w:tcPr>
          <w:p w14:paraId="3A8795C3" w14:textId="566CE031"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65</w:t>
            </w:r>
          </w:p>
        </w:tc>
      </w:tr>
      <w:tr w:rsidR="005C023B" w:rsidRPr="002D26CB" w14:paraId="0532305B" w14:textId="77777777" w:rsidTr="00996A48">
        <w:trPr>
          <w:jc w:val="center"/>
        </w:trPr>
        <w:tc>
          <w:tcPr>
            <w:tcW w:w="1838" w:type="dxa"/>
            <w:vAlign w:val="center"/>
          </w:tcPr>
          <w:p w14:paraId="155D27CE" w14:textId="29E19311" w:rsidR="005C023B" w:rsidRPr="005C023B" w:rsidRDefault="005C023B" w:rsidP="005C023B">
            <w:pPr>
              <w:pStyle w:val="Tabletext"/>
              <w:jc w:val="center"/>
              <w:rPr>
                <w:rFonts w:asciiTheme="minorHAnsi" w:hAnsiTheme="minorHAnsi" w:cstheme="minorHAnsi"/>
                <w:lang w:val="fr-FR"/>
              </w:rPr>
            </w:pPr>
            <w:r w:rsidRPr="00AD7A19">
              <w:t>BT.1833-4</w:t>
            </w:r>
          </w:p>
        </w:tc>
        <w:tc>
          <w:tcPr>
            <w:tcW w:w="5813" w:type="dxa"/>
            <w:vAlign w:val="center"/>
          </w:tcPr>
          <w:p w14:paraId="31CCCB40" w14:textId="3238F373" w:rsidR="005C023B" w:rsidRPr="005C023B" w:rsidRDefault="005C023B" w:rsidP="005C023B">
            <w:pPr>
              <w:pStyle w:val="Tabletext"/>
              <w:rPr>
                <w:rFonts w:asciiTheme="minorHAnsi" w:hAnsiTheme="minorHAnsi" w:cstheme="minorHAnsi"/>
                <w:lang w:val="fr-FR"/>
              </w:rPr>
            </w:pPr>
            <w:r w:rsidRPr="00EC5912">
              <w:rPr>
                <w:bCs/>
                <w:lang w:val="fr-FR"/>
              </w:rPr>
              <w:t>Diffusion d'applications multimédias et d'applications de données destinées à la réception mobile au moyen de récepteurs portatifs</w:t>
            </w:r>
          </w:p>
        </w:tc>
        <w:tc>
          <w:tcPr>
            <w:tcW w:w="1842" w:type="dxa"/>
            <w:vAlign w:val="center"/>
          </w:tcPr>
          <w:p w14:paraId="189E1FAF" w14:textId="4D0BD690" w:rsidR="005C023B" w:rsidRPr="005C023B" w:rsidRDefault="005C023B" w:rsidP="005C023B">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75</w:t>
            </w:r>
          </w:p>
        </w:tc>
      </w:tr>
    </w:tbl>
    <w:p w14:paraId="4C612631" w14:textId="77777777" w:rsidR="006F38C7" w:rsidRPr="002D26CB" w:rsidRDefault="006F38C7" w:rsidP="006F38C7">
      <w:pPr>
        <w:rPr>
          <w:lang w:val="fr-FR"/>
        </w:rPr>
      </w:pPr>
    </w:p>
    <w:p w14:paraId="46031106" w14:textId="77777777" w:rsidR="006F38C7" w:rsidRPr="002D26CB" w:rsidRDefault="006F38C7" w:rsidP="006F38C7">
      <w:pPr>
        <w:rPr>
          <w:lang w:val="fr-FR"/>
        </w:rPr>
      </w:pPr>
    </w:p>
    <w:p w14:paraId="6E6504E2" w14:textId="746BCC23" w:rsidR="003708BF" w:rsidRPr="002D26CB" w:rsidRDefault="003708BF" w:rsidP="004D15B0">
      <w:pPr>
        <w:jc w:val="center"/>
        <w:rPr>
          <w:lang w:val="fr-FR"/>
        </w:rPr>
      </w:pPr>
      <w:bookmarkStart w:id="4" w:name="ddistribution"/>
      <w:bookmarkEnd w:id="4"/>
      <w:bookmarkEnd w:id="2"/>
      <w:r w:rsidRPr="002D26CB">
        <w:rPr>
          <w:lang w:val="fr-FR"/>
        </w:rPr>
        <w:t>______________</w:t>
      </w:r>
    </w:p>
    <w:sectPr w:rsidR="003708BF" w:rsidRPr="002D26CB"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277C2" w14:textId="77777777" w:rsidR="00F55652" w:rsidRDefault="00F55652">
      <w:r>
        <w:separator/>
      </w:r>
    </w:p>
  </w:endnote>
  <w:endnote w:type="continuationSeparator" w:id="0">
    <w:p w14:paraId="78839B7F" w14:textId="77777777" w:rsidR="00F55652" w:rsidRDefault="00F5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CDEC" w14:textId="77777777" w:rsidR="0026241B" w:rsidRDefault="00262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879C" w14:textId="77777777" w:rsidR="0026241B" w:rsidRDefault="00262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A7CA" w14:textId="6A85547C" w:rsidR="006D2C3B" w:rsidRPr="00C9489C" w:rsidRDefault="00C9489C" w:rsidP="00C9489C">
    <w:pPr>
      <w:pStyle w:val="FirstFooter"/>
      <w:spacing w:line="240" w:lineRule="auto"/>
      <w:ind w:left="-397" w:right="-397"/>
      <w:jc w:val="center"/>
      <w:rPr>
        <w:color w:val="4F81BD"/>
        <w:sz w:val="18"/>
        <w:szCs w:val="18"/>
        <w:lang w:val="fr-FR"/>
      </w:rPr>
    </w:pPr>
    <w:r w:rsidRPr="004930A3">
      <w:rPr>
        <w:rFonts w:asciiTheme="minorHAnsi" w:hAnsiTheme="minorHAnsi"/>
        <w:color w:val="4F81BD"/>
        <w:sz w:val="18"/>
        <w:szCs w:val="18"/>
        <w:lang w:val="fr-CH"/>
      </w:rPr>
      <w:t>Union internationale des télécommunications • Place des Nations, CH</w:t>
    </w:r>
    <w:r w:rsidRPr="004930A3">
      <w:rPr>
        <w:rFonts w:asciiTheme="minorHAnsi" w:hAnsiTheme="minorHAnsi"/>
        <w:color w:val="4F81BD"/>
        <w:sz w:val="18"/>
        <w:szCs w:val="18"/>
        <w:lang w:val="fr-CH"/>
      </w:rPr>
      <w:noBreakHyphen/>
      <w:t xml:space="preserve">1211 Genève 20, Suisse </w:t>
    </w:r>
    <w:r w:rsidR="0026241B" w:rsidRPr="004930A3">
      <w:rPr>
        <w:rFonts w:asciiTheme="minorHAnsi" w:hAnsiTheme="minorHAnsi"/>
        <w:color w:val="4F81BD"/>
        <w:sz w:val="18"/>
        <w:szCs w:val="18"/>
        <w:lang w:val="fr-CH"/>
      </w:rPr>
      <w:t>•</w:t>
    </w:r>
    <w:r w:rsidRPr="004930A3">
      <w:rPr>
        <w:rFonts w:asciiTheme="minorHAnsi" w:hAnsiTheme="minorHAnsi"/>
        <w:color w:val="4F81BD"/>
        <w:sz w:val="18"/>
        <w:szCs w:val="18"/>
        <w:lang w:val="fr-CH"/>
      </w:rPr>
      <w:br/>
    </w:r>
    <w:proofErr w:type="gramStart"/>
    <w:r w:rsidRPr="004930A3">
      <w:rPr>
        <w:rFonts w:asciiTheme="minorHAnsi" w:hAnsiTheme="minorHAnsi"/>
        <w:color w:val="4F81BD"/>
        <w:sz w:val="18"/>
        <w:szCs w:val="18"/>
        <w:lang w:val="fr-CH"/>
      </w:rPr>
      <w:t>Tél.:</w:t>
    </w:r>
    <w:proofErr w:type="gramEnd"/>
    <w:r w:rsidRPr="004930A3">
      <w:rPr>
        <w:rFonts w:asciiTheme="minorHAnsi" w:hAnsiTheme="minorHAnsi"/>
        <w:color w:val="4F81BD"/>
        <w:sz w:val="18"/>
        <w:szCs w:val="18"/>
        <w:lang w:val="fr-CH"/>
      </w:rPr>
      <w:t xml:space="preserve"> +41 22 730 5111 • Courriel: </w:t>
    </w:r>
    <w:r w:rsidR="00271B0F">
      <w:fldChar w:fldCharType="begin"/>
    </w:r>
    <w:r w:rsidR="00271B0F" w:rsidRPr="00271B0F">
      <w:rPr>
        <w:lang w:val="fr-CH"/>
      </w:rPr>
      <w:instrText xml:space="preserve"> HYPERLINK "mailto:itumail@itu.int" </w:instrText>
    </w:r>
    <w:r w:rsidR="00271B0F">
      <w:fldChar w:fldCharType="separate"/>
    </w:r>
    <w:r w:rsidRPr="004930A3">
      <w:rPr>
        <w:rStyle w:val="Hyperlink"/>
        <w:rFonts w:asciiTheme="minorHAnsi" w:hAnsiTheme="minorHAnsi"/>
        <w:sz w:val="18"/>
        <w:szCs w:val="18"/>
        <w:lang w:val="fr-FR"/>
      </w:rPr>
      <w:t>itumail@itu.int</w:t>
    </w:r>
    <w:r w:rsidR="00271B0F">
      <w:rPr>
        <w:rStyle w:val="Hyperlink"/>
        <w:rFonts w:asciiTheme="minorHAnsi" w:hAnsiTheme="minorHAnsi"/>
        <w:sz w:val="18"/>
        <w:szCs w:val="18"/>
        <w:lang w:val="fr-FR"/>
      </w:rPr>
      <w:fldChar w:fldCharType="end"/>
    </w:r>
    <w:r w:rsidRPr="004930A3">
      <w:rPr>
        <w:rFonts w:asciiTheme="minorHAnsi" w:hAnsiTheme="minorHAnsi"/>
        <w:sz w:val="18"/>
        <w:szCs w:val="18"/>
        <w:lang w:val="fr-CH"/>
      </w:rPr>
      <w:t xml:space="preserve"> </w:t>
    </w:r>
    <w:r w:rsidRPr="004930A3">
      <w:rPr>
        <w:rFonts w:asciiTheme="minorHAnsi" w:hAnsiTheme="minorHAnsi"/>
        <w:color w:val="4F81BD"/>
        <w:sz w:val="18"/>
        <w:szCs w:val="18"/>
        <w:lang w:val="fr-CH"/>
      </w:rPr>
      <w:t xml:space="preserve">• Fax: +41 22 733 7256 • </w:t>
    </w:r>
    <w:r>
      <w:fldChar w:fldCharType="begin"/>
    </w:r>
    <w:r w:rsidRPr="00353897">
      <w:rPr>
        <w:lang w:val="fr-FR"/>
        <w:rPrChange w:id="5" w:author="Fernandez Jimenez, Virginia" w:date="2021-06-22T16:17:00Z">
          <w:rPr/>
        </w:rPrChange>
      </w:rPr>
      <w:instrText xml:space="preserve"> HYPERLINK "http://www.itu.int" </w:instrText>
    </w:r>
    <w:r>
      <w:fldChar w:fldCharType="separate"/>
    </w:r>
    <w:r w:rsidRPr="004930A3">
      <w:rPr>
        <w:rStyle w:val="Hyperlink"/>
        <w:rFonts w:asciiTheme="minorHAnsi" w:hAnsiTheme="minorHAnsi"/>
        <w:sz w:val="18"/>
        <w:szCs w:val="18"/>
        <w:lang w:val="fr-FR"/>
      </w:rPr>
      <w:t>www.itu.int</w:t>
    </w:r>
    <w:r>
      <w:rPr>
        <w:rStyle w:val="Hyperlink"/>
        <w:rFonts w:asciiTheme="minorHAnsi" w:hAnsiTheme="minorHAnsi"/>
        <w:sz w:val="18"/>
        <w:szCs w:val="18"/>
        <w:lang w:val="fr-FR"/>
      </w:rPr>
      <w:fldChar w:fldCharType="end"/>
    </w:r>
    <w:r w:rsidRPr="004930A3">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DA316" w14:textId="77777777" w:rsidR="00F55652" w:rsidRDefault="00F55652">
      <w:r>
        <w:t>____________________</w:t>
      </w:r>
    </w:p>
  </w:footnote>
  <w:footnote w:type="continuationSeparator" w:id="0">
    <w:p w14:paraId="06B4651E" w14:textId="77777777" w:rsidR="00F55652" w:rsidRDefault="00F5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D183" w14:textId="525FE9AB" w:rsidR="00E915AF" w:rsidRPr="002569F7" w:rsidRDefault="00C3556B" w:rsidP="00C86533">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825523">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677B"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6F38C7">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4160" w14:textId="0C1589FC" w:rsidR="00E915AF" w:rsidRPr="00ED2210" w:rsidRDefault="00ED2210" w:rsidP="00ED2210">
    <w:pPr>
      <w:pStyle w:val="Header"/>
      <w:spacing w:before="240" w:line="360" w:lineRule="auto"/>
      <w:jc w:val="center"/>
    </w:pPr>
    <w:r>
      <w:rPr>
        <w:noProof/>
      </w:rPr>
      <w:drawing>
        <wp:inline distT="0" distB="0" distL="0" distR="0" wp14:anchorId="338371AE" wp14:editId="54AD013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5565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2DC9"/>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241B"/>
    <w:rsid w:val="00262AD8"/>
    <w:rsid w:val="00266E74"/>
    <w:rsid w:val="00271B0F"/>
    <w:rsid w:val="00283C3B"/>
    <w:rsid w:val="002861E6"/>
    <w:rsid w:val="00287D18"/>
    <w:rsid w:val="002A2618"/>
    <w:rsid w:val="002A5DD7"/>
    <w:rsid w:val="002B0CAC"/>
    <w:rsid w:val="002D26CB"/>
    <w:rsid w:val="002D5A15"/>
    <w:rsid w:val="002D5BDD"/>
    <w:rsid w:val="002E3D27"/>
    <w:rsid w:val="002F0890"/>
    <w:rsid w:val="002F2531"/>
    <w:rsid w:val="002F4967"/>
    <w:rsid w:val="002F5AA5"/>
    <w:rsid w:val="0031688B"/>
    <w:rsid w:val="00316935"/>
    <w:rsid w:val="003266ED"/>
    <w:rsid w:val="00326C68"/>
    <w:rsid w:val="003370B8"/>
    <w:rsid w:val="00345D38"/>
    <w:rsid w:val="003471C9"/>
    <w:rsid w:val="00352097"/>
    <w:rsid w:val="00353897"/>
    <w:rsid w:val="003666FF"/>
    <w:rsid w:val="003708B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30A3"/>
    <w:rsid w:val="00496864"/>
    <w:rsid w:val="00496920"/>
    <w:rsid w:val="004A4496"/>
    <w:rsid w:val="004B11AB"/>
    <w:rsid w:val="004B7C9A"/>
    <w:rsid w:val="004C6779"/>
    <w:rsid w:val="004D15B0"/>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023B"/>
    <w:rsid w:val="005D3669"/>
    <w:rsid w:val="005E5EB3"/>
    <w:rsid w:val="005F3CB6"/>
    <w:rsid w:val="005F5E8C"/>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D2C3B"/>
    <w:rsid w:val="006F38C7"/>
    <w:rsid w:val="007234B1"/>
    <w:rsid w:val="00723D08"/>
    <w:rsid w:val="00725FDA"/>
    <w:rsid w:val="007276BC"/>
    <w:rsid w:val="00727816"/>
    <w:rsid w:val="00730B9A"/>
    <w:rsid w:val="00750CFA"/>
    <w:rsid w:val="007553DA"/>
    <w:rsid w:val="00773F7E"/>
    <w:rsid w:val="0077443B"/>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5523"/>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0025"/>
    <w:rsid w:val="00AD2CF2"/>
    <w:rsid w:val="00AE2D88"/>
    <w:rsid w:val="00AE6F6F"/>
    <w:rsid w:val="00AF3325"/>
    <w:rsid w:val="00AF34D9"/>
    <w:rsid w:val="00AF70DA"/>
    <w:rsid w:val="00AF7F75"/>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86533"/>
    <w:rsid w:val="00C9291E"/>
    <w:rsid w:val="00C9489C"/>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1947"/>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E61"/>
    <w:rsid w:val="00E915AF"/>
    <w:rsid w:val="00E96415"/>
    <w:rsid w:val="00EA15B3"/>
    <w:rsid w:val="00EA2C83"/>
    <w:rsid w:val="00EB2358"/>
    <w:rsid w:val="00EB3EB8"/>
    <w:rsid w:val="00EC00EF"/>
    <w:rsid w:val="00EC02FE"/>
    <w:rsid w:val="00EC4A96"/>
    <w:rsid w:val="00ED2210"/>
    <w:rsid w:val="00EE03A0"/>
    <w:rsid w:val="00EE1A57"/>
    <w:rsid w:val="00EF54EB"/>
    <w:rsid w:val="00F14E45"/>
    <w:rsid w:val="00F276BA"/>
    <w:rsid w:val="00F424BF"/>
    <w:rsid w:val="00F44FC3"/>
    <w:rsid w:val="00F46107"/>
    <w:rsid w:val="00F468C5"/>
    <w:rsid w:val="00F52F39"/>
    <w:rsid w:val="00F55652"/>
    <w:rsid w:val="00F6184F"/>
    <w:rsid w:val="00F73DBD"/>
    <w:rsid w:val="00F8310E"/>
    <w:rsid w:val="00F914DD"/>
    <w:rsid w:val="00FA2358"/>
    <w:rsid w:val="00FA6AFD"/>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AA5BC27"/>
  <w15:docId w15:val="{CFA92672-0ED4-453E-8509-0BEA3B3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F38C7"/>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3708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ED2210"/>
    <w:rPr>
      <w:sz w:val="24"/>
      <w:szCs w:val="22"/>
      <w:lang w:val="en-US" w:eastAsia="en-US"/>
    </w:rPr>
  </w:style>
  <w:style w:type="character" w:customStyle="1" w:styleId="TabletextChar">
    <w:name w:val="Table_text Char"/>
    <w:link w:val="Tabletext"/>
    <w:locked/>
    <w:rsid w:val="00112DC9"/>
    <w:rPr>
      <w:szCs w:val="22"/>
      <w:lang w:val="en-US" w:eastAsia="en-US"/>
    </w:rPr>
  </w:style>
  <w:style w:type="character" w:customStyle="1" w:styleId="TableheadChar">
    <w:name w:val="Table_head Char"/>
    <w:basedOn w:val="DefaultParagraphFont"/>
    <w:link w:val="Tablehead"/>
    <w:locked/>
    <w:rsid w:val="00112DC9"/>
    <w:rPr>
      <w:b/>
      <w:szCs w:val="22"/>
      <w:lang w:val="en-US" w:eastAsia="en-US"/>
    </w:rPr>
  </w:style>
  <w:style w:type="character" w:customStyle="1" w:styleId="UnresolvedMention1">
    <w:name w:val="Unresolved Mention1"/>
    <w:basedOn w:val="DefaultParagraphFont"/>
    <w:uiPriority w:val="99"/>
    <w:semiHidden/>
    <w:unhideWhenUsed/>
    <w:rsid w:val="00C86533"/>
    <w:rPr>
      <w:color w:val="605E5C"/>
      <w:shd w:val="clear" w:color="auto" w:fill="E1DFDD"/>
    </w:rPr>
  </w:style>
  <w:style w:type="character" w:styleId="UnresolvedMention">
    <w:name w:val="Unresolved Mention"/>
    <w:basedOn w:val="DefaultParagraphFont"/>
    <w:uiPriority w:val="99"/>
    <w:semiHidden/>
    <w:unhideWhenUsed/>
    <w:rsid w:val="00AF7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4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6191-7053-406D-8077-23607820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16</TotalTime>
  <Pages>2</Pages>
  <Words>376</Words>
  <Characters>2463</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dc:creator>
  <cp:lastModifiedBy>Panoussopoulos, Sonia</cp:lastModifiedBy>
  <cp:revision>9</cp:revision>
  <cp:lastPrinted>2020-02-04T09:03:00Z</cp:lastPrinted>
  <dcterms:created xsi:type="dcterms:W3CDTF">2022-12-13T14:46:00Z</dcterms:created>
  <dcterms:modified xsi:type="dcterms:W3CDTF">2022-12-21T10:52:00Z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