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0715F0" w14:paraId="6C0B9B55" w14:textId="77777777" w:rsidTr="004228FA">
        <w:trPr>
          <w:jc w:val="center"/>
        </w:trPr>
        <w:tc>
          <w:tcPr>
            <w:tcW w:w="9889" w:type="dxa"/>
            <w:gridSpan w:val="3"/>
            <w:shd w:val="clear" w:color="auto" w:fill="auto"/>
          </w:tcPr>
          <w:p w14:paraId="7B78E136" w14:textId="77777777" w:rsidR="00E53DCE" w:rsidRPr="000715F0" w:rsidRDefault="00E53DCE" w:rsidP="006160CB">
            <w:pPr>
              <w:spacing w:before="0"/>
              <w:jc w:val="left"/>
              <w:rPr>
                <w:rFonts w:cstheme="minorHAnsi"/>
                <w:b/>
                <w:bCs/>
                <w:color w:val="808080"/>
                <w:sz w:val="28"/>
                <w:szCs w:val="28"/>
                <w:lang w:val="fr-FR"/>
              </w:rPr>
            </w:pPr>
            <w:r w:rsidRPr="000715F0">
              <w:rPr>
                <w:rFonts w:cstheme="minorHAnsi"/>
                <w:b/>
                <w:bCs/>
                <w:color w:val="808080"/>
                <w:sz w:val="28"/>
                <w:szCs w:val="28"/>
                <w:lang w:val="fr-FR"/>
              </w:rPr>
              <w:t>Bureau des radiocommunications (BR)</w:t>
            </w:r>
          </w:p>
          <w:p w14:paraId="6764BF17" w14:textId="77777777" w:rsidR="00E53DCE" w:rsidRPr="000715F0" w:rsidRDefault="00E53DCE" w:rsidP="006160CB">
            <w:pPr>
              <w:spacing w:before="0"/>
              <w:jc w:val="left"/>
              <w:rPr>
                <w:rFonts w:cstheme="minorHAnsi"/>
                <w:b/>
                <w:bCs/>
                <w:color w:val="808080"/>
                <w:sz w:val="28"/>
                <w:szCs w:val="28"/>
                <w:lang w:val="fr-FR"/>
              </w:rPr>
            </w:pPr>
          </w:p>
          <w:p w14:paraId="1F03B38B" w14:textId="77777777" w:rsidR="00E53DCE" w:rsidRPr="000715F0" w:rsidRDefault="00E53DCE" w:rsidP="006160CB">
            <w:pPr>
              <w:spacing w:before="0"/>
              <w:jc w:val="left"/>
              <w:rPr>
                <w:rFonts w:cs="Times New Roman Bold"/>
                <w:b/>
                <w:bCs/>
                <w:color w:val="808080"/>
                <w:sz w:val="28"/>
                <w:szCs w:val="28"/>
                <w:lang w:val="fr-FR"/>
              </w:rPr>
            </w:pPr>
          </w:p>
        </w:tc>
      </w:tr>
      <w:tr w:rsidR="00E53DCE" w:rsidRPr="000715F0" w14:paraId="63DB70C2" w14:textId="77777777" w:rsidTr="004228FA">
        <w:trPr>
          <w:jc w:val="center"/>
        </w:trPr>
        <w:tc>
          <w:tcPr>
            <w:tcW w:w="7054" w:type="dxa"/>
            <w:gridSpan w:val="2"/>
            <w:shd w:val="clear" w:color="auto" w:fill="auto"/>
          </w:tcPr>
          <w:p w14:paraId="145302CB" w14:textId="0D12DCA4" w:rsidR="00E53DCE" w:rsidRPr="000715F0" w:rsidRDefault="00E53DCE" w:rsidP="006160CB">
            <w:pPr>
              <w:spacing w:before="0"/>
              <w:jc w:val="left"/>
              <w:rPr>
                <w:sz w:val="28"/>
                <w:szCs w:val="28"/>
                <w:lang w:val="fr-FR"/>
              </w:rPr>
            </w:pPr>
            <w:r w:rsidRPr="000715F0">
              <w:rPr>
                <w:szCs w:val="24"/>
                <w:lang w:val="fr-FR"/>
              </w:rPr>
              <w:t>Circulaire administrative</w:t>
            </w:r>
          </w:p>
          <w:p w14:paraId="4F9EE369" w14:textId="1E09F4A4" w:rsidR="00E53DCE" w:rsidRPr="000715F0" w:rsidRDefault="00E53DCE" w:rsidP="006160CB">
            <w:pPr>
              <w:spacing w:before="0"/>
              <w:jc w:val="left"/>
              <w:rPr>
                <w:b/>
                <w:bCs/>
                <w:sz w:val="28"/>
                <w:szCs w:val="28"/>
                <w:lang w:val="fr-FR"/>
              </w:rPr>
            </w:pPr>
            <w:r w:rsidRPr="000715F0">
              <w:rPr>
                <w:b/>
                <w:bCs/>
                <w:szCs w:val="24"/>
                <w:lang w:val="fr-FR"/>
              </w:rPr>
              <w:t>CA</w:t>
            </w:r>
            <w:r w:rsidR="00487BDE" w:rsidRPr="000715F0">
              <w:rPr>
                <w:b/>
                <w:bCs/>
                <w:szCs w:val="24"/>
                <w:lang w:val="fr-FR"/>
              </w:rPr>
              <w:t>CE</w:t>
            </w:r>
            <w:r w:rsidRPr="000715F0">
              <w:rPr>
                <w:b/>
                <w:bCs/>
                <w:szCs w:val="24"/>
                <w:lang w:val="fr-FR"/>
              </w:rPr>
              <w:t>/</w:t>
            </w:r>
            <w:r w:rsidR="008F2CC1" w:rsidRPr="000715F0">
              <w:rPr>
                <w:b/>
                <w:bCs/>
                <w:szCs w:val="24"/>
                <w:lang w:val="fr-FR"/>
              </w:rPr>
              <w:t>1042</w:t>
            </w:r>
          </w:p>
        </w:tc>
        <w:tc>
          <w:tcPr>
            <w:tcW w:w="2835" w:type="dxa"/>
            <w:shd w:val="clear" w:color="auto" w:fill="auto"/>
          </w:tcPr>
          <w:p w14:paraId="1D871FCB" w14:textId="3523BD0D" w:rsidR="00E53DCE" w:rsidRPr="000715F0" w:rsidRDefault="00AA781A" w:rsidP="00304636">
            <w:pPr>
              <w:spacing w:before="0"/>
              <w:jc w:val="right"/>
              <w:rPr>
                <w:sz w:val="28"/>
                <w:szCs w:val="28"/>
                <w:lang w:val="fr-FR"/>
              </w:rPr>
            </w:pPr>
            <w:r w:rsidRPr="000715F0">
              <w:rPr>
                <w:szCs w:val="24"/>
                <w:lang w:val="fr-FR"/>
              </w:rPr>
              <w:t xml:space="preserve">Le </w:t>
            </w:r>
            <w:r w:rsidR="00AF0A28">
              <w:rPr>
                <w:rFonts w:cs="Arial"/>
                <w:szCs w:val="24"/>
                <w:lang w:val="fr-FR"/>
              </w:rPr>
              <w:t>20 octobre 2022</w:t>
            </w:r>
          </w:p>
        </w:tc>
      </w:tr>
      <w:tr w:rsidR="00E53DCE" w:rsidRPr="000715F0" w14:paraId="2B7BFF6B" w14:textId="77777777" w:rsidTr="004228FA">
        <w:trPr>
          <w:jc w:val="center"/>
        </w:trPr>
        <w:tc>
          <w:tcPr>
            <w:tcW w:w="9889" w:type="dxa"/>
            <w:gridSpan w:val="3"/>
            <w:shd w:val="clear" w:color="auto" w:fill="auto"/>
          </w:tcPr>
          <w:p w14:paraId="74819D49" w14:textId="77777777" w:rsidR="00E53DCE" w:rsidRPr="000715F0" w:rsidRDefault="00E53DCE" w:rsidP="006160CB">
            <w:pPr>
              <w:spacing w:before="0"/>
              <w:jc w:val="left"/>
              <w:rPr>
                <w:rFonts w:cs="Arial"/>
                <w:szCs w:val="24"/>
                <w:lang w:val="fr-FR"/>
              </w:rPr>
            </w:pPr>
          </w:p>
        </w:tc>
      </w:tr>
      <w:tr w:rsidR="00E53DCE" w:rsidRPr="000715F0" w14:paraId="2C7A83B1" w14:textId="77777777" w:rsidTr="004228FA">
        <w:trPr>
          <w:jc w:val="center"/>
        </w:trPr>
        <w:tc>
          <w:tcPr>
            <w:tcW w:w="9889" w:type="dxa"/>
            <w:gridSpan w:val="3"/>
            <w:shd w:val="clear" w:color="auto" w:fill="auto"/>
          </w:tcPr>
          <w:p w14:paraId="4F027620" w14:textId="77777777" w:rsidR="00E53DCE" w:rsidRPr="000715F0" w:rsidRDefault="00E53DCE" w:rsidP="006160CB">
            <w:pPr>
              <w:spacing w:before="0"/>
              <w:jc w:val="left"/>
              <w:rPr>
                <w:szCs w:val="24"/>
                <w:lang w:val="fr-FR"/>
              </w:rPr>
            </w:pPr>
          </w:p>
        </w:tc>
      </w:tr>
      <w:tr w:rsidR="00E53DCE" w:rsidRPr="00316088" w14:paraId="6440B588" w14:textId="77777777" w:rsidTr="004228FA">
        <w:trPr>
          <w:jc w:val="center"/>
        </w:trPr>
        <w:tc>
          <w:tcPr>
            <w:tcW w:w="9889" w:type="dxa"/>
            <w:gridSpan w:val="3"/>
            <w:shd w:val="clear" w:color="auto" w:fill="auto"/>
          </w:tcPr>
          <w:p w14:paraId="731ADD83" w14:textId="1619A9CB" w:rsidR="00E53DCE" w:rsidRPr="000715F0" w:rsidRDefault="008F2CC1" w:rsidP="006160CB">
            <w:pPr>
              <w:spacing w:before="0"/>
              <w:jc w:val="left"/>
              <w:rPr>
                <w:b/>
                <w:bCs/>
                <w:szCs w:val="24"/>
                <w:lang w:val="fr-FR"/>
              </w:rPr>
            </w:pPr>
            <w:r w:rsidRPr="000715F0">
              <w:rPr>
                <w:b/>
                <w:bCs/>
                <w:szCs w:val="24"/>
                <w:lang w:val="fr-FR"/>
              </w:rPr>
              <w:t>Aux Administrations des États Membres de l</w:t>
            </w:r>
            <w:r w:rsidR="00E53E59" w:rsidRPr="000715F0">
              <w:rPr>
                <w:b/>
                <w:bCs/>
                <w:szCs w:val="24"/>
                <w:lang w:val="fr-FR"/>
              </w:rPr>
              <w:t>'</w:t>
            </w:r>
            <w:r w:rsidRPr="000715F0">
              <w:rPr>
                <w:b/>
                <w:bCs/>
                <w:szCs w:val="24"/>
                <w:lang w:val="fr-FR"/>
              </w:rPr>
              <w:t>UIT, aux Membres du Secteur des radiocommunications, aux Associés de l</w:t>
            </w:r>
            <w:r w:rsidR="00E53E59" w:rsidRPr="000715F0">
              <w:rPr>
                <w:b/>
                <w:bCs/>
                <w:szCs w:val="24"/>
                <w:lang w:val="fr-FR"/>
              </w:rPr>
              <w:t>'</w:t>
            </w:r>
            <w:r w:rsidRPr="000715F0">
              <w:rPr>
                <w:b/>
                <w:bCs/>
                <w:szCs w:val="24"/>
                <w:lang w:val="fr-FR"/>
              </w:rPr>
              <w:t>UIT-R participant aux travaux de la Commission d</w:t>
            </w:r>
            <w:r w:rsidR="00E53E59" w:rsidRPr="000715F0">
              <w:rPr>
                <w:b/>
                <w:bCs/>
                <w:szCs w:val="24"/>
                <w:lang w:val="fr-FR"/>
              </w:rPr>
              <w:t>'</w:t>
            </w:r>
            <w:r w:rsidRPr="000715F0">
              <w:rPr>
                <w:b/>
                <w:bCs/>
                <w:szCs w:val="24"/>
                <w:lang w:val="fr-FR"/>
              </w:rPr>
              <w:t>études 7 des radiocommunications et aux établissements universitaires participant aux travaux de l</w:t>
            </w:r>
            <w:r w:rsidR="00E53E59" w:rsidRPr="000715F0">
              <w:rPr>
                <w:b/>
                <w:bCs/>
                <w:szCs w:val="24"/>
                <w:lang w:val="fr-FR"/>
              </w:rPr>
              <w:t>'</w:t>
            </w:r>
            <w:r w:rsidRPr="000715F0">
              <w:rPr>
                <w:b/>
                <w:bCs/>
                <w:szCs w:val="24"/>
                <w:lang w:val="fr-FR"/>
              </w:rPr>
              <w:t>UIT</w:t>
            </w:r>
          </w:p>
          <w:p w14:paraId="68B0DDFA" w14:textId="77777777" w:rsidR="00E53DCE" w:rsidRPr="000715F0" w:rsidRDefault="00E53DCE" w:rsidP="006160CB">
            <w:pPr>
              <w:spacing w:before="0"/>
              <w:jc w:val="left"/>
              <w:rPr>
                <w:b/>
                <w:bCs/>
                <w:szCs w:val="24"/>
                <w:lang w:val="fr-FR"/>
              </w:rPr>
            </w:pPr>
          </w:p>
        </w:tc>
      </w:tr>
      <w:tr w:rsidR="00E53DCE" w:rsidRPr="00316088" w14:paraId="6E67D6E4" w14:textId="77777777" w:rsidTr="004228FA">
        <w:trPr>
          <w:jc w:val="center"/>
        </w:trPr>
        <w:tc>
          <w:tcPr>
            <w:tcW w:w="9889" w:type="dxa"/>
            <w:gridSpan w:val="3"/>
            <w:shd w:val="clear" w:color="auto" w:fill="auto"/>
          </w:tcPr>
          <w:p w14:paraId="218109F6" w14:textId="77777777" w:rsidR="00E53DCE" w:rsidRPr="000715F0" w:rsidRDefault="00E53DCE" w:rsidP="006160CB">
            <w:pPr>
              <w:spacing w:before="0"/>
              <w:jc w:val="left"/>
              <w:rPr>
                <w:szCs w:val="24"/>
                <w:lang w:val="fr-FR"/>
              </w:rPr>
            </w:pPr>
          </w:p>
        </w:tc>
      </w:tr>
      <w:tr w:rsidR="00E53DCE" w:rsidRPr="00316088" w14:paraId="7A3DB5EF" w14:textId="77777777" w:rsidTr="004228FA">
        <w:trPr>
          <w:jc w:val="center"/>
        </w:trPr>
        <w:tc>
          <w:tcPr>
            <w:tcW w:w="9889" w:type="dxa"/>
            <w:gridSpan w:val="3"/>
            <w:shd w:val="clear" w:color="auto" w:fill="auto"/>
          </w:tcPr>
          <w:p w14:paraId="20ABCF55" w14:textId="77777777" w:rsidR="00E53DCE" w:rsidRPr="000715F0" w:rsidRDefault="00E53DCE" w:rsidP="006160CB">
            <w:pPr>
              <w:spacing w:before="0"/>
              <w:jc w:val="left"/>
              <w:rPr>
                <w:szCs w:val="24"/>
                <w:lang w:val="fr-FR"/>
              </w:rPr>
            </w:pPr>
          </w:p>
        </w:tc>
      </w:tr>
      <w:tr w:rsidR="008F2CC1" w:rsidRPr="00316088" w14:paraId="7AF4F667" w14:textId="77777777" w:rsidTr="004228FA">
        <w:trPr>
          <w:jc w:val="center"/>
        </w:trPr>
        <w:tc>
          <w:tcPr>
            <w:tcW w:w="1526" w:type="dxa"/>
            <w:shd w:val="clear" w:color="auto" w:fill="auto"/>
          </w:tcPr>
          <w:p w14:paraId="2C798BA9" w14:textId="77777777" w:rsidR="008F2CC1" w:rsidRPr="000715F0" w:rsidRDefault="008F2CC1" w:rsidP="008F2CC1">
            <w:pPr>
              <w:tabs>
                <w:tab w:val="clear" w:pos="1588"/>
                <w:tab w:val="left" w:pos="1560"/>
              </w:tabs>
              <w:spacing w:before="0"/>
              <w:jc w:val="left"/>
              <w:rPr>
                <w:szCs w:val="24"/>
                <w:lang w:val="fr-FR"/>
              </w:rPr>
            </w:pPr>
            <w:proofErr w:type="gramStart"/>
            <w:r w:rsidRPr="000715F0">
              <w:rPr>
                <w:lang w:val="fr-FR"/>
              </w:rPr>
              <w:t>Objet</w:t>
            </w:r>
            <w:r w:rsidRPr="000715F0">
              <w:rPr>
                <w:szCs w:val="24"/>
                <w:lang w:val="fr-FR"/>
              </w:rPr>
              <w:t>:</w:t>
            </w:r>
            <w:proofErr w:type="gramEnd"/>
          </w:p>
        </w:tc>
        <w:tc>
          <w:tcPr>
            <w:tcW w:w="8363" w:type="dxa"/>
            <w:gridSpan w:val="2"/>
            <w:vMerge w:val="restart"/>
            <w:shd w:val="clear" w:color="auto" w:fill="auto"/>
          </w:tcPr>
          <w:p w14:paraId="20CC174C" w14:textId="44836206" w:rsidR="008F2CC1" w:rsidRPr="000715F0" w:rsidRDefault="008F2CC1" w:rsidP="008F2CC1">
            <w:pPr>
              <w:tabs>
                <w:tab w:val="clear" w:pos="1588"/>
                <w:tab w:val="left" w:pos="1560"/>
              </w:tabs>
              <w:spacing w:before="0" w:line="240" w:lineRule="auto"/>
              <w:jc w:val="left"/>
              <w:rPr>
                <w:b/>
                <w:bCs/>
                <w:lang w:val="fr-FR"/>
              </w:rPr>
            </w:pPr>
            <w:r w:rsidRPr="000715F0">
              <w:rPr>
                <w:b/>
                <w:bCs/>
                <w:lang w:val="fr-FR"/>
              </w:rPr>
              <w:t>Commission d</w:t>
            </w:r>
            <w:r w:rsidR="00E53E59" w:rsidRPr="000715F0">
              <w:rPr>
                <w:b/>
                <w:bCs/>
                <w:lang w:val="fr-FR"/>
              </w:rPr>
              <w:t>'</w:t>
            </w:r>
            <w:r w:rsidRPr="000715F0">
              <w:rPr>
                <w:b/>
                <w:bCs/>
                <w:lang w:val="fr-FR"/>
              </w:rPr>
              <w:t>études 7 des radiocommunications (Services scientifiques)</w:t>
            </w:r>
          </w:p>
          <w:p w14:paraId="4DEF935B" w14:textId="428F9A32" w:rsidR="008F2CC1" w:rsidRPr="000715F0" w:rsidRDefault="008F2CC1" w:rsidP="00487BDE">
            <w:pPr>
              <w:tabs>
                <w:tab w:val="clear" w:pos="1588"/>
                <w:tab w:val="left" w:pos="1560"/>
              </w:tabs>
              <w:spacing w:before="0"/>
              <w:ind w:left="794" w:hanging="794"/>
              <w:jc w:val="left"/>
              <w:rPr>
                <w:b/>
                <w:bCs/>
                <w:szCs w:val="24"/>
                <w:lang w:val="fr-FR"/>
              </w:rPr>
            </w:pPr>
            <w:r w:rsidRPr="000715F0">
              <w:rPr>
                <w:b/>
                <w:bCs/>
                <w:lang w:val="fr-FR"/>
              </w:rPr>
              <w:t>–</w:t>
            </w:r>
            <w:r w:rsidRPr="000715F0">
              <w:rPr>
                <w:b/>
                <w:bCs/>
                <w:lang w:val="fr-FR"/>
              </w:rPr>
              <w:tab/>
              <w:t>Proposition d</w:t>
            </w:r>
            <w:r w:rsidR="00E53E59" w:rsidRPr="000715F0">
              <w:rPr>
                <w:b/>
                <w:bCs/>
                <w:lang w:val="fr-FR"/>
              </w:rPr>
              <w:t>'</w:t>
            </w:r>
            <w:r w:rsidRPr="000715F0">
              <w:rPr>
                <w:b/>
                <w:bCs/>
                <w:lang w:val="fr-FR"/>
              </w:rPr>
              <w:t>adoption de deux projets de nouvelles Recommandations UIT-R et approbation simultanée par correspondance de ces projets, conformément au § A2.6.2.4 de la Résolution UIT-R 1-8 (Procédure d</w:t>
            </w:r>
            <w:r w:rsidR="00E53E59" w:rsidRPr="000715F0">
              <w:rPr>
                <w:b/>
                <w:bCs/>
                <w:lang w:val="fr-FR"/>
              </w:rPr>
              <w:t>'</w:t>
            </w:r>
            <w:r w:rsidRPr="000715F0">
              <w:rPr>
                <w:b/>
                <w:bCs/>
                <w:lang w:val="fr-FR"/>
              </w:rPr>
              <w:t>adoption et d</w:t>
            </w:r>
            <w:r w:rsidR="00E53E59" w:rsidRPr="000715F0">
              <w:rPr>
                <w:b/>
                <w:bCs/>
                <w:lang w:val="fr-FR"/>
              </w:rPr>
              <w:t>'</w:t>
            </w:r>
            <w:r w:rsidRPr="000715F0">
              <w:rPr>
                <w:b/>
                <w:bCs/>
                <w:lang w:val="fr-FR"/>
              </w:rPr>
              <w:t>approbation simultanées par correspondance)</w:t>
            </w:r>
          </w:p>
        </w:tc>
      </w:tr>
      <w:tr w:rsidR="008F2CC1" w:rsidRPr="00316088" w14:paraId="5C37A10B" w14:textId="77777777" w:rsidTr="004228FA">
        <w:trPr>
          <w:jc w:val="center"/>
        </w:trPr>
        <w:tc>
          <w:tcPr>
            <w:tcW w:w="1526" w:type="dxa"/>
            <w:shd w:val="clear" w:color="auto" w:fill="auto"/>
          </w:tcPr>
          <w:p w14:paraId="229DC049" w14:textId="77777777" w:rsidR="008F2CC1" w:rsidRPr="000715F0" w:rsidRDefault="008F2CC1" w:rsidP="008F2CC1">
            <w:pPr>
              <w:tabs>
                <w:tab w:val="clear" w:pos="1588"/>
                <w:tab w:val="left" w:pos="1560"/>
              </w:tabs>
              <w:spacing w:before="0"/>
              <w:jc w:val="left"/>
              <w:rPr>
                <w:b/>
                <w:bCs/>
                <w:szCs w:val="24"/>
                <w:lang w:val="fr-FR"/>
              </w:rPr>
            </w:pPr>
          </w:p>
        </w:tc>
        <w:tc>
          <w:tcPr>
            <w:tcW w:w="8363" w:type="dxa"/>
            <w:gridSpan w:val="2"/>
            <w:vMerge/>
            <w:shd w:val="clear" w:color="auto" w:fill="auto"/>
          </w:tcPr>
          <w:p w14:paraId="18E67588" w14:textId="77777777" w:rsidR="008F2CC1" w:rsidRPr="000715F0" w:rsidRDefault="008F2CC1" w:rsidP="008F2CC1">
            <w:pPr>
              <w:tabs>
                <w:tab w:val="clear" w:pos="1588"/>
                <w:tab w:val="left" w:pos="1560"/>
              </w:tabs>
              <w:spacing w:before="0"/>
              <w:rPr>
                <w:b/>
                <w:bCs/>
                <w:szCs w:val="24"/>
                <w:lang w:val="fr-FR"/>
              </w:rPr>
            </w:pPr>
          </w:p>
        </w:tc>
      </w:tr>
      <w:tr w:rsidR="008F2CC1" w:rsidRPr="00316088" w14:paraId="1D0C673B" w14:textId="77777777" w:rsidTr="004228FA">
        <w:trPr>
          <w:jc w:val="center"/>
        </w:trPr>
        <w:tc>
          <w:tcPr>
            <w:tcW w:w="1526" w:type="dxa"/>
            <w:shd w:val="clear" w:color="auto" w:fill="auto"/>
          </w:tcPr>
          <w:p w14:paraId="5D2A1D81" w14:textId="77777777" w:rsidR="008F2CC1" w:rsidRPr="000715F0" w:rsidRDefault="008F2CC1" w:rsidP="008F2CC1">
            <w:pPr>
              <w:tabs>
                <w:tab w:val="clear" w:pos="1588"/>
                <w:tab w:val="left" w:pos="1560"/>
              </w:tabs>
              <w:spacing w:before="0"/>
              <w:jc w:val="left"/>
              <w:rPr>
                <w:b/>
                <w:bCs/>
                <w:szCs w:val="24"/>
                <w:lang w:val="fr-FR"/>
              </w:rPr>
            </w:pPr>
          </w:p>
        </w:tc>
        <w:tc>
          <w:tcPr>
            <w:tcW w:w="8363" w:type="dxa"/>
            <w:gridSpan w:val="2"/>
            <w:vMerge/>
            <w:shd w:val="clear" w:color="auto" w:fill="auto"/>
          </w:tcPr>
          <w:p w14:paraId="33BAB707" w14:textId="77777777" w:rsidR="008F2CC1" w:rsidRPr="000715F0" w:rsidRDefault="008F2CC1" w:rsidP="008F2CC1">
            <w:pPr>
              <w:tabs>
                <w:tab w:val="clear" w:pos="1588"/>
                <w:tab w:val="left" w:pos="1560"/>
              </w:tabs>
              <w:spacing w:before="0"/>
              <w:rPr>
                <w:b/>
                <w:bCs/>
                <w:szCs w:val="24"/>
                <w:lang w:val="fr-FR"/>
              </w:rPr>
            </w:pPr>
          </w:p>
        </w:tc>
      </w:tr>
      <w:tr w:rsidR="008F2CC1" w:rsidRPr="00316088" w14:paraId="7404A04A" w14:textId="77777777" w:rsidTr="004228FA">
        <w:trPr>
          <w:jc w:val="center"/>
        </w:trPr>
        <w:tc>
          <w:tcPr>
            <w:tcW w:w="9889" w:type="dxa"/>
            <w:gridSpan w:val="3"/>
            <w:shd w:val="clear" w:color="auto" w:fill="auto"/>
          </w:tcPr>
          <w:p w14:paraId="7FE0F42F" w14:textId="77777777" w:rsidR="008F2CC1" w:rsidRPr="000715F0" w:rsidRDefault="008F2CC1" w:rsidP="008F2CC1">
            <w:pPr>
              <w:tabs>
                <w:tab w:val="clear" w:pos="1588"/>
                <w:tab w:val="left" w:pos="1560"/>
              </w:tabs>
              <w:spacing w:before="0"/>
              <w:jc w:val="left"/>
              <w:rPr>
                <w:szCs w:val="24"/>
                <w:lang w:val="fr-FR"/>
              </w:rPr>
            </w:pPr>
          </w:p>
        </w:tc>
      </w:tr>
      <w:tr w:rsidR="008F2CC1" w:rsidRPr="00316088" w14:paraId="64E2BC6E" w14:textId="77777777" w:rsidTr="004228FA">
        <w:trPr>
          <w:jc w:val="center"/>
        </w:trPr>
        <w:tc>
          <w:tcPr>
            <w:tcW w:w="9889" w:type="dxa"/>
            <w:gridSpan w:val="3"/>
            <w:shd w:val="clear" w:color="auto" w:fill="auto"/>
          </w:tcPr>
          <w:p w14:paraId="70862267" w14:textId="77777777" w:rsidR="008F2CC1" w:rsidRPr="000715F0" w:rsidRDefault="008F2CC1" w:rsidP="008F2CC1">
            <w:pPr>
              <w:spacing w:before="0"/>
              <w:jc w:val="left"/>
              <w:rPr>
                <w:b/>
                <w:bCs/>
                <w:szCs w:val="24"/>
                <w:lang w:val="fr-FR"/>
              </w:rPr>
            </w:pPr>
          </w:p>
        </w:tc>
      </w:tr>
    </w:tbl>
    <w:p w14:paraId="03E6416E" w14:textId="2A63DFBD" w:rsidR="008F2CC1" w:rsidRPr="000715F0" w:rsidRDefault="008F2CC1" w:rsidP="007A1B5B">
      <w:pPr>
        <w:rPr>
          <w:szCs w:val="24"/>
          <w:lang w:val="fr-FR"/>
        </w:rPr>
      </w:pPr>
      <w:r w:rsidRPr="000715F0">
        <w:rPr>
          <w:szCs w:val="24"/>
          <w:lang w:val="fr-FR"/>
        </w:rPr>
        <w:t>À sa réunion tenue le 7 octobre 2022, la Commission d</w:t>
      </w:r>
      <w:r w:rsidR="00E53E59" w:rsidRPr="000715F0">
        <w:rPr>
          <w:szCs w:val="24"/>
          <w:lang w:val="fr-FR"/>
        </w:rPr>
        <w:t>'</w:t>
      </w:r>
      <w:r w:rsidRPr="000715F0">
        <w:rPr>
          <w:szCs w:val="24"/>
          <w:lang w:val="fr-FR"/>
        </w:rPr>
        <w:t>études 7 des radiocommunications a décidé de demander l</w:t>
      </w:r>
      <w:r w:rsidR="00E53E59" w:rsidRPr="000715F0">
        <w:rPr>
          <w:szCs w:val="24"/>
          <w:lang w:val="fr-FR"/>
        </w:rPr>
        <w:t>'</w:t>
      </w:r>
      <w:r w:rsidRPr="000715F0">
        <w:rPr>
          <w:szCs w:val="24"/>
          <w:lang w:val="fr-FR"/>
        </w:rPr>
        <w:t>adoption par correspondance de deux projets de nouvelles Recommandations UIT</w:t>
      </w:r>
      <w:r w:rsidRPr="000715F0">
        <w:rPr>
          <w:szCs w:val="24"/>
          <w:lang w:val="fr-FR"/>
        </w:rPr>
        <w:noBreakHyphen/>
        <w:t>R (§ A2.6.2 de la Résolution UIT-R 1-8) et a décidé en outre d</w:t>
      </w:r>
      <w:r w:rsidR="00E53E59" w:rsidRPr="000715F0">
        <w:rPr>
          <w:szCs w:val="24"/>
          <w:lang w:val="fr-FR"/>
        </w:rPr>
        <w:t>'</w:t>
      </w:r>
      <w:r w:rsidRPr="000715F0">
        <w:rPr>
          <w:szCs w:val="24"/>
          <w:lang w:val="fr-FR"/>
        </w:rPr>
        <w:t>appliquer la procédure d</w:t>
      </w:r>
      <w:r w:rsidR="00E53E59" w:rsidRPr="000715F0">
        <w:rPr>
          <w:szCs w:val="24"/>
          <w:lang w:val="fr-FR"/>
        </w:rPr>
        <w:t>'</w:t>
      </w:r>
      <w:r w:rsidRPr="000715F0">
        <w:rPr>
          <w:szCs w:val="24"/>
          <w:lang w:val="fr-FR"/>
        </w:rPr>
        <w:t>adoption et d</w:t>
      </w:r>
      <w:r w:rsidR="00E53E59" w:rsidRPr="000715F0">
        <w:rPr>
          <w:szCs w:val="24"/>
          <w:lang w:val="fr-FR"/>
        </w:rPr>
        <w:t>'</w:t>
      </w:r>
      <w:r w:rsidRPr="000715F0">
        <w:rPr>
          <w:szCs w:val="24"/>
          <w:lang w:val="fr-FR"/>
        </w:rPr>
        <w:t>approbation simultanées par correspondance (PAAS), conformément au § A2.6.2.4 de la Résolution UIT-R 1-8. Les titres et résumés des projets de Recommandations figurent dans l</w:t>
      </w:r>
      <w:r w:rsidR="00E53E59" w:rsidRPr="000715F0">
        <w:rPr>
          <w:szCs w:val="24"/>
          <w:lang w:val="fr-FR"/>
        </w:rPr>
        <w:t>'</w:t>
      </w:r>
      <w:r w:rsidRPr="000715F0">
        <w:rPr>
          <w:szCs w:val="24"/>
          <w:lang w:val="fr-FR"/>
        </w:rPr>
        <w:t>Annexe de la présente lettre. Un État Membre qui soulève une objection au sujet de l</w:t>
      </w:r>
      <w:r w:rsidR="00E53E59" w:rsidRPr="000715F0">
        <w:rPr>
          <w:szCs w:val="24"/>
          <w:lang w:val="fr-FR"/>
        </w:rPr>
        <w:t>'</w:t>
      </w:r>
      <w:r w:rsidRPr="000715F0">
        <w:rPr>
          <w:szCs w:val="24"/>
          <w:lang w:val="fr-FR"/>
        </w:rPr>
        <w:t>adoption d</w:t>
      </w:r>
      <w:r w:rsidR="00E53E59" w:rsidRPr="000715F0">
        <w:rPr>
          <w:szCs w:val="24"/>
          <w:lang w:val="fr-FR"/>
        </w:rPr>
        <w:t>'</w:t>
      </w:r>
      <w:r w:rsidRPr="000715F0">
        <w:rPr>
          <w:szCs w:val="24"/>
          <w:lang w:val="fr-FR"/>
        </w:rPr>
        <w:t>un projet de Recommandation est prié d</w:t>
      </w:r>
      <w:r w:rsidR="00E53E59" w:rsidRPr="000715F0">
        <w:rPr>
          <w:szCs w:val="24"/>
          <w:lang w:val="fr-FR"/>
        </w:rPr>
        <w:t>'</w:t>
      </w:r>
      <w:r w:rsidRPr="000715F0">
        <w:rPr>
          <w:szCs w:val="24"/>
          <w:lang w:val="fr-FR"/>
        </w:rPr>
        <w:t>informer le Directeur et le Président de la commission d</w:t>
      </w:r>
      <w:r w:rsidR="00E53E59" w:rsidRPr="000715F0">
        <w:rPr>
          <w:szCs w:val="24"/>
          <w:lang w:val="fr-FR"/>
        </w:rPr>
        <w:t>'</w:t>
      </w:r>
      <w:r w:rsidRPr="000715F0">
        <w:rPr>
          <w:szCs w:val="24"/>
          <w:lang w:val="fr-FR"/>
        </w:rPr>
        <w:t>études des raisons de cette objection.</w:t>
      </w:r>
    </w:p>
    <w:p w14:paraId="3368D428" w14:textId="0F1816BC" w:rsidR="008F2CC1" w:rsidRPr="000715F0" w:rsidRDefault="008F2CC1" w:rsidP="007A1B5B">
      <w:pPr>
        <w:rPr>
          <w:szCs w:val="24"/>
          <w:lang w:val="fr-FR"/>
        </w:rPr>
      </w:pPr>
      <w:r w:rsidRPr="000715F0">
        <w:rPr>
          <w:szCs w:val="24"/>
          <w:lang w:val="fr-FR"/>
        </w:rPr>
        <w:t>La période d</w:t>
      </w:r>
      <w:r w:rsidR="00E53E59" w:rsidRPr="000715F0">
        <w:rPr>
          <w:szCs w:val="24"/>
          <w:lang w:val="fr-FR"/>
        </w:rPr>
        <w:t>'</w:t>
      </w:r>
      <w:r w:rsidRPr="000715F0">
        <w:rPr>
          <w:szCs w:val="24"/>
          <w:lang w:val="fr-FR"/>
        </w:rPr>
        <w:t>examen durera deux mois, jusqu</w:t>
      </w:r>
      <w:r w:rsidR="00E53E59" w:rsidRPr="000715F0">
        <w:rPr>
          <w:szCs w:val="24"/>
          <w:lang w:val="fr-FR"/>
        </w:rPr>
        <w:t>'</w:t>
      </w:r>
      <w:r w:rsidRPr="000715F0">
        <w:rPr>
          <w:szCs w:val="24"/>
          <w:lang w:val="fr-FR"/>
        </w:rPr>
        <w:t xml:space="preserve">au </w:t>
      </w:r>
      <w:r w:rsidR="00AF0A28" w:rsidRPr="00CD55B3">
        <w:rPr>
          <w:szCs w:val="24"/>
          <w:u w:val="single"/>
          <w:lang w:val="fr-FR"/>
        </w:rPr>
        <w:t>20</w:t>
      </w:r>
      <w:r w:rsidRPr="00CD55B3">
        <w:rPr>
          <w:szCs w:val="24"/>
          <w:u w:val="single"/>
          <w:lang w:val="fr-FR"/>
        </w:rPr>
        <w:t xml:space="preserve"> d</w:t>
      </w:r>
      <w:r w:rsidRPr="000715F0">
        <w:rPr>
          <w:szCs w:val="24"/>
          <w:u w:val="single"/>
          <w:lang w:val="fr-FR"/>
        </w:rPr>
        <w:t>écembre 2022</w:t>
      </w:r>
      <w:r w:rsidRPr="000715F0">
        <w:rPr>
          <w:szCs w:val="24"/>
          <w:lang w:val="fr-FR"/>
        </w:rPr>
        <w:t>. Si, au cours de cette période, aucun État Membre ne soulève d</w:t>
      </w:r>
      <w:r w:rsidR="00E53E59" w:rsidRPr="000715F0">
        <w:rPr>
          <w:szCs w:val="24"/>
          <w:lang w:val="fr-FR"/>
        </w:rPr>
        <w:t>'</w:t>
      </w:r>
      <w:r w:rsidRPr="000715F0">
        <w:rPr>
          <w:szCs w:val="24"/>
          <w:lang w:val="fr-FR"/>
        </w:rPr>
        <w:t>objection, le ou les projets de Recommandation seront considérés comme adoptés par la Commission d</w:t>
      </w:r>
      <w:r w:rsidR="00E53E59" w:rsidRPr="000715F0">
        <w:rPr>
          <w:szCs w:val="24"/>
          <w:lang w:val="fr-FR"/>
        </w:rPr>
        <w:t>'</w:t>
      </w:r>
      <w:r w:rsidRPr="000715F0">
        <w:rPr>
          <w:szCs w:val="24"/>
          <w:lang w:val="fr-FR"/>
        </w:rPr>
        <w:t>études 7. En outre, puisque la procédure PAAS est appliquée, l</w:t>
      </w:r>
      <w:r w:rsidR="00E53E59" w:rsidRPr="000715F0">
        <w:rPr>
          <w:szCs w:val="24"/>
          <w:lang w:val="fr-FR"/>
        </w:rPr>
        <w:t>'</w:t>
      </w:r>
      <w:r w:rsidRPr="000715F0">
        <w:rPr>
          <w:szCs w:val="24"/>
          <w:lang w:val="fr-FR"/>
        </w:rPr>
        <w:t>adoption des projets de Recommandations est considérée comme valant approbation.</w:t>
      </w:r>
    </w:p>
    <w:p w14:paraId="579FC90A" w14:textId="58D80109" w:rsidR="008F2CC1" w:rsidRPr="000715F0" w:rsidRDefault="008F2CC1" w:rsidP="007A1B5B">
      <w:pPr>
        <w:rPr>
          <w:szCs w:val="24"/>
          <w:lang w:val="fr-FR"/>
        </w:rPr>
      </w:pPr>
      <w:r w:rsidRPr="000715F0">
        <w:rPr>
          <w:szCs w:val="24"/>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0715F0">
          <w:rPr>
            <w:rStyle w:val="Hyperlink"/>
            <w:szCs w:val="24"/>
            <w:lang w:val="fr-FR"/>
          </w:rPr>
          <w:t>http://www.itu.int/pub/R-REC</w:t>
        </w:r>
      </w:hyperlink>
      <w:r w:rsidRPr="000715F0">
        <w:rPr>
          <w:szCs w:val="24"/>
          <w:lang w:val="fr-FR"/>
        </w:rPr>
        <w:t>).</w:t>
      </w:r>
    </w:p>
    <w:p w14:paraId="71AC9607" w14:textId="0504777E" w:rsidR="00487BDE" w:rsidRPr="000715F0" w:rsidRDefault="00487BDE">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0715F0">
        <w:rPr>
          <w:szCs w:val="24"/>
          <w:lang w:val="fr-FR"/>
        </w:rPr>
        <w:br w:type="page"/>
      </w:r>
    </w:p>
    <w:p w14:paraId="6963C145" w14:textId="6984543B" w:rsidR="00E53DCE" w:rsidRPr="000715F0" w:rsidRDefault="008F2CC1" w:rsidP="007A1B5B">
      <w:pPr>
        <w:rPr>
          <w:szCs w:val="24"/>
          <w:lang w:val="fr-FR"/>
        </w:rPr>
      </w:pPr>
      <w:r w:rsidRPr="000715F0">
        <w:rPr>
          <w:szCs w:val="24"/>
          <w:lang w:val="fr-FR"/>
        </w:rPr>
        <w:lastRenderedPageBreak/>
        <w:t>Toute organisation membre de l</w:t>
      </w:r>
      <w:r w:rsidR="00E53E59" w:rsidRPr="000715F0">
        <w:rPr>
          <w:szCs w:val="24"/>
          <w:lang w:val="fr-FR"/>
        </w:rPr>
        <w:t>'</w:t>
      </w:r>
      <w:r w:rsidRPr="000715F0">
        <w:rPr>
          <w:szCs w:val="24"/>
          <w:lang w:val="fr-FR"/>
        </w:rPr>
        <w:t>UIT ayant connaissance d</w:t>
      </w:r>
      <w:r w:rsidR="00E53E59" w:rsidRPr="000715F0">
        <w:rPr>
          <w:szCs w:val="24"/>
          <w:lang w:val="fr-FR"/>
        </w:rPr>
        <w:t>'</w:t>
      </w:r>
      <w:r w:rsidRPr="000715F0">
        <w:rPr>
          <w:szCs w:val="24"/>
          <w:lang w:val="fr-FR"/>
        </w:rPr>
        <w:t>un brevet détenu en son sein ou par d</w:t>
      </w:r>
      <w:r w:rsidR="00E53E59" w:rsidRPr="000715F0">
        <w:rPr>
          <w:szCs w:val="24"/>
          <w:lang w:val="fr-FR"/>
        </w:rPr>
        <w:t>'</w:t>
      </w:r>
      <w:r w:rsidRPr="000715F0">
        <w:rPr>
          <w:szCs w:val="24"/>
          <w:lang w:val="fr-FR"/>
        </w:rPr>
        <w:t>autres organismes, et susceptible de se rapporter complètement ou en partie à des éléments des projets de Recommandations mentionnés dans la présente lettre, est priée de transmettre lesdites informations au secrétariat dans les meilleurs délais. La politique commune en matière de brevets de l</w:t>
      </w:r>
      <w:r w:rsidR="00E53E59" w:rsidRPr="000715F0">
        <w:rPr>
          <w:szCs w:val="24"/>
          <w:lang w:val="fr-FR"/>
        </w:rPr>
        <w:t>'</w:t>
      </w:r>
      <w:r w:rsidRPr="000715F0">
        <w:rPr>
          <w:szCs w:val="24"/>
          <w:lang w:val="fr-FR"/>
        </w:rPr>
        <w:t>UIT</w:t>
      </w:r>
      <w:r w:rsidRPr="000715F0">
        <w:rPr>
          <w:szCs w:val="24"/>
          <w:lang w:val="fr-FR"/>
        </w:rPr>
        <w:noBreakHyphen/>
        <w:t>T/UIT</w:t>
      </w:r>
      <w:r w:rsidRPr="000715F0">
        <w:rPr>
          <w:szCs w:val="24"/>
          <w:lang w:val="fr-FR"/>
        </w:rPr>
        <w:noBreakHyphen/>
        <w:t xml:space="preserve">R/ISO/CEI est disponible à </w:t>
      </w:r>
      <w:proofErr w:type="gramStart"/>
      <w:r w:rsidRPr="000715F0">
        <w:rPr>
          <w:szCs w:val="24"/>
          <w:lang w:val="fr-FR"/>
        </w:rPr>
        <w:t>l</w:t>
      </w:r>
      <w:r w:rsidR="00E53E59" w:rsidRPr="000715F0">
        <w:rPr>
          <w:szCs w:val="24"/>
          <w:lang w:val="fr-FR"/>
        </w:rPr>
        <w:t>'</w:t>
      </w:r>
      <w:r w:rsidRPr="000715F0">
        <w:rPr>
          <w:szCs w:val="24"/>
          <w:lang w:val="fr-FR"/>
        </w:rPr>
        <w:t>adresse:</w:t>
      </w:r>
      <w:proofErr w:type="gramEnd"/>
      <w:r w:rsidRPr="000715F0">
        <w:rPr>
          <w:szCs w:val="24"/>
          <w:lang w:val="fr-FR"/>
        </w:rPr>
        <w:t xml:space="preserve"> </w:t>
      </w:r>
      <w:hyperlink r:id="rId9" w:history="1">
        <w:r w:rsidRPr="000715F0">
          <w:rPr>
            <w:rStyle w:val="Hyperlink"/>
            <w:szCs w:val="24"/>
            <w:lang w:val="fr-FR"/>
          </w:rPr>
          <w:t>http://www.itu.int/en/ITU-T/ipr/Pages/policy.aspx</w:t>
        </w:r>
      </w:hyperlink>
      <w:r w:rsidRPr="000715F0">
        <w:rPr>
          <w:szCs w:val="24"/>
          <w:lang w:val="fr-FR"/>
        </w:rPr>
        <w:t>.</w:t>
      </w:r>
    </w:p>
    <w:p w14:paraId="08781FC4" w14:textId="051C5A51" w:rsidR="002569F7" w:rsidRPr="000715F0" w:rsidRDefault="004F47EA" w:rsidP="00316088">
      <w:pPr>
        <w:spacing w:before="1200" w:line="240" w:lineRule="auto"/>
        <w:jc w:val="left"/>
        <w:rPr>
          <w:szCs w:val="24"/>
          <w:lang w:val="fr-FR"/>
        </w:rPr>
      </w:pPr>
      <w:r w:rsidRPr="000715F0">
        <w:rPr>
          <w:rFonts w:asciiTheme="minorHAnsi" w:hAnsiTheme="minorHAnsi" w:cstheme="minorHAnsi"/>
          <w:lang w:val="fr-FR"/>
        </w:rPr>
        <w:t>Mario Maniewicz</w:t>
      </w:r>
      <w:r w:rsidR="00E53DCE" w:rsidRPr="000715F0">
        <w:rPr>
          <w:szCs w:val="24"/>
          <w:lang w:val="fr-FR"/>
        </w:rPr>
        <w:br/>
        <w:t>Directeur</w:t>
      </w:r>
    </w:p>
    <w:p w14:paraId="13760566" w14:textId="77777777" w:rsidR="008F2CC1" w:rsidRPr="000715F0" w:rsidRDefault="008F2CC1" w:rsidP="00316088">
      <w:pPr>
        <w:spacing w:before="1920" w:line="240" w:lineRule="auto"/>
        <w:jc w:val="left"/>
        <w:rPr>
          <w:bCs/>
          <w:szCs w:val="24"/>
          <w:lang w:val="fr-FR"/>
        </w:rPr>
      </w:pPr>
      <w:proofErr w:type="gramStart"/>
      <w:r w:rsidRPr="000715F0">
        <w:rPr>
          <w:b/>
          <w:bCs/>
          <w:szCs w:val="24"/>
          <w:lang w:val="fr-FR"/>
        </w:rPr>
        <w:t>Annexe:</w:t>
      </w:r>
      <w:proofErr w:type="gramEnd"/>
      <w:r w:rsidRPr="000715F0">
        <w:rPr>
          <w:b/>
          <w:bCs/>
          <w:szCs w:val="24"/>
          <w:lang w:val="fr-FR"/>
        </w:rPr>
        <w:tab/>
      </w:r>
      <w:r w:rsidRPr="000715F0">
        <w:rPr>
          <w:bCs/>
          <w:szCs w:val="24"/>
          <w:lang w:val="fr-FR"/>
        </w:rPr>
        <w:t>Titres et résumés des projets de Recommandations</w:t>
      </w:r>
    </w:p>
    <w:p w14:paraId="31B9E22D" w14:textId="77777777" w:rsidR="008F2CC1" w:rsidRPr="000715F0" w:rsidRDefault="008F2CC1" w:rsidP="007A1B5B">
      <w:pPr>
        <w:spacing w:before="1320" w:line="240" w:lineRule="auto"/>
        <w:jc w:val="left"/>
        <w:rPr>
          <w:szCs w:val="24"/>
          <w:lang w:val="fr-FR"/>
        </w:rPr>
      </w:pPr>
      <w:proofErr w:type="gramStart"/>
      <w:r w:rsidRPr="000715F0">
        <w:rPr>
          <w:b/>
          <w:bCs/>
          <w:szCs w:val="24"/>
          <w:lang w:val="fr-FR"/>
        </w:rPr>
        <w:t>Documents:</w:t>
      </w:r>
      <w:proofErr w:type="gramEnd"/>
      <w:r w:rsidRPr="000715F0">
        <w:rPr>
          <w:b/>
          <w:bCs/>
          <w:szCs w:val="24"/>
          <w:lang w:val="fr-FR"/>
        </w:rPr>
        <w:tab/>
      </w:r>
      <w:r w:rsidRPr="000715F0">
        <w:rPr>
          <w:szCs w:val="24"/>
          <w:lang w:val="fr-FR"/>
        </w:rPr>
        <w:t>Documents 7/51(Rév.1), 7/61(Rév.1)</w:t>
      </w:r>
    </w:p>
    <w:p w14:paraId="43269873" w14:textId="3488DC3C" w:rsidR="008F2CC1" w:rsidRPr="000715F0" w:rsidRDefault="008F2CC1" w:rsidP="007A1B5B">
      <w:pPr>
        <w:spacing w:line="240" w:lineRule="auto"/>
        <w:jc w:val="left"/>
        <w:rPr>
          <w:szCs w:val="24"/>
          <w:lang w:val="fr-FR"/>
        </w:rPr>
      </w:pPr>
      <w:r w:rsidRPr="000715F0">
        <w:rPr>
          <w:szCs w:val="24"/>
          <w:lang w:val="fr-FR"/>
        </w:rPr>
        <w:t xml:space="preserve">Ces documents sont disponibles sous forme électronique à </w:t>
      </w:r>
      <w:proofErr w:type="gramStart"/>
      <w:r w:rsidRPr="000715F0">
        <w:rPr>
          <w:szCs w:val="24"/>
          <w:lang w:val="fr-FR"/>
        </w:rPr>
        <w:t>l</w:t>
      </w:r>
      <w:r w:rsidR="00E53E59" w:rsidRPr="000715F0">
        <w:rPr>
          <w:szCs w:val="24"/>
          <w:lang w:val="fr-FR"/>
        </w:rPr>
        <w:t>'</w:t>
      </w:r>
      <w:r w:rsidRPr="000715F0">
        <w:rPr>
          <w:szCs w:val="24"/>
          <w:lang w:val="fr-FR"/>
        </w:rPr>
        <w:t>adresse:</w:t>
      </w:r>
      <w:proofErr w:type="gramEnd"/>
      <w:r w:rsidRPr="000715F0">
        <w:rPr>
          <w:szCs w:val="24"/>
          <w:lang w:val="fr-FR"/>
        </w:rPr>
        <w:t xml:space="preserve"> </w:t>
      </w:r>
      <w:r w:rsidRPr="000715F0">
        <w:rPr>
          <w:szCs w:val="24"/>
          <w:lang w:val="fr-FR"/>
        </w:rPr>
        <w:br/>
      </w:r>
      <w:hyperlink r:id="rId10" w:history="1">
        <w:r w:rsidR="00487BDE" w:rsidRPr="000715F0">
          <w:rPr>
            <w:rStyle w:val="Hyperlink"/>
            <w:szCs w:val="24"/>
            <w:lang w:val="fr-FR"/>
          </w:rPr>
          <w:t>https://www.itu.int/md/R19-SG07-C/en</w:t>
        </w:r>
      </w:hyperlink>
      <w:r w:rsidRPr="000715F0">
        <w:rPr>
          <w:szCs w:val="24"/>
          <w:lang w:val="fr-FR"/>
        </w:rPr>
        <w:t>.</w:t>
      </w:r>
    </w:p>
    <w:p w14:paraId="3AB34989" w14:textId="77777777" w:rsidR="008F2CC1" w:rsidRPr="000715F0" w:rsidRDefault="008F2CC1" w:rsidP="008F2CC1">
      <w:pPr>
        <w:spacing w:before="0" w:line="240" w:lineRule="auto"/>
        <w:jc w:val="left"/>
        <w:rPr>
          <w:szCs w:val="24"/>
          <w:lang w:val="fr-FR"/>
        </w:rPr>
      </w:pPr>
      <w:r w:rsidRPr="000715F0">
        <w:rPr>
          <w:szCs w:val="24"/>
          <w:lang w:val="fr-FR"/>
        </w:rPr>
        <w:br w:type="page"/>
      </w:r>
    </w:p>
    <w:p w14:paraId="090AACAC" w14:textId="09A2F57F" w:rsidR="008F2CC1" w:rsidRPr="000715F0" w:rsidRDefault="008F2CC1" w:rsidP="00487BDE">
      <w:pPr>
        <w:pStyle w:val="AnnexNoTitle"/>
        <w:rPr>
          <w:sz w:val="28"/>
          <w:szCs w:val="28"/>
          <w:lang w:val="fr-FR"/>
        </w:rPr>
      </w:pPr>
      <w:r w:rsidRPr="000715F0">
        <w:rPr>
          <w:sz w:val="28"/>
          <w:szCs w:val="28"/>
          <w:lang w:val="fr-FR"/>
        </w:rPr>
        <w:lastRenderedPageBreak/>
        <w:t>Annexe</w:t>
      </w:r>
      <w:r w:rsidRPr="000715F0">
        <w:rPr>
          <w:sz w:val="28"/>
          <w:szCs w:val="28"/>
          <w:lang w:val="fr-FR"/>
        </w:rPr>
        <w:br/>
      </w:r>
      <w:r w:rsidRPr="000715F0">
        <w:rPr>
          <w:sz w:val="28"/>
          <w:szCs w:val="28"/>
          <w:lang w:val="fr-FR"/>
        </w:rPr>
        <w:br/>
        <w:t>Titres et résumés des projets de Recommandations de l</w:t>
      </w:r>
      <w:r w:rsidR="00E53E59" w:rsidRPr="000715F0">
        <w:rPr>
          <w:sz w:val="28"/>
          <w:szCs w:val="28"/>
          <w:lang w:val="fr-FR"/>
        </w:rPr>
        <w:t>'</w:t>
      </w:r>
      <w:r w:rsidRPr="000715F0">
        <w:rPr>
          <w:sz w:val="28"/>
          <w:szCs w:val="28"/>
          <w:lang w:val="fr-FR"/>
        </w:rPr>
        <w:t>UIT-R</w:t>
      </w:r>
    </w:p>
    <w:p w14:paraId="798F02EB" w14:textId="355CD65A" w:rsidR="008F2CC1" w:rsidRPr="000715F0" w:rsidRDefault="008F2CC1" w:rsidP="007A1B5B">
      <w:pPr>
        <w:tabs>
          <w:tab w:val="right" w:pos="9639"/>
        </w:tabs>
        <w:spacing w:before="600"/>
        <w:rPr>
          <w:lang w:val="fr-FR"/>
        </w:rPr>
      </w:pPr>
      <w:r w:rsidRPr="000715F0">
        <w:rPr>
          <w:u w:val="single"/>
          <w:lang w:val="fr-FR"/>
        </w:rPr>
        <w:t xml:space="preserve">Projet de nouvelle Recommandation UIT-R </w:t>
      </w:r>
      <w:proofErr w:type="gramStart"/>
      <w:r w:rsidRPr="000715F0">
        <w:rPr>
          <w:u w:val="single"/>
          <w:lang w:val="fr-FR"/>
        </w:rPr>
        <w:t>SA.[</w:t>
      </w:r>
      <w:proofErr w:type="gramEnd"/>
      <w:r w:rsidRPr="000715F0">
        <w:rPr>
          <w:u w:val="single"/>
          <w:lang w:val="fr-FR"/>
        </w:rPr>
        <w:t>S-BAND DL USE OPT]</w:t>
      </w:r>
      <w:r w:rsidR="003018FE" w:rsidRPr="000715F0">
        <w:rPr>
          <w:lang w:val="fr-FR"/>
        </w:rPr>
        <w:tab/>
      </w:r>
      <w:r w:rsidRPr="000715F0">
        <w:rPr>
          <w:lang w:val="fr-FR"/>
        </w:rPr>
        <w:t>Doc. 7/51(Rév.1)</w:t>
      </w:r>
    </w:p>
    <w:p w14:paraId="7E6FF9AA" w14:textId="47A22199" w:rsidR="008F2CC1" w:rsidRPr="000715F0" w:rsidRDefault="008F2CC1" w:rsidP="003018FE">
      <w:pPr>
        <w:pStyle w:val="Rectitle"/>
        <w:rPr>
          <w:lang w:val="fr-FR"/>
        </w:rPr>
      </w:pPr>
      <w:r w:rsidRPr="000715F0">
        <w:rPr>
          <w:lang w:val="fr-FR"/>
        </w:rPr>
        <w:t>Lignes directrices relatives à l</w:t>
      </w:r>
      <w:r w:rsidR="00E53E59" w:rsidRPr="000715F0">
        <w:rPr>
          <w:lang w:val="fr-FR"/>
        </w:rPr>
        <w:t>'</w:t>
      </w:r>
      <w:r w:rsidRPr="000715F0">
        <w:rPr>
          <w:lang w:val="fr-FR"/>
        </w:rPr>
        <w:t xml:space="preserve">utilisation de la bande de fréquences </w:t>
      </w:r>
      <w:r w:rsidR="00487BDE" w:rsidRPr="000715F0">
        <w:rPr>
          <w:lang w:val="fr-FR"/>
        </w:rPr>
        <w:br/>
      </w:r>
      <w:r w:rsidRPr="000715F0">
        <w:rPr>
          <w:lang w:val="fr-FR"/>
        </w:rPr>
        <w:t xml:space="preserve">2 200-2 290 MHz par les réseaux à satellite ou les systèmes </w:t>
      </w:r>
      <w:r w:rsidR="00487BDE" w:rsidRPr="000715F0">
        <w:rPr>
          <w:lang w:val="fr-FR"/>
        </w:rPr>
        <w:br/>
      </w:r>
      <w:r w:rsidRPr="000715F0">
        <w:rPr>
          <w:lang w:val="fr-FR"/>
        </w:rPr>
        <w:t>à satellites SETS/SRS/SES n</w:t>
      </w:r>
      <w:r w:rsidR="00E53E59" w:rsidRPr="000715F0">
        <w:rPr>
          <w:lang w:val="fr-FR"/>
        </w:rPr>
        <w:t>'</w:t>
      </w:r>
      <w:r w:rsidRPr="000715F0">
        <w:rPr>
          <w:lang w:val="fr-FR"/>
        </w:rPr>
        <w:t xml:space="preserve">utilisant pas la modulation </w:t>
      </w:r>
      <w:r w:rsidR="00487BDE" w:rsidRPr="000715F0">
        <w:rPr>
          <w:lang w:val="fr-FR"/>
        </w:rPr>
        <w:br/>
      </w:r>
      <w:r w:rsidRPr="000715F0">
        <w:rPr>
          <w:lang w:val="fr-FR"/>
        </w:rPr>
        <w:t>à étalement de spectre</w:t>
      </w:r>
    </w:p>
    <w:p w14:paraId="28C9D82F" w14:textId="59883E1C" w:rsidR="008F2CC1" w:rsidRPr="000715F0" w:rsidRDefault="008F2CC1" w:rsidP="007A1B5B">
      <w:pPr>
        <w:rPr>
          <w:lang w:val="fr-FR"/>
        </w:rPr>
      </w:pPr>
      <w:r w:rsidRPr="000715F0">
        <w:rPr>
          <w:lang w:val="fr-FR"/>
        </w:rPr>
        <w:t>Cette Recommandation fournit des lignes directrices pour l</w:t>
      </w:r>
      <w:r w:rsidR="00E53E59" w:rsidRPr="000715F0">
        <w:rPr>
          <w:lang w:val="fr-FR"/>
        </w:rPr>
        <w:t>'</w:t>
      </w:r>
      <w:r w:rsidRPr="000715F0">
        <w:rPr>
          <w:lang w:val="fr-FR"/>
        </w:rPr>
        <w:t>utilisation de la bande de fréquences</w:t>
      </w:r>
      <w:r w:rsidR="00487BDE" w:rsidRPr="000715F0">
        <w:rPr>
          <w:lang w:val="fr-FR"/>
        </w:rPr>
        <w:t> </w:t>
      </w:r>
      <w:r w:rsidRPr="000715F0">
        <w:rPr>
          <w:lang w:val="fr-FR"/>
        </w:rPr>
        <w:t>2 200-2 290 MHz par les réseaux ou les systèmes du service d</w:t>
      </w:r>
      <w:r w:rsidR="00E53E59" w:rsidRPr="000715F0">
        <w:rPr>
          <w:lang w:val="fr-FR"/>
        </w:rPr>
        <w:t>'</w:t>
      </w:r>
      <w:r w:rsidRPr="000715F0">
        <w:rPr>
          <w:lang w:val="fr-FR"/>
        </w:rPr>
        <w:t>exploration de la Terre par satellite (SETS), du service de recherche spatiale (SRS) et du service d</w:t>
      </w:r>
      <w:r w:rsidR="00E53E59" w:rsidRPr="000715F0">
        <w:rPr>
          <w:lang w:val="fr-FR"/>
        </w:rPr>
        <w:t>'</w:t>
      </w:r>
      <w:r w:rsidRPr="000715F0">
        <w:rPr>
          <w:lang w:val="fr-FR"/>
        </w:rPr>
        <w:t>exploitation spatiale (SES). Elle vise à optimiser l</w:t>
      </w:r>
      <w:r w:rsidR="00E53E59" w:rsidRPr="000715F0">
        <w:rPr>
          <w:lang w:val="fr-FR"/>
        </w:rPr>
        <w:t>'</w:t>
      </w:r>
      <w:r w:rsidRPr="000715F0">
        <w:rPr>
          <w:lang w:val="fr-FR"/>
        </w:rPr>
        <w:t>utilisation de la bande en favorisant les pratiques permettant au plus grand nombre de réseaux à satellite et de systèmes à satellites d</w:t>
      </w:r>
      <w:r w:rsidR="00E53E59" w:rsidRPr="000715F0">
        <w:rPr>
          <w:lang w:val="fr-FR"/>
        </w:rPr>
        <w:t>'</w:t>
      </w:r>
      <w:r w:rsidRPr="000715F0">
        <w:rPr>
          <w:lang w:val="fr-FR"/>
        </w:rPr>
        <w:t>utiliser la bande en partage, y compris les techniques visant à réduire la largeur de bande indiquée dans les fiches de notification des renseignements fournis au titre de la publication anticipée (API). Cette Recommandation porte sur les réseaux à satellite ou les systèmes à satellites des services SETS/SRS/SOS qui n</w:t>
      </w:r>
      <w:r w:rsidR="00E53E59" w:rsidRPr="000715F0">
        <w:rPr>
          <w:lang w:val="fr-FR"/>
        </w:rPr>
        <w:t>'</w:t>
      </w:r>
      <w:r w:rsidRPr="000715F0">
        <w:rPr>
          <w:lang w:val="fr-FR"/>
        </w:rPr>
        <w:t>utilisent pas la modulation à étalement de spectre.</w:t>
      </w:r>
    </w:p>
    <w:p w14:paraId="62774C6D" w14:textId="77777777" w:rsidR="008F2CC1" w:rsidRPr="000715F0" w:rsidRDefault="008F2CC1" w:rsidP="007A1B5B">
      <w:pPr>
        <w:tabs>
          <w:tab w:val="right" w:pos="9639"/>
        </w:tabs>
        <w:spacing w:before="600"/>
        <w:rPr>
          <w:lang w:val="fr-FR"/>
        </w:rPr>
      </w:pPr>
      <w:r w:rsidRPr="000715F0">
        <w:rPr>
          <w:u w:val="single"/>
          <w:lang w:val="fr-FR"/>
        </w:rPr>
        <w:t xml:space="preserve">Projet de nouvelle Recommandation UIT-R </w:t>
      </w:r>
      <w:proofErr w:type="gramStart"/>
      <w:r w:rsidRPr="000715F0">
        <w:rPr>
          <w:u w:val="single"/>
          <w:lang w:val="fr-FR"/>
        </w:rPr>
        <w:t>SA.[</w:t>
      </w:r>
      <w:proofErr w:type="gramEnd"/>
      <w:r w:rsidRPr="000715F0">
        <w:rPr>
          <w:u w:val="single"/>
          <w:lang w:val="fr-FR"/>
        </w:rPr>
        <w:t>S-BAND UL USE OPT]</w:t>
      </w:r>
      <w:r w:rsidRPr="000715F0">
        <w:rPr>
          <w:lang w:val="fr-FR"/>
        </w:rPr>
        <w:tab/>
        <w:t>Doc. 7/61(Rév.1)</w:t>
      </w:r>
    </w:p>
    <w:p w14:paraId="15BBEB22" w14:textId="52CA6EFE" w:rsidR="008F2CC1" w:rsidRPr="000715F0" w:rsidRDefault="008F2CC1" w:rsidP="003018FE">
      <w:pPr>
        <w:pStyle w:val="Reptitle"/>
        <w:rPr>
          <w:lang w:val="fr-FR"/>
        </w:rPr>
      </w:pPr>
      <w:r w:rsidRPr="000715F0">
        <w:rPr>
          <w:lang w:val="fr-FR"/>
        </w:rPr>
        <w:t>Lignes directrices relatives à l</w:t>
      </w:r>
      <w:r w:rsidR="00E53E59" w:rsidRPr="000715F0">
        <w:rPr>
          <w:lang w:val="fr-FR"/>
        </w:rPr>
        <w:t>'</w:t>
      </w:r>
      <w:r w:rsidRPr="000715F0">
        <w:rPr>
          <w:lang w:val="fr-FR"/>
        </w:rPr>
        <w:t xml:space="preserve">utilisation de la bande de fréquences </w:t>
      </w:r>
      <w:r w:rsidR="00487BDE" w:rsidRPr="000715F0">
        <w:rPr>
          <w:lang w:val="fr-FR"/>
        </w:rPr>
        <w:br/>
      </w:r>
      <w:r w:rsidRPr="000715F0">
        <w:rPr>
          <w:lang w:val="fr-FR"/>
        </w:rPr>
        <w:t xml:space="preserve">2 025-2 110 MHz par les réseaux à satellite ou les systèmes </w:t>
      </w:r>
      <w:r w:rsidR="00487BDE" w:rsidRPr="000715F0">
        <w:rPr>
          <w:lang w:val="fr-FR"/>
        </w:rPr>
        <w:br/>
      </w:r>
      <w:r w:rsidRPr="000715F0">
        <w:rPr>
          <w:lang w:val="fr-FR"/>
        </w:rPr>
        <w:t xml:space="preserve">à satellites SETS/SRS/SES sans modulation </w:t>
      </w:r>
      <w:r w:rsidR="00487BDE" w:rsidRPr="000715F0">
        <w:rPr>
          <w:lang w:val="fr-FR"/>
        </w:rPr>
        <w:br/>
      </w:r>
      <w:r w:rsidRPr="000715F0">
        <w:rPr>
          <w:lang w:val="fr-FR"/>
        </w:rPr>
        <w:t>à étalement de spectre</w:t>
      </w:r>
    </w:p>
    <w:p w14:paraId="12D74791" w14:textId="0E3E5B3F" w:rsidR="003018FE" w:rsidRPr="000715F0" w:rsidRDefault="008F2CC1" w:rsidP="007A1B5B">
      <w:pPr>
        <w:rPr>
          <w:lang w:val="fr-FR"/>
        </w:rPr>
      </w:pPr>
      <w:r w:rsidRPr="000715F0">
        <w:rPr>
          <w:lang w:val="fr-FR"/>
        </w:rPr>
        <w:t>Cette Recommandation fournit des lignes directrices pour l</w:t>
      </w:r>
      <w:r w:rsidR="00E53E59" w:rsidRPr="000715F0">
        <w:rPr>
          <w:lang w:val="fr-FR"/>
        </w:rPr>
        <w:t>'</w:t>
      </w:r>
      <w:r w:rsidRPr="000715F0">
        <w:rPr>
          <w:lang w:val="fr-FR"/>
        </w:rPr>
        <w:t>utilisation de la bande de fréquences</w:t>
      </w:r>
      <w:r w:rsidR="00487BDE" w:rsidRPr="000715F0">
        <w:rPr>
          <w:lang w:val="fr-FR"/>
        </w:rPr>
        <w:t> </w:t>
      </w:r>
      <w:r w:rsidRPr="000715F0">
        <w:rPr>
          <w:lang w:val="fr-FR"/>
        </w:rPr>
        <w:t>2 025-2 110 MHz par les réseaux ou les systèmes du service de recherche spatiale (SRS), du service d</w:t>
      </w:r>
      <w:r w:rsidR="00E53E59" w:rsidRPr="000715F0">
        <w:rPr>
          <w:lang w:val="fr-FR"/>
        </w:rPr>
        <w:t>'</w:t>
      </w:r>
      <w:r w:rsidRPr="000715F0">
        <w:rPr>
          <w:lang w:val="fr-FR"/>
        </w:rPr>
        <w:t>exploration de la Terre par satellite (SETS) et du service d</w:t>
      </w:r>
      <w:r w:rsidR="00E53E59" w:rsidRPr="000715F0">
        <w:rPr>
          <w:lang w:val="fr-FR"/>
        </w:rPr>
        <w:t>'</w:t>
      </w:r>
      <w:r w:rsidRPr="000715F0">
        <w:rPr>
          <w:lang w:val="fr-FR"/>
        </w:rPr>
        <w:t>exploitation spatiale (SES). Elle vise à optimiser l</w:t>
      </w:r>
      <w:r w:rsidR="00E53E59" w:rsidRPr="000715F0">
        <w:rPr>
          <w:lang w:val="fr-FR"/>
        </w:rPr>
        <w:t>'</w:t>
      </w:r>
      <w:r w:rsidRPr="000715F0">
        <w:rPr>
          <w:lang w:val="fr-FR"/>
        </w:rPr>
        <w:t>utilisation de la bande en favorisant les pratiques permettant au plus grand nombre de réseaux à satellite et de systèmes à satellites d</w:t>
      </w:r>
      <w:r w:rsidR="00E53E59" w:rsidRPr="000715F0">
        <w:rPr>
          <w:lang w:val="fr-FR"/>
        </w:rPr>
        <w:t>'</w:t>
      </w:r>
      <w:r w:rsidRPr="000715F0">
        <w:rPr>
          <w:lang w:val="fr-FR"/>
        </w:rPr>
        <w:t>utiliser la bande en partage, y compris les techniques visant à réduire la largeur de bande indiquée dans les fiches de notification des renseignements fournis au titre de la publication anticipée (API). Cette Recommandation porte sur les réseaux à satellite ou les systèmes à satellites des services SETS/SRS/SOS qui n</w:t>
      </w:r>
      <w:r w:rsidR="00E53E59" w:rsidRPr="000715F0">
        <w:rPr>
          <w:lang w:val="fr-FR"/>
        </w:rPr>
        <w:t>'</w:t>
      </w:r>
      <w:r w:rsidRPr="000715F0">
        <w:rPr>
          <w:lang w:val="fr-FR"/>
        </w:rPr>
        <w:t>utilisent pas la modulation à étalement de spectre.</w:t>
      </w:r>
    </w:p>
    <w:p w14:paraId="67E1425E" w14:textId="77777777" w:rsidR="003018FE" w:rsidRPr="000715F0" w:rsidRDefault="003018FE" w:rsidP="007A1B5B">
      <w:pPr>
        <w:spacing w:before="480"/>
        <w:jc w:val="center"/>
        <w:rPr>
          <w:lang w:val="fr-FR"/>
        </w:rPr>
      </w:pPr>
      <w:r w:rsidRPr="000715F0">
        <w:rPr>
          <w:lang w:val="fr-FR"/>
        </w:rPr>
        <w:t>______________</w:t>
      </w:r>
    </w:p>
    <w:sectPr w:rsidR="003018FE" w:rsidRPr="000715F0" w:rsidSect="003F2F3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ACFB" w14:textId="77777777" w:rsidR="008F2CC1" w:rsidRDefault="008F2CC1">
      <w:r>
        <w:separator/>
      </w:r>
    </w:p>
  </w:endnote>
  <w:endnote w:type="continuationSeparator" w:id="0">
    <w:p w14:paraId="3F5AB00D" w14:textId="77777777" w:rsidR="008F2CC1" w:rsidRDefault="008F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4731" w14:textId="0B5CD835"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487BDE">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r w:rsidR="00316088">
      <w:fldChar w:fldCharType="begin"/>
    </w:r>
    <w:r w:rsidR="00316088" w:rsidRPr="00316088">
      <w:rPr>
        <w:lang w:val="fr-FR"/>
      </w:rPr>
      <w:instrText xml:space="preserve"> HYPERLINK "mailto:itumail@itu.int" </w:instrText>
    </w:r>
    <w:r w:rsidR="00316088">
      <w:fldChar w:fldCharType="separate"/>
    </w:r>
    <w:r w:rsidRPr="00A52F04">
      <w:rPr>
        <w:rStyle w:val="Hyperlink"/>
        <w:rFonts w:asciiTheme="minorHAnsi" w:hAnsiTheme="minorHAnsi"/>
        <w:color w:val="4F81BD" w:themeColor="accent1"/>
        <w:sz w:val="18"/>
        <w:szCs w:val="18"/>
        <w:lang w:val="fr-FR"/>
      </w:rPr>
      <w:t>itumail@itu.int</w:t>
    </w:r>
    <w:r w:rsidR="00316088">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  </w:t>
    </w:r>
    <w:hyperlink r:id="rId1"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7BAF" w14:textId="77777777" w:rsidR="008F2CC1" w:rsidRDefault="008F2CC1">
      <w:r>
        <w:t>____________________</w:t>
      </w:r>
    </w:p>
  </w:footnote>
  <w:footnote w:type="continuationSeparator" w:id="0">
    <w:p w14:paraId="7B8F47FC" w14:textId="77777777" w:rsidR="008F2CC1" w:rsidRDefault="008F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FFC0"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970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79A3" w14:textId="77777777" w:rsidR="007A1B5B" w:rsidRDefault="007A1B5B" w:rsidP="007A1B5B">
    <w:pPr>
      <w:pStyle w:val="Header"/>
      <w:spacing w:before="240" w:line="360" w:lineRule="auto"/>
      <w:ind w:left="4065" w:hanging="4065"/>
      <w:jc w:val="center"/>
    </w:pPr>
    <w:r>
      <w:rPr>
        <w:noProof/>
        <w:lang w:val="en-GB" w:eastAsia="en-GB"/>
      </w:rPr>
      <w:drawing>
        <wp:inline distT="0" distB="0" distL="0" distR="0" wp14:anchorId="1C644F63" wp14:editId="4F46556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73635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66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15F0"/>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18FE"/>
    <w:rsid w:val="00304636"/>
    <w:rsid w:val="00316088"/>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87BDE"/>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1B5B"/>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2CC1"/>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0A28"/>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55B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3E59"/>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01E724"/>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8F2CC1"/>
    <w:rPr>
      <w:color w:val="605E5C"/>
      <w:shd w:val="clear" w:color="auto" w:fill="E1DFDD"/>
    </w:rPr>
  </w:style>
  <w:style w:type="paragraph" w:customStyle="1" w:styleId="Reasons">
    <w:name w:val="Reasons"/>
    <w:basedOn w:val="Normal"/>
    <w:qFormat/>
    <w:rsid w:val="003018F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3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7-C/fr" TargetMode="External"/><Relationship Id="rId4" Type="http://schemas.openxmlformats.org/officeDocument/2006/relationships/settings" Target="settings.xml"/><Relationship Id="rId9" Type="http://schemas.openxmlformats.org/officeDocument/2006/relationships/hyperlink" Target="http://www.itu.int/fr/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51C9-2B1F-4F58-92A5-442E4050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718</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8</cp:revision>
  <cp:lastPrinted>2013-03-08T10:15:00Z</cp:lastPrinted>
  <dcterms:created xsi:type="dcterms:W3CDTF">2022-10-19T07:52:00Z</dcterms:created>
  <dcterms:modified xsi:type="dcterms:W3CDTF">2022-10-19T14:18:00Z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