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AF892BA" w14:textId="77777777" w:rsidTr="00153E23">
        <w:tc>
          <w:tcPr>
            <w:tcW w:w="5000" w:type="pct"/>
            <w:gridSpan w:val="3"/>
            <w:shd w:val="clear" w:color="auto" w:fill="auto"/>
          </w:tcPr>
          <w:p w14:paraId="28F2CE5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5E20578" w14:textId="77777777" w:rsidR="000F7BBE" w:rsidRPr="000F7BBE" w:rsidRDefault="000F7BBE" w:rsidP="0076159F">
            <w:pPr>
              <w:spacing w:line="280" w:lineRule="exact"/>
              <w:rPr>
                <w:b/>
                <w:bCs/>
                <w:rtl/>
                <w:lang w:bidi="ar-EG"/>
              </w:rPr>
            </w:pPr>
          </w:p>
        </w:tc>
      </w:tr>
      <w:tr w:rsidR="0070381F" w:rsidRPr="00F36590" w14:paraId="46BC17B1" w14:textId="77777777" w:rsidTr="002A393E">
        <w:tc>
          <w:tcPr>
            <w:tcW w:w="2707" w:type="pct"/>
            <w:gridSpan w:val="2"/>
            <w:shd w:val="clear" w:color="auto" w:fill="auto"/>
          </w:tcPr>
          <w:p w14:paraId="1425CB5E" w14:textId="77777777" w:rsidR="0070381F" w:rsidRPr="00F36590" w:rsidRDefault="0070381F" w:rsidP="0070381F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>
              <w:rPr>
                <w:rFonts w:hint="cs"/>
                <w:rtl/>
                <w:lang w:bidi="ar-AE"/>
              </w:rPr>
              <w:t>المعممة</w:t>
            </w:r>
          </w:p>
          <w:p w14:paraId="08F79584" w14:textId="72883F16" w:rsidR="0070381F" w:rsidRPr="00F36590" w:rsidRDefault="0070381F" w:rsidP="00B06979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2D79F3">
              <w:rPr>
                <w:b/>
                <w:bCs/>
                <w:lang w:bidi="ar-SY"/>
              </w:rPr>
              <w:t>10</w:t>
            </w:r>
            <w:r w:rsidR="00B06979">
              <w:rPr>
                <w:b/>
                <w:bCs/>
                <w:lang w:bidi="ar-SY"/>
              </w:rPr>
              <w:t>42</w:t>
            </w:r>
          </w:p>
        </w:tc>
        <w:tc>
          <w:tcPr>
            <w:tcW w:w="2293" w:type="pct"/>
            <w:shd w:val="clear" w:color="auto" w:fill="auto"/>
          </w:tcPr>
          <w:p w14:paraId="1D2F9D8E" w14:textId="6E1D9FAD" w:rsidR="0070381F" w:rsidRPr="005E6175" w:rsidRDefault="007B5A88" w:rsidP="0070381F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  <w:r w:rsidR="00B06979">
              <w:rPr>
                <w:rFonts w:hint="cs"/>
                <w:rtl/>
                <w:lang w:bidi="ar-EG"/>
              </w:rPr>
              <w:t xml:space="preserve"> أكتوبر</w:t>
            </w:r>
            <w:r w:rsidR="0070381F">
              <w:rPr>
                <w:rFonts w:hint="cs"/>
                <w:rtl/>
                <w:lang w:bidi="ar-EG"/>
              </w:rPr>
              <w:t xml:space="preserve"> </w:t>
            </w:r>
            <w:r w:rsidR="0070381F">
              <w:rPr>
                <w:lang w:bidi="ar-EG"/>
              </w:rPr>
              <w:t>2022</w:t>
            </w:r>
          </w:p>
        </w:tc>
      </w:tr>
      <w:tr w:rsidR="0070381F" w:rsidRPr="00F36590" w14:paraId="6273ECCA" w14:textId="77777777" w:rsidTr="002A393E">
        <w:tc>
          <w:tcPr>
            <w:tcW w:w="5000" w:type="pct"/>
            <w:gridSpan w:val="3"/>
            <w:shd w:val="clear" w:color="auto" w:fill="auto"/>
          </w:tcPr>
          <w:p w14:paraId="38E5C99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58127A70" w14:textId="77777777" w:rsidTr="002A393E">
        <w:tc>
          <w:tcPr>
            <w:tcW w:w="5000" w:type="pct"/>
            <w:gridSpan w:val="3"/>
            <w:shd w:val="clear" w:color="auto" w:fill="auto"/>
          </w:tcPr>
          <w:p w14:paraId="144FE50A" w14:textId="77777777" w:rsidR="0070381F" w:rsidRPr="00241274" w:rsidRDefault="0070381F" w:rsidP="001928BA">
            <w:pPr>
              <w:spacing w:before="0" w:line="240" w:lineRule="exact"/>
              <w:rPr>
                <w:rtl/>
                <w:lang w:bidi="ar-SY"/>
              </w:rPr>
            </w:pPr>
          </w:p>
        </w:tc>
      </w:tr>
      <w:tr w:rsidR="0070381F" w:rsidRPr="00F36590" w14:paraId="2B091647" w14:textId="77777777" w:rsidTr="002A393E">
        <w:tc>
          <w:tcPr>
            <w:tcW w:w="5000" w:type="pct"/>
            <w:gridSpan w:val="3"/>
            <w:shd w:val="clear" w:color="auto" w:fill="auto"/>
          </w:tcPr>
          <w:p w14:paraId="57EFF14E" w14:textId="7DF9AA7D" w:rsidR="0070381F" w:rsidRPr="00F36590" w:rsidRDefault="0070381F" w:rsidP="00B238EB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7431A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47431A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47431A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47431A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47431A">
              <w:rPr>
                <w:b/>
                <w:bCs/>
                <w:w w:val="115"/>
                <w:rtl/>
              </w:rPr>
              <w:t xml:space="preserve"> إليه</w:t>
            </w:r>
            <w:r w:rsidR="00710832">
              <w:rPr>
                <w:rFonts w:hint="cs"/>
                <w:b/>
                <w:bCs/>
                <w:spacing w:val="6"/>
                <w:w w:val="115"/>
                <w:rtl/>
              </w:rPr>
              <w:t xml:space="preserve"> 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B238EB">
              <w:rPr>
                <w:rFonts w:hint="cs"/>
                <w:b/>
                <w:bCs/>
                <w:rtl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0381F" w:rsidRPr="00241274" w14:paraId="565A0184" w14:textId="77777777" w:rsidTr="002A393E">
        <w:tc>
          <w:tcPr>
            <w:tcW w:w="5000" w:type="pct"/>
            <w:gridSpan w:val="3"/>
            <w:shd w:val="clear" w:color="auto" w:fill="auto"/>
          </w:tcPr>
          <w:p w14:paraId="16A86C93" w14:textId="77777777" w:rsidR="0070381F" w:rsidRPr="00241274" w:rsidRDefault="0070381F" w:rsidP="0070381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0381F" w:rsidRPr="00F36590" w14:paraId="63F2D9C9" w14:textId="77777777" w:rsidTr="002A393E">
        <w:trPr>
          <w:trHeight w:val="452"/>
        </w:trPr>
        <w:tc>
          <w:tcPr>
            <w:tcW w:w="699" w:type="pct"/>
            <w:shd w:val="clear" w:color="auto" w:fill="auto"/>
          </w:tcPr>
          <w:p w14:paraId="55F9150B" w14:textId="77777777" w:rsidR="0070381F" w:rsidRPr="00F36590" w:rsidRDefault="0070381F" w:rsidP="0070381F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FA93D02" w14:textId="23DD226D" w:rsidR="0070381F" w:rsidRPr="002D79F3" w:rsidRDefault="0070381F" w:rsidP="00B06979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2D79F3">
              <w:rPr>
                <w:b/>
                <w:bCs/>
                <w:rtl/>
                <w:lang w:bidi="ar-EG"/>
              </w:rPr>
              <w:t>لجنة الدراسات</w:t>
            </w:r>
            <w:r w:rsidRPr="002D79F3">
              <w:rPr>
                <w:rFonts w:hint="cs"/>
                <w:b/>
                <w:bCs/>
                <w:rtl/>
                <w:lang w:bidi="ar-EG"/>
              </w:rPr>
              <w:t> </w:t>
            </w:r>
            <w:r w:rsidR="00B06979" w:rsidRPr="009306AA">
              <w:rPr>
                <w:b/>
                <w:bCs/>
                <w:lang w:val="fr-FR" w:bidi="ar-SY"/>
              </w:rPr>
              <w:t>7</w:t>
            </w:r>
            <w:r w:rsidRPr="002D79F3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2D79F3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Pr="002D79F3">
              <w:rPr>
                <w:rFonts w:hint="cs"/>
                <w:b/>
                <w:bCs/>
                <w:sz w:val="30"/>
                <w:rtl/>
                <w:lang w:bidi="ar-EG"/>
              </w:rPr>
              <w:t>(</w:t>
            </w:r>
            <w:r w:rsidR="00B06979">
              <w:rPr>
                <w:rFonts w:hint="cs"/>
                <w:b/>
                <w:bCs/>
                <w:sz w:val="30"/>
                <w:rtl/>
                <w:lang w:bidi="ar-EG"/>
              </w:rPr>
              <w:t>الخدمات العلمية</w:t>
            </w:r>
            <w:r w:rsidRPr="002D79F3">
              <w:rPr>
                <w:rFonts w:hint="cs"/>
                <w:b/>
                <w:bCs/>
                <w:sz w:val="30"/>
                <w:rtl/>
                <w:lang w:bidi="ar-EG"/>
              </w:rPr>
              <w:t>)</w:t>
            </w:r>
          </w:p>
          <w:p w14:paraId="2A9652CA" w14:textId="6E4A5699" w:rsidR="0070381F" w:rsidRPr="002D79F3" w:rsidRDefault="0070381F" w:rsidP="001928BA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2D79F3">
              <w:rPr>
                <w:rFonts w:hint="cs"/>
                <w:b/>
                <w:bCs/>
                <w:rtl/>
                <w:lang w:bidi="ar-EG"/>
              </w:rPr>
              <w:t>-</w:t>
            </w:r>
            <w:r w:rsidRPr="002D79F3">
              <w:rPr>
                <w:b/>
                <w:bCs/>
                <w:rtl/>
                <w:lang w:bidi="ar-EG"/>
              </w:rPr>
              <w:tab/>
            </w:r>
            <w:r w:rsidR="0076582D" w:rsidRPr="002D79F3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204892" w:rsidRPr="002D79F3">
              <w:rPr>
                <w:rFonts w:hint="cs"/>
                <w:b/>
                <w:bCs/>
                <w:rtl/>
              </w:rPr>
              <w:t xml:space="preserve"> </w:t>
            </w:r>
            <w:r w:rsidR="002D79F3" w:rsidRPr="002D79F3">
              <w:rPr>
                <w:rFonts w:hint="cs"/>
                <w:b/>
                <w:bCs/>
                <w:rtl/>
              </w:rPr>
              <w:t>مشروعي توصيتين جديدتين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</w:t>
            </w:r>
            <w:r w:rsidR="002D79F3" w:rsidRPr="002D79F3">
              <w:rPr>
                <w:rFonts w:hint="cs"/>
                <w:b/>
                <w:bCs/>
                <w:rtl/>
                <w:lang w:bidi="ar-EG"/>
              </w:rPr>
              <w:t>م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ا في</w:t>
            </w:r>
            <w:r w:rsidR="001928BA" w:rsidRPr="002D79F3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1928BA" w:rsidRPr="002D79F3">
              <w:rPr>
                <w:b/>
                <w:bCs/>
                <w:lang w:bidi="ar-EG"/>
              </w:rPr>
              <w:t>4.2.6.A2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1928BA" w:rsidRPr="002D79F3">
              <w:rPr>
                <w:b/>
                <w:bCs/>
                <w:lang w:bidi="ar-EG"/>
              </w:rPr>
              <w:t>ITU</w:t>
            </w:r>
            <w:r w:rsidR="001928BA" w:rsidRPr="002D79F3">
              <w:rPr>
                <w:b/>
                <w:bCs/>
                <w:lang w:bidi="ar-EG"/>
              </w:rPr>
              <w:noBreakHyphen/>
              <w:t>R 1</w:t>
            </w:r>
            <w:r w:rsidR="001928BA" w:rsidRPr="002D79F3">
              <w:rPr>
                <w:b/>
                <w:bCs/>
                <w:lang w:bidi="ar-EG"/>
              </w:rPr>
              <w:noBreakHyphen/>
            </w:r>
            <w:r w:rsidR="00C24EB0" w:rsidRPr="002D79F3">
              <w:rPr>
                <w:b/>
                <w:bCs/>
                <w:lang w:bidi="ar-EG"/>
              </w:rPr>
              <w:t>8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1928BA" w:rsidRPr="002D79F3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1928BA" w:rsidRPr="002D79F3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20B19A8B" w14:textId="77777777" w:rsidR="00766BF5" w:rsidRDefault="00766BF5" w:rsidP="008D5ACE">
      <w:pPr>
        <w:pStyle w:val="Normalaftertitle"/>
        <w:spacing w:before="720"/>
        <w:rPr>
          <w:rtl/>
        </w:rPr>
      </w:pPr>
      <w:r>
        <w:rPr>
          <w:rFonts w:hint="cs"/>
          <w:rtl/>
        </w:rPr>
        <w:t>تحية طيبة وبعد،</w:t>
      </w:r>
    </w:p>
    <w:p w14:paraId="2A80B91C" w14:textId="795E7F1C" w:rsidR="001928BA" w:rsidRPr="00D505D1" w:rsidRDefault="001928BA" w:rsidP="00B06979">
      <w:pPr>
        <w:pStyle w:val="Normalaftertitle"/>
        <w:keepNext w:val="0"/>
        <w:spacing w:before="120"/>
        <w:rPr>
          <w:rtl/>
        </w:rPr>
      </w:pPr>
      <w:r w:rsidRPr="00D505D1">
        <w:rPr>
          <w:rtl/>
        </w:rPr>
        <w:t xml:space="preserve">قررت </w:t>
      </w:r>
      <w:r w:rsidRPr="00D505D1">
        <w:rPr>
          <w:rFonts w:hint="cs"/>
          <w:rtl/>
        </w:rPr>
        <w:t>لجنة</w:t>
      </w:r>
      <w:r w:rsidRPr="00D505D1">
        <w:rPr>
          <w:rtl/>
        </w:rPr>
        <w:t xml:space="preserve"> الدراسات</w:t>
      </w:r>
      <w:r w:rsidRPr="00D505D1">
        <w:rPr>
          <w:rFonts w:hint="cs"/>
          <w:rtl/>
        </w:rPr>
        <w:t> </w:t>
      </w:r>
      <w:r w:rsidR="007B0596">
        <w:rPr>
          <w:lang w:val="en-GB"/>
        </w:rPr>
        <w:t>7</w:t>
      </w:r>
      <w:r w:rsidRPr="00D505D1">
        <w:rPr>
          <w:rtl/>
        </w:rPr>
        <w:t xml:space="preserve"> للاتصالات الراديوية في اجتماعها </w:t>
      </w:r>
      <w:r w:rsidR="00523C73">
        <w:rPr>
          <w:rFonts w:hint="cs"/>
          <w:rtl/>
        </w:rPr>
        <w:t>الذي عُقد</w:t>
      </w:r>
      <w:r w:rsidRPr="00D505D1">
        <w:rPr>
          <w:rtl/>
        </w:rPr>
        <w:t xml:space="preserve"> </w:t>
      </w:r>
      <w:r w:rsidRPr="00D505D1">
        <w:rPr>
          <w:rFonts w:hint="cs"/>
          <w:rtl/>
        </w:rPr>
        <w:t xml:space="preserve">في </w:t>
      </w:r>
      <w:r w:rsidR="007B0596">
        <w:t>7</w:t>
      </w:r>
      <w:r w:rsidR="00B06979">
        <w:rPr>
          <w:rFonts w:hint="cs"/>
          <w:rtl/>
        </w:rPr>
        <w:t xml:space="preserve"> أكتوبر</w:t>
      </w:r>
      <w:r>
        <w:rPr>
          <w:rFonts w:hint="cs"/>
          <w:rtl/>
        </w:rPr>
        <w:t xml:space="preserve"> </w:t>
      </w:r>
      <w:r>
        <w:t>2022</w:t>
      </w:r>
      <w:r>
        <w:rPr>
          <w:rFonts w:hint="cs"/>
          <w:rtl/>
        </w:rPr>
        <w:t xml:space="preserve"> </w:t>
      </w:r>
      <w:r w:rsidRPr="00D505D1">
        <w:rPr>
          <w:rtl/>
        </w:rPr>
        <w:t>أن تلتمس اعتماد</w:t>
      </w:r>
      <w:r w:rsidR="00204892">
        <w:rPr>
          <w:rFonts w:hint="cs"/>
          <w:rtl/>
        </w:rPr>
        <w:t xml:space="preserve"> </w:t>
      </w:r>
      <w:r w:rsidR="002D79F3">
        <w:rPr>
          <w:rFonts w:hint="cs"/>
          <w:rtl/>
        </w:rPr>
        <w:t>مشروعَي توصيتين جديدتين</w:t>
      </w:r>
      <w:r w:rsidRPr="00D505D1">
        <w:rPr>
          <w:rFonts w:hint="cs"/>
          <w:rtl/>
        </w:rPr>
        <w:t xml:space="preserve"> </w:t>
      </w:r>
      <w:r w:rsidR="002D79F3">
        <w:rPr>
          <w:rFonts w:hint="cs"/>
          <w:rtl/>
        </w:rPr>
        <w:t xml:space="preserve">لقطاع الاتصالات الراديوية </w:t>
      </w:r>
      <w:r w:rsidRPr="00D505D1">
        <w:rPr>
          <w:rFonts w:hint="cs"/>
          <w:rtl/>
        </w:rPr>
        <w:t>عن طريق المراسلة (الفقرة</w:t>
      </w:r>
      <w:r w:rsidRPr="00D505D1">
        <w:rPr>
          <w:rFonts w:hint="eastAsia"/>
          <w:rtl/>
        </w:rPr>
        <w:t> </w:t>
      </w:r>
      <w:r w:rsidRPr="00D505D1">
        <w:t>2.6.A2</w:t>
      </w:r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 وقررت كذلك تطبيق إجراء </w:t>
      </w:r>
      <w:r>
        <w:rPr>
          <w:rFonts w:hint="cs"/>
          <w:rtl/>
        </w:rPr>
        <w:t>الاعتماد</w:t>
      </w:r>
      <w:r w:rsidRPr="00D505D1">
        <w:rPr>
          <w:rFonts w:hint="cs"/>
          <w:rtl/>
        </w:rPr>
        <w:t xml:space="preserve"> والموافَقة في نفس الوقت عن طريق المراسلة</w:t>
      </w:r>
      <w:r w:rsidRPr="00D505D1">
        <w:rPr>
          <w:rFonts w:hint="eastAsia"/>
          <w:rtl/>
        </w:rPr>
        <w:t> </w:t>
      </w:r>
      <w:r w:rsidRPr="00D505D1">
        <w:t>(PSAA)</w:t>
      </w:r>
      <w:r w:rsidRPr="00D505D1">
        <w:rPr>
          <w:rFonts w:hint="cs"/>
          <w:rtl/>
        </w:rPr>
        <w:t xml:space="preserve"> (الفقرة </w:t>
      </w:r>
      <w:r w:rsidRPr="00D505D1">
        <w:t>4.2.6.A2</w:t>
      </w:r>
      <w:r w:rsidRPr="00D505D1">
        <w:rPr>
          <w:rFonts w:hint="cs"/>
          <w:rtl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>
        <w:t>8</w:t>
      </w:r>
      <w:r w:rsidRPr="00D505D1">
        <w:rPr>
          <w:rFonts w:hint="cs"/>
          <w:rtl/>
        </w:rPr>
        <w:t xml:space="preserve">). </w:t>
      </w:r>
      <w:r w:rsidRPr="001F2358">
        <w:rPr>
          <w:rFonts w:hint="cs"/>
          <w:rtl/>
        </w:rPr>
        <w:t>ويرد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في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الملحق</w:t>
      </w:r>
      <w:r w:rsidRPr="001F2358">
        <w:rPr>
          <w:rFonts w:hint="eastAsia"/>
          <w:rtl/>
        </w:rPr>
        <w:t> </w:t>
      </w:r>
      <w:r w:rsidR="001F2358" w:rsidRPr="001F2358">
        <w:rPr>
          <w:rFonts w:hint="cs"/>
          <w:rtl/>
        </w:rPr>
        <w:t>بهذه الرسالة</w:t>
      </w:r>
      <w:r w:rsidRPr="001F2358">
        <w:rPr>
          <w:rFonts w:hint="cs"/>
          <w:rtl/>
        </w:rPr>
        <w:t xml:space="preserve"> </w:t>
      </w:r>
      <w:r w:rsidR="002D79F3">
        <w:rPr>
          <w:rFonts w:hint="cs"/>
          <w:rtl/>
        </w:rPr>
        <w:t>عنوان وملخص كل من مشروعَي التوصيتين</w:t>
      </w:r>
      <w:r w:rsidRPr="001F2358">
        <w:rPr>
          <w:rFonts w:hint="cs"/>
          <w:rtl/>
        </w:rPr>
        <w:t>. ويرجى من أي دولة عضو تعترض على اعتماد مشروع توصية أن تخبر المدير ورئيس لجنة الدراسات بأسباب</w:t>
      </w:r>
      <w:r w:rsidRPr="001F2358">
        <w:rPr>
          <w:rFonts w:hint="eastAsia"/>
          <w:rtl/>
        </w:rPr>
        <w:t> </w:t>
      </w:r>
      <w:r w:rsidRPr="001F2358">
        <w:rPr>
          <w:rFonts w:hint="cs"/>
          <w:rtl/>
        </w:rPr>
        <w:t>اعتراضها.</w:t>
      </w:r>
    </w:p>
    <w:p w14:paraId="7809EAFB" w14:textId="2FB7CD2A" w:rsidR="00686585" w:rsidRPr="00D505D1" w:rsidRDefault="00686585" w:rsidP="001E20C7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وتمتد</w:t>
      </w:r>
      <w:r w:rsidRPr="00D505D1">
        <w:rPr>
          <w:rtl/>
          <w:lang w:bidi="ar-EG"/>
        </w:rPr>
        <w:t xml:space="preserve"> فترة النظر </w:t>
      </w:r>
      <w:r w:rsidRPr="00D505D1">
        <w:rPr>
          <w:rFonts w:hint="cs"/>
          <w:rtl/>
          <w:lang w:bidi="ar-EG"/>
        </w:rPr>
        <w:t xml:space="preserve">لمدة شهرين </w:t>
      </w:r>
      <w:r w:rsidRPr="00D505D1">
        <w:rPr>
          <w:rtl/>
          <w:lang w:bidi="ar-EG"/>
        </w:rPr>
        <w:t>تنتهي في</w:t>
      </w:r>
      <w:r w:rsidRPr="00D505D1">
        <w:rPr>
          <w:rFonts w:hint="cs"/>
          <w:rtl/>
          <w:lang w:bidi="ar-EG"/>
        </w:rPr>
        <w:t xml:space="preserve"> </w:t>
      </w:r>
      <w:r w:rsidR="007B5A88" w:rsidRPr="00D32A73">
        <w:rPr>
          <w:rFonts w:hint="cs"/>
          <w:u w:val="single"/>
          <w:rtl/>
          <w:lang w:bidi="ar-EG"/>
        </w:rPr>
        <w:t>20</w:t>
      </w:r>
      <w:r w:rsidR="00B06979">
        <w:rPr>
          <w:rFonts w:hint="cs"/>
          <w:u w:val="single"/>
          <w:rtl/>
          <w:lang w:bidi="ar-EG"/>
        </w:rPr>
        <w:t xml:space="preserve"> ديسمبر</w:t>
      </w:r>
      <w:r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>2022</w:t>
      </w:r>
      <w:r w:rsidRPr="00686585">
        <w:rPr>
          <w:rFonts w:hint="cs"/>
          <w:rtl/>
          <w:lang w:bidi="ar-EG"/>
        </w:rPr>
        <w:t>.</w:t>
      </w:r>
      <w:r w:rsidRPr="00D505D1">
        <w:rPr>
          <w:rtl/>
          <w:lang w:bidi="ar-EG"/>
        </w:rPr>
        <w:t xml:space="preserve"> وإذا </w:t>
      </w:r>
      <w:r w:rsidRPr="00D505D1">
        <w:rPr>
          <w:rFonts w:hint="cs"/>
          <w:rtl/>
          <w:lang w:bidi="ar-EG"/>
        </w:rPr>
        <w:t>لم</w:t>
      </w:r>
      <w:r w:rsidRPr="00D505D1">
        <w:rPr>
          <w:rtl/>
          <w:lang w:bidi="ar-EG"/>
        </w:rPr>
        <w:t xml:space="preserve"> ترد أي اعتراضات من الدول الأعضاء خلال هذه الفترة </w:t>
      </w:r>
      <w:r w:rsidR="00685F1D">
        <w:rPr>
          <w:rFonts w:hint="cs"/>
          <w:rtl/>
          <w:lang w:bidi="ar-EG"/>
        </w:rPr>
        <w:t>فسيُعتبر أن</w:t>
      </w:r>
      <w:r w:rsidRPr="00D505D1">
        <w:rPr>
          <w:rFonts w:hint="cs"/>
          <w:rtl/>
          <w:lang w:bidi="ar-EG"/>
        </w:rPr>
        <w:t> </w:t>
      </w:r>
      <w:r w:rsidR="00B06979">
        <w:rPr>
          <w:rFonts w:hint="cs"/>
          <w:rtl/>
          <w:lang w:bidi="ar-EG"/>
        </w:rPr>
        <w:t>مشروع (مشروعي) التوصية</w:t>
      </w:r>
      <w:r w:rsidR="002D79F3">
        <w:rPr>
          <w:rFonts w:hint="cs"/>
          <w:rtl/>
          <w:lang w:bidi="ar-EG"/>
        </w:rPr>
        <w:t xml:space="preserve"> </w:t>
      </w:r>
      <w:r w:rsidR="00B06979">
        <w:rPr>
          <w:rFonts w:hint="cs"/>
          <w:rtl/>
          <w:lang w:bidi="ar-EG"/>
        </w:rPr>
        <w:t>(</w:t>
      </w:r>
      <w:r w:rsidR="002D79F3">
        <w:rPr>
          <w:rFonts w:hint="cs"/>
          <w:rtl/>
          <w:lang w:bidi="ar-EG"/>
        </w:rPr>
        <w:t>التوصيتين</w:t>
      </w:r>
      <w:r w:rsidR="00B06979">
        <w:rPr>
          <w:rFonts w:hint="cs"/>
          <w:rtl/>
          <w:lang w:bidi="ar-EG"/>
        </w:rPr>
        <w:t>)</w:t>
      </w:r>
      <w:r w:rsidRPr="00D505D1">
        <w:rPr>
          <w:rFonts w:hint="cs"/>
          <w:rtl/>
          <w:lang w:bidi="ar-EG"/>
        </w:rPr>
        <w:t xml:space="preserve"> قد </w:t>
      </w:r>
      <w:r w:rsidR="00B238EB">
        <w:rPr>
          <w:rFonts w:hint="cs"/>
          <w:rtl/>
          <w:lang w:bidi="ar-EG"/>
        </w:rPr>
        <w:t>اعتمدته</w:t>
      </w:r>
      <w:r w:rsidR="00B06979">
        <w:rPr>
          <w:rFonts w:hint="cs"/>
          <w:rtl/>
          <w:lang w:bidi="ar-EG"/>
        </w:rPr>
        <w:t xml:space="preserve"> (</w:t>
      </w:r>
      <w:r w:rsidRPr="00D505D1">
        <w:rPr>
          <w:rFonts w:hint="cs"/>
          <w:rtl/>
          <w:lang w:bidi="ar-EG"/>
        </w:rPr>
        <w:t>اعتمدته</w:t>
      </w:r>
      <w:r w:rsidR="00685F1D">
        <w:rPr>
          <w:rFonts w:hint="cs"/>
          <w:rtl/>
          <w:lang w:bidi="ar-EG"/>
        </w:rPr>
        <w:t>م</w:t>
      </w:r>
      <w:r w:rsidRPr="00D505D1">
        <w:rPr>
          <w:rFonts w:hint="cs"/>
          <w:rtl/>
          <w:lang w:bidi="ar-EG"/>
        </w:rPr>
        <w:t>ا</w:t>
      </w:r>
      <w:r w:rsidR="00B06979">
        <w:rPr>
          <w:rFonts w:hint="cs"/>
          <w:rtl/>
          <w:lang w:bidi="ar-EG"/>
        </w:rPr>
        <w:t>)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لجنة</w:t>
      </w:r>
      <w:r w:rsidRPr="00D505D1">
        <w:rPr>
          <w:rtl/>
          <w:lang w:bidi="ar-EG"/>
        </w:rPr>
        <w:t xml:space="preserve"> الدراسات</w:t>
      </w:r>
      <w:r w:rsidRPr="00D505D1">
        <w:rPr>
          <w:rFonts w:hint="eastAsia"/>
          <w:rtl/>
          <w:lang w:bidi="ar-EG"/>
        </w:rPr>
        <w:t> </w:t>
      </w:r>
      <w:r w:rsidR="00B06979">
        <w:rPr>
          <w:rFonts w:hint="cs"/>
          <w:rtl/>
        </w:rPr>
        <w:t>7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وعلاوةً على</w:t>
      </w:r>
      <w:r w:rsidRPr="00D505D1">
        <w:rPr>
          <w:rtl/>
          <w:lang w:bidi="ar-EG"/>
        </w:rPr>
        <w:t xml:space="preserve"> ذلك، </w:t>
      </w:r>
      <w:r w:rsidRPr="00D505D1">
        <w:rPr>
          <w:rFonts w:hint="cs"/>
          <w:rtl/>
          <w:lang w:bidi="ar-EG"/>
        </w:rPr>
        <w:t>ولما</w:t>
      </w:r>
      <w:r w:rsidRPr="00D505D1">
        <w:rPr>
          <w:rtl/>
          <w:lang w:bidi="ar-EG"/>
        </w:rPr>
        <w:t xml:space="preserve"> كان قد</w:t>
      </w:r>
      <w:r w:rsidRPr="00D505D1">
        <w:rPr>
          <w:rFonts w:hint="cs"/>
          <w:rtl/>
          <w:lang w:bidi="ar-EG"/>
        </w:rPr>
        <w:t xml:space="preserve"> تم</w:t>
      </w:r>
      <w:r w:rsidRPr="00D505D1">
        <w:rPr>
          <w:rtl/>
          <w:lang w:bidi="ar-EG"/>
        </w:rPr>
        <w:t xml:space="preserve"> اتباع إجراء الاعتماد </w:t>
      </w:r>
      <w:r w:rsidRPr="00D505D1">
        <w:rPr>
          <w:rFonts w:hint="cs"/>
          <w:rtl/>
          <w:lang w:bidi="ar-EG"/>
        </w:rPr>
        <w:t>والموافقة</w:t>
      </w:r>
      <w:r w:rsidRPr="00D505D1">
        <w:rPr>
          <w:rtl/>
          <w:lang w:bidi="ar-EG"/>
        </w:rPr>
        <w:t xml:space="preserve">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نفس الوقت عن طريق</w:t>
      </w:r>
      <w:r w:rsidRPr="00D505D1">
        <w:rPr>
          <w:rFonts w:hint="cs"/>
          <w:rtl/>
          <w:lang w:bidi="ar-EG"/>
        </w:rPr>
        <w:t xml:space="preserve"> المراسلة</w:t>
      </w:r>
      <w:r w:rsidRPr="00D505D1">
        <w:rPr>
          <w:rtl/>
          <w:lang w:bidi="ar-EG"/>
        </w:rPr>
        <w:t xml:space="preserve">، </w:t>
      </w:r>
      <w:r w:rsidR="00685F1D">
        <w:rPr>
          <w:rFonts w:hint="cs"/>
          <w:rtl/>
          <w:lang w:bidi="ar-EG"/>
        </w:rPr>
        <w:t>فسيُعتبر</w:t>
      </w:r>
      <w:r w:rsidR="00685F1D" w:rsidRPr="00685F1D">
        <w:rPr>
          <w:rtl/>
          <w:lang w:bidi="ar-EG"/>
        </w:rPr>
        <w:t xml:space="preserve"> </w:t>
      </w:r>
      <w:r w:rsidR="00685F1D" w:rsidRPr="00D505D1">
        <w:rPr>
          <w:rtl/>
          <w:lang w:bidi="ar-EG"/>
        </w:rPr>
        <w:t>أيضاً</w:t>
      </w:r>
      <w:r w:rsidR="00685F1D">
        <w:rPr>
          <w:rFonts w:hint="cs"/>
          <w:rtl/>
          <w:lang w:bidi="ar-EG"/>
        </w:rPr>
        <w:t xml:space="preserve"> أن</w:t>
      </w:r>
      <w:r w:rsidR="00685F1D" w:rsidRPr="00D505D1">
        <w:rPr>
          <w:rFonts w:hint="cs"/>
          <w:rtl/>
          <w:lang w:bidi="ar-EG"/>
        </w:rPr>
        <w:t> </w:t>
      </w:r>
      <w:r w:rsidR="00685F1D">
        <w:rPr>
          <w:rFonts w:hint="cs"/>
          <w:rtl/>
          <w:lang w:bidi="ar-EG"/>
        </w:rPr>
        <w:t>مشروعي التوصيتين</w:t>
      </w:r>
      <w:r w:rsidR="00685F1D" w:rsidRPr="00D505D1">
        <w:rPr>
          <w:rFonts w:hint="cs"/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بحكم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="009E6E3C">
        <w:rPr>
          <w:rFonts w:hint="cs"/>
          <w:rtl/>
          <w:lang w:bidi="ar-EG"/>
        </w:rPr>
        <w:t> </w:t>
      </w:r>
      <w:r w:rsidRPr="00D505D1">
        <w:rPr>
          <w:rFonts w:hint="cs"/>
          <w:rtl/>
          <w:lang w:bidi="ar-EG"/>
        </w:rPr>
        <w:t>عليه</w:t>
      </w:r>
      <w:r w:rsidR="00685F1D">
        <w:rPr>
          <w:rFonts w:hint="cs"/>
          <w:rtl/>
          <w:lang w:bidi="ar-EG"/>
        </w:rPr>
        <w:t>م</w:t>
      </w:r>
      <w:r w:rsidRPr="00D505D1">
        <w:rPr>
          <w:rFonts w:hint="cs"/>
          <w:rtl/>
          <w:lang w:bidi="ar-EG"/>
        </w:rPr>
        <w:t>ا</w:t>
      </w:r>
      <w:r w:rsidRPr="00D505D1">
        <w:rPr>
          <w:rtl/>
          <w:lang w:bidi="ar-EG"/>
        </w:rPr>
        <w:t>.</w:t>
      </w:r>
    </w:p>
    <w:p w14:paraId="6FC04767" w14:textId="50AC46A8" w:rsidR="00686585" w:rsidRPr="00D505D1" w:rsidRDefault="00686585" w:rsidP="00686585">
      <w:pPr>
        <w:rPr>
          <w:rtl/>
        </w:rPr>
      </w:pPr>
      <w:r w:rsidRPr="00D505D1">
        <w:rPr>
          <w:rtl/>
          <w:lang w:bidi="ar-EG"/>
        </w:rPr>
        <w:t xml:space="preserve">وبعد </w:t>
      </w:r>
      <w:r w:rsidRPr="00D505D1">
        <w:rPr>
          <w:rFonts w:hint="cs"/>
          <w:rtl/>
          <w:lang w:bidi="ar-EG"/>
        </w:rPr>
        <w:t>المهلة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المحددة</w:t>
      </w:r>
      <w:r w:rsidRPr="00D505D1">
        <w:rPr>
          <w:rtl/>
          <w:lang w:bidi="ar-EG"/>
        </w:rPr>
        <w:t xml:space="preserve"> أعلاه</w:t>
      </w:r>
      <w:r w:rsidRPr="00D505D1">
        <w:rPr>
          <w:rFonts w:hint="cs"/>
          <w:rtl/>
          <w:lang w:bidi="ar-EG"/>
        </w:rPr>
        <w:t>،</w:t>
      </w:r>
      <w:r w:rsidRPr="00D505D1">
        <w:rPr>
          <w:rtl/>
          <w:lang w:bidi="ar-EG"/>
        </w:rPr>
        <w:t xml:space="preserve"> ستعلن نتائج </w:t>
      </w:r>
      <w:r w:rsidRPr="00D505D1">
        <w:rPr>
          <w:rFonts w:hint="cs"/>
          <w:rtl/>
          <w:lang w:bidi="ar-EG"/>
        </w:rPr>
        <w:t>الإجراءات المذكورة أعلاه</w:t>
      </w:r>
      <w:r w:rsidRPr="00D505D1">
        <w:rPr>
          <w:rtl/>
          <w:lang w:bidi="ar-EG"/>
        </w:rPr>
        <w:t xml:space="preserve"> في </w:t>
      </w:r>
      <w:r w:rsidRPr="00D505D1">
        <w:rPr>
          <w:rFonts w:hint="cs"/>
          <w:rtl/>
          <w:lang w:bidi="ar-EG"/>
        </w:rPr>
        <w:t>رسالة</w:t>
      </w:r>
      <w:r w:rsidRPr="00D505D1">
        <w:rPr>
          <w:rtl/>
          <w:lang w:bidi="ar-EG"/>
        </w:rPr>
        <w:t xml:space="preserve"> إدارية</w:t>
      </w:r>
      <w:r w:rsidRPr="00D505D1">
        <w:rPr>
          <w:rFonts w:hint="cs"/>
          <w:rtl/>
          <w:lang w:bidi="ar-EG"/>
        </w:rPr>
        <w:t xml:space="preserve"> معممة</w:t>
      </w:r>
      <w:r w:rsidRPr="00D505D1">
        <w:rPr>
          <w:rtl/>
          <w:lang w:bidi="ar-EG"/>
        </w:rPr>
        <w:t xml:space="preserve"> وستنشر </w:t>
      </w:r>
      <w:r w:rsidR="00685F1D">
        <w:rPr>
          <w:rFonts w:hint="cs"/>
          <w:rtl/>
          <w:lang w:bidi="ar-EG"/>
        </w:rPr>
        <w:t>التوصيتان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عليه</w:t>
      </w:r>
      <w:r w:rsidR="00685F1D">
        <w:rPr>
          <w:rFonts w:hint="cs"/>
          <w:rtl/>
          <w:lang w:bidi="ar-EG"/>
        </w:rPr>
        <w:t>م</w:t>
      </w:r>
      <w:r w:rsidRPr="00D505D1">
        <w:rPr>
          <w:rtl/>
          <w:lang w:bidi="ar-EG"/>
        </w:rPr>
        <w:t>ا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أقرب وقت</w:t>
      </w:r>
      <w:r w:rsidRPr="00D505D1">
        <w:rPr>
          <w:rFonts w:hint="cs"/>
          <w:rtl/>
          <w:lang w:bidi="ar-EG"/>
        </w:rPr>
        <w:t xml:space="preserve"> ممكن (انظر </w:t>
      </w:r>
      <w:hyperlink r:id="rId8" w:history="1">
        <w:r w:rsidRPr="00E57011">
          <w:rPr>
            <w:rStyle w:val="Hyperlink"/>
            <w:szCs w:val="24"/>
          </w:rPr>
          <w:t>http://www.itu.int/pub/R-REC</w:t>
        </w:r>
      </w:hyperlink>
      <w:r w:rsidRPr="00D505D1">
        <w:rPr>
          <w:rFonts w:hint="cs"/>
          <w:rtl/>
          <w:lang w:bidi="ar-EG"/>
        </w:rPr>
        <w:t>).</w:t>
      </w:r>
    </w:p>
    <w:p w14:paraId="3E8022CB" w14:textId="08723E02" w:rsidR="00686585" w:rsidRDefault="00686585" w:rsidP="00686585">
      <w:pPr>
        <w:pageBreakBefore/>
        <w:rPr>
          <w:rtl/>
          <w:lang w:bidi="ar-EG"/>
        </w:rPr>
      </w:pPr>
      <w:r>
        <w:rPr>
          <w:rtl/>
          <w:lang w:bidi="ar-EG"/>
        </w:rPr>
        <w:lastRenderedPageBreak/>
        <w:t>ويرجى من أي منظمة عضو في</w:t>
      </w:r>
      <w:r>
        <w:rPr>
          <w:rFonts w:hint="cs"/>
          <w:rtl/>
          <w:lang w:bidi="ar-EG"/>
        </w:rPr>
        <w:t xml:space="preserve"> الاتحاد </w:t>
      </w:r>
      <w:r w:rsidRPr="008D3F8E">
        <w:rPr>
          <w:rtl/>
          <w:lang w:bidi="ar-EG"/>
        </w:rPr>
        <w:t xml:space="preserve">تعلم بوجود براءة اختراع لديها أو لدى غيرها تغطي كلياً </w:t>
      </w:r>
      <w:r>
        <w:rPr>
          <w:rtl/>
          <w:lang w:bidi="ar-EG"/>
        </w:rPr>
        <w:t xml:space="preserve">أو جزئياً عناصر </w:t>
      </w:r>
      <w:r w:rsidR="00685F1D">
        <w:rPr>
          <w:rFonts w:hint="cs"/>
          <w:rtl/>
          <w:lang w:bidi="ar-EG"/>
        </w:rPr>
        <w:t>من مشروعي التوصيتين المذكورين</w:t>
      </w:r>
      <w:r>
        <w:rPr>
          <w:rtl/>
          <w:lang w:bidi="ar-EG"/>
        </w:rPr>
        <w:t xml:space="preserve"> </w:t>
      </w:r>
      <w:r w:rsidRPr="008D3F8E">
        <w:rPr>
          <w:rtl/>
          <w:lang w:bidi="ar-EG"/>
        </w:rPr>
        <w:t>في هذه الرسالة</w:t>
      </w:r>
      <w:r>
        <w:rPr>
          <w:rtl/>
          <w:lang w:bidi="ar-EG"/>
        </w:rPr>
        <w:t xml:space="preserve"> أن تبلغ الأمانة بهذه</w:t>
      </w:r>
      <w:r>
        <w:rPr>
          <w:rFonts w:hint="cs"/>
          <w:rtl/>
          <w:lang w:bidi="ar-EG"/>
        </w:rPr>
        <w:t xml:space="preserve"> المعلومات </w:t>
      </w:r>
      <w:r w:rsidRPr="008D3F8E">
        <w:rPr>
          <w:rtl/>
          <w:lang w:bidi="ar-EG"/>
        </w:rPr>
        <w:t>بأسرع ما</w:t>
      </w:r>
      <w:r>
        <w:rPr>
          <w:rFonts w:hint="cs"/>
          <w:rtl/>
          <w:lang w:bidi="ar-EG"/>
        </w:rPr>
        <w:t xml:space="preserve"> يمكن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ويمكن </w:t>
      </w:r>
      <w:r>
        <w:rPr>
          <w:rtl/>
          <w:lang w:bidi="ar-EG"/>
        </w:rPr>
        <w:t>الاطلاع على السياسة</w:t>
      </w:r>
      <w:r>
        <w:rPr>
          <w:rFonts w:hint="cs"/>
          <w:rtl/>
          <w:lang w:bidi="ar-EG"/>
        </w:rPr>
        <w:t xml:space="preserve"> المشتركة </w:t>
      </w:r>
      <w:r w:rsidRPr="008D3F8E">
        <w:rPr>
          <w:rtl/>
          <w:lang w:bidi="ar-EG"/>
        </w:rPr>
        <w:t>للبراءات</w:t>
      </w:r>
      <w:r>
        <w:rPr>
          <w:rFonts w:hint="cs"/>
          <w:rtl/>
          <w:lang w:bidi="ar-EG"/>
        </w:rPr>
        <w:t> </w:t>
      </w:r>
      <w:r w:rsidRPr="008D3F8E">
        <w:t>"ITU</w:t>
      </w:r>
      <w:r w:rsidRPr="008D3F8E">
        <w:noBreakHyphen/>
        <w:t>T/ITU</w:t>
      </w:r>
      <w:r w:rsidRPr="008D3F8E">
        <w:noBreakHyphen/>
        <w:t>R/ISO/IEC"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الموقع </w:t>
      </w:r>
      <w:r w:rsidRPr="008D3F8E">
        <w:rPr>
          <w:rtl/>
          <w:lang w:bidi="ar-EG"/>
        </w:rPr>
        <w:t>الإلكتروني</w:t>
      </w:r>
      <w:r w:rsidRPr="008D3F8E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hyperlink r:id="rId9" w:history="1">
        <w:r w:rsidRPr="00E45690">
          <w:rPr>
            <w:rStyle w:val="Hyperlink"/>
            <w:lang w:bidi="ar-EG"/>
          </w:rPr>
          <w:t>http://www.itu.int/en/ITU-T/ipr/Pages/policy.aspx</w:t>
        </w:r>
      </w:hyperlink>
      <w:r w:rsidRPr="008D3F8E">
        <w:rPr>
          <w:rtl/>
          <w:lang w:bidi="ar-EG"/>
        </w:rPr>
        <w:t>.</w:t>
      </w:r>
    </w:p>
    <w:p w14:paraId="21C1854E" w14:textId="2CF52239" w:rsidR="00766BF5" w:rsidRDefault="00766BF5" w:rsidP="00D0670F">
      <w:pPr>
        <w:spacing w:before="240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23E4DEF" w14:textId="0637B227" w:rsidR="0070381F" w:rsidRDefault="00686585" w:rsidP="00686585">
      <w:pPr>
        <w:keepNext/>
        <w:spacing w:before="1440"/>
        <w:jc w:val="left"/>
        <w:rPr>
          <w:rtl/>
        </w:rPr>
      </w:pPr>
      <w:r w:rsidRPr="001B2082">
        <w:rPr>
          <w:rFonts w:hint="cs"/>
          <w:rtl/>
        </w:rPr>
        <w:t>ما</w:t>
      </w:r>
      <w:r w:rsidR="00523C73" w:rsidRPr="001B2082">
        <w:rPr>
          <w:rFonts w:hint="cs"/>
          <w:rtl/>
        </w:rPr>
        <w:t>ر</w:t>
      </w:r>
      <w:r w:rsidRPr="001B2082">
        <w:rPr>
          <w:rFonts w:hint="cs"/>
          <w:rtl/>
        </w:rPr>
        <w:t xml:space="preserve">يو </w:t>
      </w:r>
      <w:proofErr w:type="spellStart"/>
      <w:r w:rsidRPr="001B2082">
        <w:rPr>
          <w:rFonts w:hint="cs"/>
          <w:rtl/>
        </w:rPr>
        <w:t>مانيفيتش</w:t>
      </w:r>
      <w:proofErr w:type="spellEnd"/>
      <w:r w:rsidR="0070381F" w:rsidRPr="001B2082">
        <w:rPr>
          <w:rtl/>
        </w:rPr>
        <w:br/>
      </w:r>
      <w:r w:rsidR="0070381F" w:rsidRPr="001B2082">
        <w:rPr>
          <w:rFonts w:hint="cs"/>
          <w:rtl/>
        </w:rPr>
        <w:t>المدير</w:t>
      </w:r>
    </w:p>
    <w:p w14:paraId="5B40CF32" w14:textId="047F28AE" w:rsidR="0070381F" w:rsidRDefault="0070381F" w:rsidP="0003301D">
      <w:pPr>
        <w:spacing w:before="216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الملحق:</w:t>
      </w:r>
      <w:r w:rsidRPr="008D3F8E">
        <w:rPr>
          <w:rFonts w:hint="cs"/>
          <w:rtl/>
          <w:lang w:bidi="ar-EG"/>
        </w:rPr>
        <w:tab/>
      </w:r>
      <w:r w:rsidR="00685F1D">
        <w:rPr>
          <w:rFonts w:hint="cs"/>
          <w:rtl/>
          <w:lang w:bidi="ar-EG"/>
        </w:rPr>
        <w:t>عنوان</w:t>
      </w:r>
      <w:r w:rsidRPr="008D3F8E">
        <w:rPr>
          <w:rFonts w:hint="cs"/>
          <w:rtl/>
          <w:lang w:bidi="ar-EG"/>
        </w:rPr>
        <w:t xml:space="preserve"> وملخص </w:t>
      </w:r>
      <w:r w:rsidR="00685F1D">
        <w:rPr>
          <w:rFonts w:hint="cs"/>
          <w:rtl/>
          <w:lang w:bidi="ar-EG"/>
        </w:rPr>
        <w:t>كل من مشروعي التوصيتين</w:t>
      </w:r>
    </w:p>
    <w:p w14:paraId="6059974A" w14:textId="093B67E4" w:rsidR="0070381F" w:rsidRPr="00686585" w:rsidRDefault="0070381F" w:rsidP="00B06979">
      <w:pPr>
        <w:spacing w:before="720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 w:rsidR="007B0596">
        <w:rPr>
          <w:szCs w:val="24"/>
          <w:lang w:val="fr-FR"/>
        </w:rPr>
        <w:t>7</w:t>
      </w:r>
      <w:r w:rsidR="00B06979" w:rsidRPr="004D3212">
        <w:rPr>
          <w:szCs w:val="24"/>
          <w:lang w:val="fr-FR"/>
        </w:rPr>
        <w:t>/</w:t>
      </w:r>
      <w:r w:rsidR="007B0596">
        <w:rPr>
          <w:szCs w:val="24"/>
          <w:lang w:val="fr-FR"/>
        </w:rPr>
        <w:t>51</w:t>
      </w:r>
      <w:r w:rsidR="00B06979" w:rsidRPr="004D3212">
        <w:rPr>
          <w:szCs w:val="24"/>
          <w:lang w:val="fr-FR"/>
        </w:rPr>
        <w:t xml:space="preserve"> (Rev.1)</w:t>
      </w:r>
      <w:r w:rsidR="00686585">
        <w:rPr>
          <w:rFonts w:hint="cs"/>
          <w:rtl/>
          <w:lang w:val="fr-CH"/>
        </w:rPr>
        <w:t xml:space="preserve"> و</w:t>
      </w:r>
      <w:r w:rsidR="007B0596">
        <w:rPr>
          <w:szCs w:val="24"/>
          <w:lang w:val="fr-FR"/>
        </w:rPr>
        <w:t>7</w:t>
      </w:r>
      <w:r w:rsidR="00B06979" w:rsidRPr="004D3212">
        <w:rPr>
          <w:szCs w:val="24"/>
          <w:lang w:val="fr-FR"/>
        </w:rPr>
        <w:t>/</w:t>
      </w:r>
      <w:r w:rsidR="007B0596">
        <w:rPr>
          <w:szCs w:val="24"/>
          <w:lang w:val="fr-FR"/>
        </w:rPr>
        <w:t>61</w:t>
      </w:r>
      <w:r w:rsidR="00B06979" w:rsidRPr="004D3212">
        <w:rPr>
          <w:szCs w:val="24"/>
          <w:lang w:val="fr-FR"/>
        </w:rPr>
        <w:t xml:space="preserve"> (Rev.</w:t>
      </w:r>
      <w:r w:rsidR="007B0596">
        <w:rPr>
          <w:szCs w:val="24"/>
          <w:lang w:val="fr-FR"/>
        </w:rPr>
        <w:t>1</w:t>
      </w:r>
      <w:r w:rsidR="00B06979" w:rsidRPr="004D3212">
        <w:rPr>
          <w:szCs w:val="24"/>
          <w:lang w:val="fr-FR"/>
        </w:rPr>
        <w:t>)</w:t>
      </w:r>
      <w:r w:rsidR="00686585">
        <w:rPr>
          <w:rFonts w:hint="cs"/>
          <w:rtl/>
          <w:lang w:bidi="ar-EG"/>
        </w:rPr>
        <w:t xml:space="preserve"> </w:t>
      </w:r>
    </w:p>
    <w:p w14:paraId="4A857EE1" w14:textId="500DB820" w:rsidR="00F16820" w:rsidRDefault="0070381F" w:rsidP="00D6467F">
      <w:pPr>
        <w:rPr>
          <w:rtl/>
          <w:lang w:bidi="ar-EG"/>
        </w:rPr>
      </w:pPr>
      <w:r>
        <w:rPr>
          <w:rFonts w:hint="cs"/>
          <w:rtl/>
        </w:rPr>
        <w:t>وتتاح هذه الوثائق في نسق إلكتروني في:</w:t>
      </w:r>
      <w:r w:rsidR="00686585">
        <w:rPr>
          <w:rFonts w:hint="cs"/>
          <w:rtl/>
        </w:rPr>
        <w:t xml:space="preserve"> </w:t>
      </w:r>
      <w:hyperlink r:id="rId10" w:history="1">
        <w:r w:rsidR="00D6467F" w:rsidRPr="004D3212">
          <w:rPr>
            <w:rStyle w:val="Hyperlink"/>
            <w:szCs w:val="24"/>
          </w:rPr>
          <w:t>https://www.itu.int/md/R19-SG07-C/en</w:t>
        </w:r>
      </w:hyperlink>
    </w:p>
    <w:p w14:paraId="404535FF" w14:textId="77777777" w:rsidR="00F16820" w:rsidRDefault="00F16820" w:rsidP="001B208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105F04" w14:textId="2DEE7C2F" w:rsidR="0070381F" w:rsidRDefault="0070381F" w:rsidP="00686585">
      <w:pPr>
        <w:pStyle w:val="Annextitle"/>
        <w:rPr>
          <w:rtl/>
          <w:lang w:bidi="ar-EG"/>
        </w:rPr>
      </w:pPr>
      <w:r w:rsidRPr="00F927B5">
        <w:rPr>
          <w:rFonts w:hint="cs"/>
          <w:rtl/>
        </w:rPr>
        <w:lastRenderedPageBreak/>
        <w:t>الملحق</w:t>
      </w:r>
      <w:r w:rsidR="00D6467F">
        <w:rPr>
          <w:rFonts w:hint="cs"/>
          <w:rtl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</w:r>
      <w:r w:rsidR="00DC3BE3">
        <w:rPr>
          <w:rFonts w:hint="cs"/>
          <w:rtl/>
        </w:rPr>
        <w:t>عنوان وملخص كل من مشروعَي</w:t>
      </w:r>
      <w:r w:rsidRPr="001F2358">
        <w:rPr>
          <w:rFonts w:hint="cs"/>
          <w:rtl/>
        </w:rPr>
        <w:t xml:space="preserve"> </w:t>
      </w:r>
      <w:r w:rsidR="00DC3BE3">
        <w:rPr>
          <w:rFonts w:hint="cs"/>
          <w:rtl/>
        </w:rPr>
        <w:t>توصيتي</w:t>
      </w:r>
      <w:r w:rsidR="00686585" w:rsidRPr="001F2358">
        <w:rPr>
          <w:rFonts w:hint="cs"/>
          <w:rtl/>
        </w:rPr>
        <w:t xml:space="preserve"> قطاع الاتصالات الراديوية</w:t>
      </w:r>
    </w:p>
    <w:p w14:paraId="73C6B562" w14:textId="036DA189" w:rsidR="00686585" w:rsidRDefault="00686585" w:rsidP="00D6467F">
      <w:pPr>
        <w:tabs>
          <w:tab w:val="right" w:pos="9639"/>
        </w:tabs>
        <w:rPr>
          <w:rtl/>
          <w:lang w:bidi="ar-EG"/>
        </w:rPr>
      </w:pPr>
      <w:r w:rsidRPr="00686585">
        <w:rPr>
          <w:rFonts w:hint="cs"/>
          <w:u w:val="single"/>
          <w:rtl/>
          <w:lang w:bidi="ar-EG"/>
        </w:rPr>
        <w:t>مشروع التوصية</w:t>
      </w:r>
      <w:r w:rsidR="007768C8">
        <w:rPr>
          <w:rFonts w:hint="cs"/>
          <w:u w:val="single"/>
          <w:rtl/>
        </w:rPr>
        <w:t xml:space="preserve"> الجديدة</w:t>
      </w:r>
      <w:r w:rsidR="00D6467F">
        <w:rPr>
          <w:rFonts w:hint="cs"/>
          <w:u w:val="single"/>
          <w:rtl/>
        </w:rPr>
        <w:t xml:space="preserve"> </w:t>
      </w:r>
      <w:r w:rsidR="00D6467F" w:rsidRPr="004D3212">
        <w:rPr>
          <w:rFonts w:asciiTheme="minorHAnsi" w:hAnsiTheme="minorHAnsi" w:cstheme="minorHAnsi"/>
          <w:szCs w:val="24"/>
          <w:u w:val="single"/>
        </w:rPr>
        <w:t>ITU-R</w:t>
      </w:r>
      <w:r w:rsidR="00D6467F" w:rsidRPr="004D3212">
        <w:rPr>
          <w:u w:val="single"/>
        </w:rPr>
        <w:t xml:space="preserve"> </w:t>
      </w:r>
      <w:proofErr w:type="gramStart"/>
      <w:r w:rsidR="00D6467F" w:rsidRPr="004D3212">
        <w:rPr>
          <w:u w:val="single"/>
        </w:rPr>
        <w:t>SA.[</w:t>
      </w:r>
      <w:proofErr w:type="gramEnd"/>
      <w:r w:rsidR="00D6467F" w:rsidRPr="004D3212">
        <w:rPr>
          <w:u w:val="single"/>
        </w:rPr>
        <w:t>S-BAND DL USE OPT]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D6467F" w:rsidRPr="004D3212">
        <w:rPr>
          <w:rFonts w:asciiTheme="minorHAnsi" w:hAnsiTheme="minorHAnsi" w:cstheme="minorHAnsi"/>
          <w:szCs w:val="24"/>
        </w:rPr>
        <w:t>7/51(Rev.1)</w:t>
      </w:r>
    </w:p>
    <w:p w14:paraId="001C2EAD" w14:textId="6B163474" w:rsidR="0070381F" w:rsidRPr="005537B5" w:rsidRDefault="00D6467F" w:rsidP="0064524C">
      <w:pPr>
        <w:pStyle w:val="Rectitle"/>
        <w:spacing w:before="240" w:after="240"/>
        <w:rPr>
          <w:sz w:val="26"/>
          <w:szCs w:val="26"/>
          <w:rtl/>
          <w:lang w:bidi="ar-EG"/>
        </w:rPr>
      </w:pPr>
      <w:r w:rsidRPr="0071231C">
        <w:rPr>
          <w:rtl/>
          <w:lang w:bidi="ar-EG"/>
        </w:rPr>
        <w:t xml:space="preserve">مبادئ توجيهية بشأن استعمال </w:t>
      </w:r>
      <w:r w:rsidRPr="0071231C">
        <w:rPr>
          <w:rFonts w:hint="cs"/>
          <w:rtl/>
          <w:lang w:bidi="ar-EG"/>
        </w:rPr>
        <w:t>ا</w:t>
      </w:r>
      <w:r w:rsidRPr="0071231C">
        <w:rPr>
          <w:rtl/>
          <w:lang w:bidi="ar-EG"/>
        </w:rPr>
        <w:t xml:space="preserve">لشبكات </w:t>
      </w:r>
      <w:r w:rsidRPr="0071231C">
        <w:rPr>
          <w:rFonts w:hint="cs"/>
          <w:rtl/>
          <w:lang w:bidi="ar-EG"/>
        </w:rPr>
        <w:t xml:space="preserve">أو </w:t>
      </w:r>
      <w:r w:rsidRPr="0071231C">
        <w:rPr>
          <w:rtl/>
          <w:lang w:bidi="ar-EG"/>
        </w:rPr>
        <w:t xml:space="preserve">الأنظمة </w:t>
      </w:r>
      <w:proofErr w:type="spellStart"/>
      <w:r w:rsidRPr="0071231C">
        <w:rPr>
          <w:rtl/>
          <w:lang w:bidi="ar-EG"/>
        </w:rPr>
        <w:t>الساتلية</w:t>
      </w:r>
      <w:proofErr w:type="spellEnd"/>
      <w:r w:rsidRPr="0071231C">
        <w:rPr>
          <w:rtl/>
          <w:lang w:bidi="ar-EG"/>
        </w:rPr>
        <w:t xml:space="preserve"> </w:t>
      </w:r>
      <w:r w:rsidRPr="0071231C">
        <w:rPr>
          <w:rFonts w:hint="cs"/>
          <w:rtl/>
          <w:lang w:bidi="ar-EG"/>
        </w:rPr>
        <w:t>لخدمات استكشاف</w:t>
      </w:r>
      <w:r w:rsidRPr="0071231C">
        <w:rPr>
          <w:rtl/>
        </w:rPr>
        <w:t xml:space="preserve"> الأرض </w:t>
      </w:r>
      <w:proofErr w:type="spellStart"/>
      <w:r w:rsidRPr="0071231C">
        <w:rPr>
          <w:rtl/>
        </w:rPr>
        <w:t>الساتلية</w:t>
      </w:r>
      <w:proofErr w:type="spellEnd"/>
      <w:r w:rsidRPr="0071231C">
        <w:rPr>
          <w:rtl/>
        </w:rPr>
        <w:t xml:space="preserve"> </w:t>
      </w:r>
      <w:r w:rsidRPr="0071231C">
        <w:rPr>
          <w:lang w:bidi="ar-EG"/>
        </w:rPr>
        <w:t>(EESS)</w:t>
      </w:r>
      <w:r w:rsidRPr="0071231C">
        <w:rPr>
          <w:rFonts w:hint="cs"/>
          <w:rtl/>
          <w:lang w:bidi="ar-EG"/>
        </w:rPr>
        <w:t>/</w:t>
      </w:r>
      <w:r w:rsidRPr="0071231C">
        <w:rPr>
          <w:rtl/>
        </w:rPr>
        <w:t>الأبحاث الفضائية</w:t>
      </w:r>
      <w:r>
        <w:rPr>
          <w:rFonts w:hint="cs"/>
          <w:rtl/>
        </w:rPr>
        <w:t> </w:t>
      </w:r>
      <w:r w:rsidRPr="0071231C">
        <w:rPr>
          <w:lang w:bidi="ar-EG"/>
        </w:rPr>
        <w:t>(</w:t>
      </w:r>
      <w:smartTag w:uri="urn:schemas-microsoft-com:office:smarttags" w:element="stockticker">
        <w:r w:rsidRPr="0071231C">
          <w:rPr>
            <w:lang w:bidi="ar-EG"/>
          </w:rPr>
          <w:t>SRS</w:t>
        </w:r>
      </w:smartTag>
      <w:r w:rsidRPr="0071231C">
        <w:rPr>
          <w:lang w:bidi="ar-EG"/>
        </w:rPr>
        <w:t>)</w:t>
      </w:r>
      <w:r w:rsidRPr="0071231C">
        <w:rPr>
          <w:rFonts w:hint="cs"/>
          <w:rtl/>
          <w:lang w:bidi="ar-EG"/>
        </w:rPr>
        <w:t>/</w:t>
      </w:r>
      <w:r w:rsidRPr="0071231C">
        <w:rPr>
          <w:rtl/>
        </w:rPr>
        <w:t xml:space="preserve">العمليات الفضائية </w:t>
      </w:r>
      <w:r w:rsidRPr="0071231C">
        <w:rPr>
          <w:lang w:bidi="ar-EG"/>
        </w:rPr>
        <w:t>(</w:t>
      </w:r>
      <w:smartTag w:uri="urn:schemas-microsoft-com:office:smarttags" w:element="stockticker">
        <w:r w:rsidRPr="0071231C">
          <w:rPr>
            <w:lang w:bidi="ar-EG"/>
          </w:rPr>
          <w:t>SOS</w:t>
        </w:r>
      </w:smartTag>
      <w:r w:rsidRPr="0071231C">
        <w:rPr>
          <w:lang w:bidi="ar-EG"/>
        </w:rPr>
        <w:t>)</w:t>
      </w:r>
      <w:r w:rsidRPr="0071231C">
        <w:rPr>
          <w:rFonts w:hint="cs"/>
          <w:rtl/>
          <w:lang w:bidi="ar-EG"/>
        </w:rPr>
        <w:t xml:space="preserve"> </w:t>
      </w:r>
      <w:r w:rsidRPr="0071231C">
        <w:rPr>
          <w:rtl/>
          <w:lang w:bidi="ar-EG"/>
        </w:rPr>
        <w:t xml:space="preserve">لنطاق الترددات </w:t>
      </w:r>
      <w:r>
        <w:rPr>
          <w:lang w:bidi="ar-EG"/>
        </w:rPr>
        <w:t>MHz 2 290</w:t>
      </w:r>
      <w:r>
        <w:rPr>
          <w:lang w:bidi="ar-EG"/>
        </w:rPr>
        <w:noBreakHyphen/>
        <w:t>2 200</w:t>
      </w:r>
      <w:r>
        <w:rPr>
          <w:rFonts w:hint="cs"/>
          <w:rtl/>
          <w:lang w:bidi="ar-EG"/>
        </w:rPr>
        <w:t xml:space="preserve">، التي لا </w:t>
      </w:r>
      <w:r w:rsidR="0064524C">
        <w:rPr>
          <w:rFonts w:hint="cs"/>
          <w:rtl/>
          <w:lang w:bidi="ar-EG"/>
        </w:rPr>
        <w:t>تستخدم</w:t>
      </w:r>
      <w:r>
        <w:rPr>
          <w:rFonts w:hint="cs"/>
          <w:rtl/>
          <w:lang w:bidi="ar-EG"/>
        </w:rPr>
        <w:t xml:space="preserve"> </w:t>
      </w:r>
      <w:r w:rsidR="0055275F">
        <w:rPr>
          <w:rFonts w:hint="cs"/>
          <w:rtl/>
          <w:lang w:bidi="ar-EG"/>
        </w:rPr>
        <w:t>تشكيلاً</w:t>
      </w:r>
      <w:r w:rsidR="0055275F" w:rsidRPr="0071231C">
        <w:rPr>
          <w:rtl/>
          <w:lang w:bidi="ar-EG"/>
        </w:rPr>
        <w:t xml:space="preserve"> </w:t>
      </w:r>
      <w:r w:rsidRPr="0071231C">
        <w:rPr>
          <w:rtl/>
          <w:lang w:bidi="ar-EG"/>
        </w:rPr>
        <w:t>بتمديد الطيف</w:t>
      </w:r>
      <w:r>
        <w:rPr>
          <w:rFonts w:hint="cs"/>
          <w:rtl/>
          <w:lang w:bidi="ar-EG"/>
        </w:rPr>
        <w:t xml:space="preserve"> </w:t>
      </w:r>
    </w:p>
    <w:p w14:paraId="66365365" w14:textId="5B736014" w:rsidR="005537B5" w:rsidRPr="0055275F" w:rsidRDefault="00793376" w:rsidP="0064524C">
      <w:pPr>
        <w:tabs>
          <w:tab w:val="clear" w:pos="794"/>
          <w:tab w:val="right" w:pos="9497"/>
        </w:tabs>
        <w:spacing w:before="360"/>
        <w:rPr>
          <w:lang w:bidi="ar-LB"/>
        </w:rPr>
      </w:pPr>
      <w:r w:rsidRPr="0055275F">
        <w:rPr>
          <w:rtl/>
        </w:rPr>
        <w:t xml:space="preserve">تقدم هذه التوصية مبادئ توجيهية بشأن </w:t>
      </w:r>
      <w:r w:rsidRPr="0055275F">
        <w:rPr>
          <w:rFonts w:hint="cs"/>
          <w:rtl/>
        </w:rPr>
        <w:t xml:space="preserve">استعمال </w:t>
      </w:r>
      <w:r w:rsidRPr="0055275F">
        <w:rPr>
          <w:rtl/>
        </w:rPr>
        <w:t>الشبكات أو الأنظمة لخدم</w:t>
      </w:r>
      <w:r w:rsidRPr="0055275F">
        <w:rPr>
          <w:rFonts w:hint="cs"/>
          <w:rtl/>
        </w:rPr>
        <w:t>ة</w:t>
      </w:r>
      <w:r w:rsidRPr="0055275F">
        <w:rPr>
          <w:rtl/>
        </w:rPr>
        <w:t xml:space="preserve"> استكشاف الأرض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 (</w:t>
      </w:r>
      <w:r w:rsidRPr="0055275F">
        <w:t>EESS</w:t>
      </w:r>
      <w:r w:rsidRPr="0055275F">
        <w:rPr>
          <w:rtl/>
        </w:rPr>
        <w:t>)</w:t>
      </w:r>
      <w:r w:rsidR="007D078C">
        <w:rPr>
          <w:rFonts w:hint="cs"/>
          <w:rtl/>
        </w:rPr>
        <w:t xml:space="preserve"> </w:t>
      </w:r>
      <w:r w:rsidRPr="0055275F">
        <w:rPr>
          <w:rFonts w:hint="cs"/>
          <w:rtl/>
        </w:rPr>
        <w:t xml:space="preserve">وخدمة </w:t>
      </w:r>
      <w:r w:rsidRPr="0055275F">
        <w:rPr>
          <w:rtl/>
        </w:rPr>
        <w:t>الأبحاث الفضائية (</w:t>
      </w:r>
      <w:r w:rsidRPr="0055275F">
        <w:t>SRS</w:t>
      </w:r>
      <w:r w:rsidRPr="0055275F">
        <w:rPr>
          <w:rtl/>
        </w:rPr>
        <w:t>)</w:t>
      </w:r>
      <w:r w:rsidRPr="0055275F">
        <w:rPr>
          <w:rFonts w:hint="cs"/>
          <w:rtl/>
        </w:rPr>
        <w:t xml:space="preserve"> وخدمة </w:t>
      </w:r>
      <w:r w:rsidRPr="0055275F">
        <w:rPr>
          <w:rtl/>
        </w:rPr>
        <w:t>العمليات الفضائية (</w:t>
      </w:r>
      <w:r w:rsidRPr="0055275F">
        <w:t>SOS</w:t>
      </w:r>
      <w:r w:rsidRPr="0055275F">
        <w:rPr>
          <w:rtl/>
        </w:rPr>
        <w:t xml:space="preserve">) لنطاق الترددات </w:t>
      </w:r>
      <w:r w:rsidRPr="0055275F">
        <w:t>MHz 2 290-2 200</w:t>
      </w:r>
      <w:r w:rsidRPr="0055275F">
        <w:rPr>
          <w:rFonts w:hint="cs"/>
          <w:rtl/>
        </w:rPr>
        <w:t xml:space="preserve">. </w:t>
      </w:r>
      <w:r w:rsidRPr="0055275F">
        <w:rPr>
          <w:rtl/>
        </w:rPr>
        <w:t xml:space="preserve">والهدف من ذلك هو </w:t>
      </w:r>
      <w:r w:rsidR="0055275F" w:rsidRPr="0055275F">
        <w:rPr>
          <w:rFonts w:hint="cs"/>
          <w:rtl/>
        </w:rPr>
        <w:t>تحقيق الاستعمال الأمثل</w:t>
      </w:r>
      <w:r w:rsidR="0055275F" w:rsidRPr="0055275F">
        <w:rPr>
          <w:rtl/>
        </w:rPr>
        <w:t xml:space="preserve"> </w:t>
      </w:r>
      <w:r w:rsidR="0055275F" w:rsidRPr="0055275F">
        <w:rPr>
          <w:rFonts w:hint="cs"/>
          <w:rtl/>
        </w:rPr>
        <w:t>ل</w:t>
      </w:r>
      <w:r w:rsidRPr="0055275F">
        <w:rPr>
          <w:rtl/>
        </w:rPr>
        <w:t xml:space="preserve">لنطاق من خلال تعزيز الممارسات التي تتيح </w:t>
      </w:r>
      <w:r w:rsidR="0064524C" w:rsidRPr="0055275F">
        <w:rPr>
          <w:rtl/>
        </w:rPr>
        <w:t xml:space="preserve">تقاسم النطاق </w:t>
      </w:r>
      <w:r w:rsidR="0064524C" w:rsidRPr="0055275F">
        <w:rPr>
          <w:rFonts w:hint="cs"/>
          <w:rtl/>
        </w:rPr>
        <w:t>بين</w:t>
      </w:r>
      <w:r w:rsidRPr="0055275F">
        <w:rPr>
          <w:rtl/>
        </w:rPr>
        <w:t xml:space="preserve"> أكبر عدد ممكن من الشبكات والأنظمة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، بما فيها التقنيات التي من شأنها أن تقلص عرض النطاق </w:t>
      </w:r>
      <w:r w:rsidRPr="007B0596">
        <w:rPr>
          <w:rtl/>
        </w:rPr>
        <w:t xml:space="preserve">في </w:t>
      </w:r>
      <w:r w:rsidRPr="0055275F">
        <w:rPr>
          <w:rtl/>
        </w:rPr>
        <w:t>معلومات النشر المسبق (</w:t>
      </w:r>
      <w:r w:rsidRPr="0055275F">
        <w:t>API</w:t>
      </w:r>
      <w:r w:rsidRPr="0055275F">
        <w:rPr>
          <w:rtl/>
        </w:rPr>
        <w:t>)</w:t>
      </w:r>
      <w:r w:rsidR="0055275F" w:rsidRPr="0055275F">
        <w:rPr>
          <w:rFonts w:hint="cs"/>
          <w:rtl/>
        </w:rPr>
        <w:t xml:space="preserve"> المبلَّغة</w:t>
      </w:r>
      <w:r w:rsidRPr="0055275F">
        <w:rPr>
          <w:rtl/>
        </w:rPr>
        <w:t xml:space="preserve">. وتتناول هذه التوصية الشبكات أو الأنظمة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 لخدم</w:t>
      </w:r>
      <w:r w:rsidR="00B238EB" w:rsidRPr="0055275F">
        <w:rPr>
          <w:rFonts w:hint="cs"/>
          <w:rtl/>
        </w:rPr>
        <w:t>ات</w:t>
      </w:r>
      <w:r w:rsidRPr="0055275F">
        <w:rPr>
          <w:rtl/>
        </w:rPr>
        <w:t xml:space="preserve"> استكشاف الأرض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 (</w:t>
      </w:r>
      <w:r w:rsidRPr="0055275F">
        <w:t>EESS</w:t>
      </w:r>
      <w:r w:rsidRPr="0055275F">
        <w:rPr>
          <w:rtl/>
        </w:rPr>
        <w:t>)</w:t>
      </w:r>
      <w:r w:rsidR="00B238EB" w:rsidRPr="0055275F">
        <w:rPr>
          <w:rFonts w:hint="cs"/>
          <w:rtl/>
        </w:rPr>
        <w:t>/</w:t>
      </w:r>
      <w:r w:rsidRPr="0055275F">
        <w:rPr>
          <w:rtl/>
        </w:rPr>
        <w:t>الأبحاث الفضائية (</w:t>
      </w:r>
      <w:r w:rsidRPr="0055275F">
        <w:t>SRS</w:t>
      </w:r>
      <w:r w:rsidRPr="0055275F">
        <w:rPr>
          <w:rtl/>
        </w:rPr>
        <w:t>)</w:t>
      </w:r>
      <w:r w:rsidR="00B238EB" w:rsidRPr="0055275F">
        <w:rPr>
          <w:rFonts w:hint="cs"/>
          <w:rtl/>
        </w:rPr>
        <w:t>/</w:t>
      </w:r>
      <w:r w:rsidRPr="0055275F">
        <w:rPr>
          <w:rtl/>
        </w:rPr>
        <w:t>العمليات الفضائية (</w:t>
      </w:r>
      <w:r w:rsidRPr="0055275F">
        <w:t>SOS</w:t>
      </w:r>
      <w:r w:rsidRPr="0055275F">
        <w:rPr>
          <w:rtl/>
        </w:rPr>
        <w:t xml:space="preserve">)، التي لا </w:t>
      </w:r>
      <w:r w:rsidR="0064524C" w:rsidRPr="0055275F">
        <w:rPr>
          <w:rFonts w:hint="cs"/>
          <w:rtl/>
        </w:rPr>
        <w:t>تستخدم</w:t>
      </w:r>
      <w:r w:rsidRPr="0055275F">
        <w:rPr>
          <w:rtl/>
        </w:rPr>
        <w:t xml:space="preserve"> </w:t>
      </w:r>
      <w:r w:rsidR="0055275F" w:rsidRPr="0055275F">
        <w:rPr>
          <w:rFonts w:hint="cs"/>
          <w:rtl/>
        </w:rPr>
        <w:t>تشكيلاً</w:t>
      </w:r>
      <w:r w:rsidR="0055275F" w:rsidRPr="0055275F">
        <w:rPr>
          <w:rtl/>
        </w:rPr>
        <w:t xml:space="preserve"> </w:t>
      </w:r>
      <w:r w:rsidR="00B238EB" w:rsidRPr="0055275F">
        <w:rPr>
          <w:rFonts w:hint="cs"/>
          <w:rtl/>
        </w:rPr>
        <w:t>ب</w:t>
      </w:r>
      <w:r w:rsidRPr="0055275F">
        <w:rPr>
          <w:rtl/>
        </w:rPr>
        <w:t>تمديد الطيف.</w:t>
      </w:r>
    </w:p>
    <w:p w14:paraId="5DD64081" w14:textId="6A551933" w:rsidR="0070381F" w:rsidRPr="0055275F" w:rsidRDefault="0070381F" w:rsidP="00B238EB">
      <w:pPr>
        <w:tabs>
          <w:tab w:val="clear" w:pos="794"/>
          <w:tab w:val="right" w:pos="9497"/>
        </w:tabs>
        <w:spacing w:before="360"/>
        <w:ind w:right="426"/>
        <w:rPr>
          <w:rtl/>
          <w:lang w:bidi="ar-EG"/>
        </w:rPr>
      </w:pPr>
      <w:r w:rsidRPr="0055275F">
        <w:rPr>
          <w:rFonts w:hint="cs"/>
          <w:u w:val="single"/>
          <w:rtl/>
        </w:rPr>
        <w:t>مشروع التوصية</w:t>
      </w:r>
      <w:r w:rsidR="009F42B5" w:rsidRPr="0055275F">
        <w:rPr>
          <w:rFonts w:hint="cs"/>
          <w:u w:val="single"/>
          <w:rtl/>
        </w:rPr>
        <w:t xml:space="preserve"> الجديدة</w:t>
      </w:r>
      <w:r w:rsidR="00B238EB" w:rsidRPr="0055275F">
        <w:rPr>
          <w:rFonts w:hint="cs"/>
          <w:u w:val="single"/>
          <w:rtl/>
        </w:rPr>
        <w:t xml:space="preserve"> </w:t>
      </w:r>
      <w:r w:rsidR="00B238EB" w:rsidRPr="0055275F">
        <w:rPr>
          <w:rFonts w:asciiTheme="minorHAnsi" w:hAnsiTheme="minorHAnsi"/>
          <w:u w:val="single"/>
        </w:rPr>
        <w:t>ITU-R</w:t>
      </w:r>
      <w:r w:rsidR="00B238EB" w:rsidRPr="0055275F">
        <w:rPr>
          <w:u w:val="single"/>
        </w:rPr>
        <w:t xml:space="preserve"> SA.[S-BAND UL USE OPT]</w:t>
      </w:r>
      <w:r w:rsidRPr="0055275F">
        <w:rPr>
          <w:bCs/>
          <w:sz w:val="30"/>
          <w:szCs w:val="30"/>
          <w:rtl/>
        </w:rPr>
        <w:tab/>
      </w:r>
      <w:r w:rsidRPr="0055275F">
        <w:rPr>
          <w:rFonts w:hint="cs"/>
          <w:rtl/>
          <w:lang w:bidi="ar-EG"/>
        </w:rPr>
        <w:t xml:space="preserve">الوثيقة </w:t>
      </w:r>
      <w:r w:rsidR="00B238EB" w:rsidRPr="0055275F">
        <w:rPr>
          <w:rFonts w:asciiTheme="minorHAnsi" w:hAnsiTheme="minorHAnsi" w:cstheme="minorHAnsi"/>
          <w:szCs w:val="24"/>
        </w:rPr>
        <w:t>7/61</w:t>
      </w:r>
      <w:r w:rsidR="00B238EB" w:rsidRPr="0055275F">
        <w:rPr>
          <w:rFonts w:asciiTheme="minorHAnsi" w:hAnsiTheme="minorHAnsi"/>
        </w:rPr>
        <w:t>(Rev.</w:t>
      </w:r>
      <w:r w:rsidR="00B238EB" w:rsidRPr="0055275F">
        <w:rPr>
          <w:rFonts w:asciiTheme="minorHAnsi" w:hAnsiTheme="minorHAnsi" w:cstheme="minorHAnsi"/>
          <w:szCs w:val="24"/>
        </w:rPr>
        <w:t>1</w:t>
      </w:r>
      <w:r w:rsidR="00B238EB" w:rsidRPr="0055275F">
        <w:rPr>
          <w:rFonts w:asciiTheme="minorHAnsi" w:hAnsiTheme="minorHAnsi"/>
        </w:rPr>
        <w:t>)</w:t>
      </w:r>
    </w:p>
    <w:p w14:paraId="41765727" w14:textId="32810793" w:rsidR="00B238EB" w:rsidRPr="0055275F" w:rsidRDefault="00B238EB" w:rsidP="0064524C">
      <w:pPr>
        <w:pStyle w:val="Rectitle"/>
        <w:spacing w:before="240" w:after="240"/>
        <w:rPr>
          <w:sz w:val="26"/>
          <w:szCs w:val="26"/>
          <w:rtl/>
          <w:lang w:bidi="ar-EG"/>
        </w:rPr>
      </w:pPr>
      <w:r w:rsidRPr="0055275F">
        <w:rPr>
          <w:rtl/>
          <w:lang w:bidi="ar-EG"/>
        </w:rPr>
        <w:t xml:space="preserve">مبادئ توجيهية بشأن استعمال </w:t>
      </w:r>
      <w:r w:rsidRPr="0055275F">
        <w:rPr>
          <w:rFonts w:hint="cs"/>
          <w:rtl/>
          <w:lang w:bidi="ar-EG"/>
        </w:rPr>
        <w:t>ا</w:t>
      </w:r>
      <w:r w:rsidRPr="0055275F">
        <w:rPr>
          <w:rtl/>
          <w:lang w:bidi="ar-EG"/>
        </w:rPr>
        <w:t xml:space="preserve">لشبكات </w:t>
      </w:r>
      <w:r w:rsidRPr="0055275F">
        <w:rPr>
          <w:rFonts w:hint="cs"/>
          <w:rtl/>
          <w:lang w:bidi="ar-EG"/>
        </w:rPr>
        <w:t xml:space="preserve">أو </w:t>
      </w:r>
      <w:r w:rsidRPr="0055275F">
        <w:rPr>
          <w:rtl/>
          <w:lang w:bidi="ar-EG"/>
        </w:rPr>
        <w:t xml:space="preserve">الأنظمة </w:t>
      </w:r>
      <w:proofErr w:type="spellStart"/>
      <w:r w:rsidRPr="0055275F">
        <w:rPr>
          <w:rtl/>
          <w:lang w:bidi="ar-EG"/>
        </w:rPr>
        <w:t>الساتلية</w:t>
      </w:r>
      <w:proofErr w:type="spellEnd"/>
      <w:r w:rsidRPr="0055275F">
        <w:rPr>
          <w:rtl/>
          <w:lang w:bidi="ar-EG"/>
        </w:rPr>
        <w:t xml:space="preserve"> </w:t>
      </w:r>
      <w:r w:rsidRPr="0055275F">
        <w:rPr>
          <w:rFonts w:hint="cs"/>
          <w:rtl/>
          <w:lang w:bidi="ar-EG"/>
        </w:rPr>
        <w:t>لخدمات استكشاف</w:t>
      </w:r>
      <w:r w:rsidRPr="0055275F">
        <w:rPr>
          <w:rtl/>
        </w:rPr>
        <w:t xml:space="preserve"> الأرض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 </w:t>
      </w:r>
      <w:r w:rsidRPr="0055275F">
        <w:rPr>
          <w:lang w:bidi="ar-EG"/>
        </w:rPr>
        <w:t>(EESS)</w:t>
      </w:r>
      <w:r w:rsidRPr="0055275F">
        <w:rPr>
          <w:rFonts w:hint="cs"/>
          <w:rtl/>
          <w:lang w:bidi="ar-EG"/>
        </w:rPr>
        <w:t>/</w:t>
      </w:r>
      <w:r w:rsidRPr="0055275F">
        <w:rPr>
          <w:rtl/>
        </w:rPr>
        <w:t>الأبحاث الفضائية</w:t>
      </w:r>
      <w:r w:rsidRPr="0055275F">
        <w:rPr>
          <w:rFonts w:hint="cs"/>
          <w:rtl/>
        </w:rPr>
        <w:t> </w:t>
      </w:r>
      <w:r w:rsidRPr="0055275F">
        <w:rPr>
          <w:lang w:bidi="ar-EG"/>
        </w:rPr>
        <w:t>(</w:t>
      </w:r>
      <w:smartTag w:uri="urn:schemas-microsoft-com:office:smarttags" w:element="stockticker">
        <w:r w:rsidRPr="0055275F">
          <w:rPr>
            <w:lang w:bidi="ar-EG"/>
          </w:rPr>
          <w:t>SRS</w:t>
        </w:r>
      </w:smartTag>
      <w:r w:rsidRPr="0055275F">
        <w:rPr>
          <w:lang w:bidi="ar-EG"/>
        </w:rPr>
        <w:t>)</w:t>
      </w:r>
      <w:r w:rsidRPr="0055275F">
        <w:rPr>
          <w:rFonts w:hint="cs"/>
          <w:rtl/>
          <w:lang w:bidi="ar-EG"/>
        </w:rPr>
        <w:t>/</w:t>
      </w:r>
      <w:r w:rsidRPr="0055275F">
        <w:rPr>
          <w:rtl/>
        </w:rPr>
        <w:t xml:space="preserve">العمليات الفضائية </w:t>
      </w:r>
      <w:r w:rsidRPr="0055275F">
        <w:rPr>
          <w:lang w:bidi="ar-EG"/>
        </w:rPr>
        <w:t>(</w:t>
      </w:r>
      <w:smartTag w:uri="urn:schemas-microsoft-com:office:smarttags" w:element="stockticker">
        <w:r w:rsidRPr="0055275F">
          <w:rPr>
            <w:lang w:bidi="ar-EG"/>
          </w:rPr>
          <w:t>SOS</w:t>
        </w:r>
      </w:smartTag>
      <w:r w:rsidRPr="0055275F">
        <w:rPr>
          <w:lang w:bidi="ar-EG"/>
        </w:rPr>
        <w:t>)</w:t>
      </w:r>
      <w:r w:rsidRPr="0055275F">
        <w:rPr>
          <w:rFonts w:hint="cs"/>
          <w:rtl/>
          <w:lang w:bidi="ar-EG"/>
        </w:rPr>
        <w:t xml:space="preserve"> </w:t>
      </w:r>
      <w:r w:rsidRPr="0055275F">
        <w:rPr>
          <w:rtl/>
          <w:lang w:bidi="ar-EG"/>
        </w:rPr>
        <w:t xml:space="preserve">لنطاق الترددات </w:t>
      </w:r>
      <w:r w:rsidRPr="0055275F">
        <w:rPr>
          <w:lang w:bidi="ar-EG"/>
        </w:rPr>
        <w:t>MHz </w:t>
      </w:r>
      <w:r w:rsidR="0064524C" w:rsidRPr="0055275F">
        <w:rPr>
          <w:lang w:bidi="ar-EG"/>
        </w:rPr>
        <w:t>2 110</w:t>
      </w:r>
      <w:r w:rsidRPr="0055275F">
        <w:rPr>
          <w:lang w:bidi="ar-EG"/>
        </w:rPr>
        <w:t>-</w:t>
      </w:r>
      <w:r w:rsidR="0064524C" w:rsidRPr="0055275F">
        <w:rPr>
          <w:lang w:bidi="ar-EG"/>
        </w:rPr>
        <w:t>2 025</w:t>
      </w:r>
      <w:r w:rsidRPr="0055275F">
        <w:rPr>
          <w:rFonts w:hint="cs"/>
          <w:rtl/>
          <w:lang w:bidi="ar-EG"/>
        </w:rPr>
        <w:t xml:space="preserve">، التي لا </w:t>
      </w:r>
      <w:r w:rsidR="0064524C" w:rsidRPr="0055275F">
        <w:rPr>
          <w:rFonts w:hint="cs"/>
          <w:rtl/>
          <w:lang w:bidi="ar-LB"/>
        </w:rPr>
        <w:t>تستخدم</w:t>
      </w:r>
      <w:r w:rsidRPr="0055275F">
        <w:rPr>
          <w:rFonts w:hint="cs"/>
          <w:rtl/>
          <w:lang w:bidi="ar-EG"/>
        </w:rPr>
        <w:t xml:space="preserve"> </w:t>
      </w:r>
      <w:r w:rsidR="0055275F" w:rsidRPr="0055275F">
        <w:rPr>
          <w:rFonts w:hint="cs"/>
          <w:rtl/>
        </w:rPr>
        <w:t>تشكيلاً</w:t>
      </w:r>
      <w:r w:rsidR="0055275F" w:rsidRPr="0055275F">
        <w:rPr>
          <w:rtl/>
        </w:rPr>
        <w:t xml:space="preserve"> </w:t>
      </w:r>
      <w:r w:rsidRPr="0055275F">
        <w:rPr>
          <w:rtl/>
          <w:lang w:bidi="ar-EG"/>
        </w:rPr>
        <w:t>بتمديد الطيف</w:t>
      </w:r>
      <w:r w:rsidRPr="0055275F">
        <w:rPr>
          <w:rFonts w:hint="cs"/>
          <w:rtl/>
          <w:lang w:bidi="ar-EG"/>
        </w:rPr>
        <w:t xml:space="preserve"> </w:t>
      </w:r>
    </w:p>
    <w:p w14:paraId="50D8BAB9" w14:textId="77996191" w:rsidR="00B238EB" w:rsidRDefault="00B238EB" w:rsidP="007B4EDC">
      <w:pPr>
        <w:spacing w:before="360"/>
        <w:rPr>
          <w:rtl/>
        </w:rPr>
      </w:pPr>
      <w:r w:rsidRPr="0055275F">
        <w:rPr>
          <w:rtl/>
        </w:rPr>
        <w:t xml:space="preserve">تقدم هذه التوصية مبادئ توجيهية بشأن </w:t>
      </w:r>
      <w:r w:rsidRPr="0055275F">
        <w:rPr>
          <w:rFonts w:hint="cs"/>
          <w:rtl/>
        </w:rPr>
        <w:t xml:space="preserve">استعمال </w:t>
      </w:r>
      <w:r w:rsidRPr="0055275F">
        <w:rPr>
          <w:rtl/>
        </w:rPr>
        <w:t xml:space="preserve">الشبكات أو الأنظمة </w:t>
      </w:r>
      <w:r w:rsidRPr="0055275F">
        <w:rPr>
          <w:rFonts w:hint="cs"/>
          <w:rtl/>
        </w:rPr>
        <w:t xml:space="preserve">لخدمة </w:t>
      </w:r>
      <w:r w:rsidRPr="0055275F">
        <w:rPr>
          <w:rtl/>
        </w:rPr>
        <w:t>الأبحاث الفضائية (</w:t>
      </w:r>
      <w:r w:rsidRPr="0055275F">
        <w:t>SRS</w:t>
      </w:r>
      <w:r w:rsidRPr="0055275F">
        <w:rPr>
          <w:rtl/>
        </w:rPr>
        <w:t>)</w:t>
      </w:r>
      <w:r w:rsidRPr="0055275F">
        <w:rPr>
          <w:rFonts w:hint="cs"/>
          <w:rtl/>
        </w:rPr>
        <w:t xml:space="preserve"> و</w:t>
      </w:r>
      <w:r w:rsidRPr="0055275F">
        <w:rPr>
          <w:rtl/>
        </w:rPr>
        <w:t>خدم</w:t>
      </w:r>
      <w:r w:rsidRPr="0055275F">
        <w:rPr>
          <w:rFonts w:hint="cs"/>
          <w:rtl/>
        </w:rPr>
        <w:t>ة</w:t>
      </w:r>
      <w:r w:rsidRPr="0055275F">
        <w:rPr>
          <w:rtl/>
        </w:rPr>
        <w:t xml:space="preserve"> استكشاف الأرض </w:t>
      </w:r>
      <w:proofErr w:type="spellStart"/>
      <w:r w:rsidRPr="0055275F">
        <w:rPr>
          <w:rtl/>
        </w:rPr>
        <w:t>الساتلية</w:t>
      </w:r>
      <w:proofErr w:type="spellEnd"/>
      <w:r w:rsidRPr="0055275F">
        <w:rPr>
          <w:rtl/>
        </w:rPr>
        <w:t xml:space="preserve"> (</w:t>
      </w:r>
      <w:r w:rsidRPr="0055275F">
        <w:t>EESS</w:t>
      </w:r>
      <w:r w:rsidRPr="0055275F">
        <w:rPr>
          <w:rtl/>
        </w:rPr>
        <w:t>)</w:t>
      </w:r>
      <w:r w:rsidRPr="0055275F">
        <w:rPr>
          <w:rFonts w:hint="cs"/>
          <w:rtl/>
        </w:rPr>
        <w:t xml:space="preserve"> وخدمة </w:t>
      </w:r>
      <w:r w:rsidRPr="0055275F">
        <w:rPr>
          <w:rtl/>
        </w:rPr>
        <w:t>العمليات الفضائية (</w:t>
      </w:r>
      <w:r w:rsidRPr="0055275F">
        <w:t>SOS</w:t>
      </w:r>
      <w:r w:rsidRPr="0055275F">
        <w:rPr>
          <w:rtl/>
        </w:rPr>
        <w:t xml:space="preserve">) لنطاق الترددات </w:t>
      </w:r>
      <w:r w:rsidRPr="0055275F">
        <w:t>MHz 2 110-2 025</w:t>
      </w:r>
      <w:r w:rsidRPr="0055275F">
        <w:rPr>
          <w:rFonts w:hint="cs"/>
          <w:rtl/>
        </w:rPr>
        <w:t xml:space="preserve">. </w:t>
      </w:r>
      <w:r w:rsidR="0064524C" w:rsidRPr="0055275F">
        <w:rPr>
          <w:rtl/>
        </w:rPr>
        <w:t xml:space="preserve">والهدف من ذلك هو </w:t>
      </w:r>
      <w:r w:rsidR="0055275F" w:rsidRPr="0055275F">
        <w:rPr>
          <w:rFonts w:hint="cs"/>
          <w:rtl/>
        </w:rPr>
        <w:t>تحقيق الاستعمال الأمثل</w:t>
      </w:r>
      <w:r w:rsidR="0055275F" w:rsidRPr="0055275F">
        <w:rPr>
          <w:rtl/>
        </w:rPr>
        <w:t xml:space="preserve"> </w:t>
      </w:r>
      <w:r w:rsidR="0064524C" w:rsidRPr="0055275F">
        <w:rPr>
          <w:rtl/>
        </w:rPr>
        <w:t>ل</w:t>
      </w:r>
      <w:r w:rsidR="0055275F" w:rsidRPr="0055275F">
        <w:rPr>
          <w:rFonts w:hint="cs"/>
          <w:rtl/>
        </w:rPr>
        <w:t>ل</w:t>
      </w:r>
      <w:r w:rsidR="0064524C" w:rsidRPr="0055275F">
        <w:rPr>
          <w:rtl/>
        </w:rPr>
        <w:t xml:space="preserve">نطاق من خلال تعزيز الممارسات التي تتيح تقاسم النطاق بين أكبر عدد ممكن من الشبكات والأنظمة </w:t>
      </w:r>
      <w:proofErr w:type="spellStart"/>
      <w:r w:rsidR="0064524C" w:rsidRPr="0055275F">
        <w:rPr>
          <w:rtl/>
        </w:rPr>
        <w:t>الساتلية</w:t>
      </w:r>
      <w:proofErr w:type="spellEnd"/>
      <w:r w:rsidR="0064524C" w:rsidRPr="0055275F">
        <w:rPr>
          <w:rtl/>
        </w:rPr>
        <w:t>، بما فيها التقنيات التي من شأنها أن تقلص عرض النطاق في معلومات النشر المسبق (</w:t>
      </w:r>
      <w:r w:rsidR="0064524C" w:rsidRPr="0055275F">
        <w:t>API</w:t>
      </w:r>
      <w:r w:rsidR="0064524C" w:rsidRPr="0055275F">
        <w:rPr>
          <w:rtl/>
        </w:rPr>
        <w:t>)</w:t>
      </w:r>
      <w:r w:rsidR="0055275F" w:rsidRPr="0055275F">
        <w:rPr>
          <w:rFonts w:hint="cs"/>
          <w:rtl/>
        </w:rPr>
        <w:t xml:space="preserve"> المبلَّغة</w:t>
      </w:r>
      <w:r w:rsidR="0064524C" w:rsidRPr="0055275F">
        <w:rPr>
          <w:rtl/>
        </w:rPr>
        <w:t xml:space="preserve">. وتتناول هذه التوصية الشبكات أو الأنظمة </w:t>
      </w:r>
      <w:proofErr w:type="spellStart"/>
      <w:r w:rsidR="0064524C" w:rsidRPr="0055275F">
        <w:rPr>
          <w:rtl/>
        </w:rPr>
        <w:t>الساتلية</w:t>
      </w:r>
      <w:proofErr w:type="spellEnd"/>
      <w:r w:rsidR="0064524C" w:rsidRPr="0055275F">
        <w:rPr>
          <w:rtl/>
        </w:rPr>
        <w:t xml:space="preserve"> لخدمات استكشاف الأرض </w:t>
      </w:r>
      <w:proofErr w:type="spellStart"/>
      <w:r w:rsidR="0064524C" w:rsidRPr="0055275F">
        <w:rPr>
          <w:rtl/>
        </w:rPr>
        <w:t>الساتلية</w:t>
      </w:r>
      <w:proofErr w:type="spellEnd"/>
      <w:r w:rsidR="0064524C" w:rsidRPr="0055275F">
        <w:rPr>
          <w:rtl/>
        </w:rPr>
        <w:t xml:space="preserve"> (</w:t>
      </w:r>
      <w:r w:rsidR="0064524C" w:rsidRPr="0055275F">
        <w:t>EESS</w:t>
      </w:r>
      <w:r w:rsidR="0064524C" w:rsidRPr="0055275F">
        <w:rPr>
          <w:rtl/>
        </w:rPr>
        <w:t>)/الأبحاث الفضائية (</w:t>
      </w:r>
      <w:r w:rsidR="0064524C" w:rsidRPr="0055275F">
        <w:t>SRS</w:t>
      </w:r>
      <w:r w:rsidR="0064524C" w:rsidRPr="0055275F">
        <w:rPr>
          <w:rtl/>
        </w:rPr>
        <w:t>)/العمليات الفضائية (</w:t>
      </w:r>
      <w:r w:rsidR="0064524C" w:rsidRPr="0055275F">
        <w:t>SOS</w:t>
      </w:r>
      <w:r w:rsidR="0064524C" w:rsidRPr="0055275F">
        <w:rPr>
          <w:rtl/>
        </w:rPr>
        <w:t xml:space="preserve">)، التي لا تستخدم </w:t>
      </w:r>
      <w:r w:rsidR="0055275F" w:rsidRPr="0055275F">
        <w:rPr>
          <w:rFonts w:hint="cs"/>
          <w:rtl/>
        </w:rPr>
        <w:t>تشكيلاً</w:t>
      </w:r>
      <w:r w:rsidR="0055275F" w:rsidRPr="0055275F">
        <w:rPr>
          <w:rtl/>
        </w:rPr>
        <w:t xml:space="preserve"> </w:t>
      </w:r>
      <w:r w:rsidR="0064524C" w:rsidRPr="0055275F">
        <w:rPr>
          <w:rtl/>
        </w:rPr>
        <w:t>بتمديد الطيف</w:t>
      </w:r>
      <w:r w:rsidR="0064524C" w:rsidRPr="0064524C">
        <w:rPr>
          <w:rtl/>
        </w:rPr>
        <w:t>.</w:t>
      </w:r>
    </w:p>
    <w:p w14:paraId="1DF6BDDE" w14:textId="7A8F1BA6" w:rsidR="003A3BB1" w:rsidRPr="0076159F" w:rsidRDefault="003A3BB1" w:rsidP="00B238EB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  <w:r w:rsidR="001665F5">
        <w:rPr>
          <w:rFonts w:hint="cs"/>
          <w:rtl/>
          <w:lang w:bidi="ar-EG"/>
        </w:rPr>
        <w:t>ــــــــ</w:t>
      </w:r>
    </w:p>
    <w:sectPr w:rsidR="003A3BB1" w:rsidRPr="0076159F" w:rsidSect="006C3242">
      <w:headerReference w:type="default" r:id="rId11"/>
      <w:headerReference w:type="first" r:id="rId12"/>
      <w:footerReference w:type="first" r:id="rId13"/>
      <w:footnotePr>
        <w:numStart w:val="2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EF42" w14:textId="77777777" w:rsidR="0070381F" w:rsidRDefault="0070381F" w:rsidP="006C3242">
      <w:pPr>
        <w:spacing w:before="0" w:line="240" w:lineRule="auto"/>
      </w:pPr>
      <w:r>
        <w:separator/>
      </w:r>
    </w:p>
  </w:endnote>
  <w:endnote w:type="continuationSeparator" w:id="0">
    <w:p w14:paraId="0D59ADA7" w14:textId="77777777" w:rsidR="0070381F" w:rsidRDefault="007038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E0AB" w14:textId="5683EB56" w:rsidR="00873048" w:rsidRPr="00314B8A" w:rsidRDefault="00314B8A" w:rsidP="00314B8A">
    <w:pPr>
      <w:pStyle w:val="FirstFooter"/>
      <w:spacing w:before="12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314B8A">
      <w:rPr>
        <w:rFonts w:ascii="Dubai" w:hAnsi="Dubai" w:cs="Dubai"/>
        <w:color w:val="4F81BD"/>
        <w:sz w:val="19"/>
        <w:szCs w:val="19"/>
        <w:lang w:val="en-GB"/>
      </w:rPr>
      <w:t>International Telecommunication Union • Place des Nations, CH</w:t>
    </w:r>
    <w:r w:rsidRPr="00314B8A">
      <w:rPr>
        <w:rFonts w:ascii="Dubai" w:hAnsi="Dubai" w:cs="Dubai"/>
        <w:color w:val="4F81BD"/>
        <w:sz w:val="19"/>
        <w:szCs w:val="19"/>
        <w:lang w:val="en-GB"/>
      </w:rPr>
      <w:noBreakHyphen/>
      <w:t xml:space="preserve">1211 Geneva 20, Switzerland • </w:t>
    </w:r>
    <w:r w:rsidRPr="00314B8A">
      <w:rPr>
        <w:rFonts w:ascii="Dubai" w:hAnsi="Dubai" w:cs="Dubai"/>
        <w:color w:val="4F81BD"/>
        <w:sz w:val="19"/>
        <w:szCs w:val="19"/>
        <w:lang w:val="en-GB"/>
      </w:rPr>
      <w:br/>
    </w:r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314B8A">
        <w:rPr>
          <w:rStyle w:val="Hyperlink"/>
          <w:sz w:val="19"/>
          <w:szCs w:val="19"/>
          <w:lang w:val="en-GB"/>
        </w:rPr>
        <w:t>itumail@itu.int</w:t>
      </w:r>
    </w:hyperlink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314B8A">
        <w:rPr>
          <w:rStyle w:val="Hyperlink"/>
          <w:sz w:val="19"/>
          <w:szCs w:val="19"/>
          <w:lang w:val="en-GB"/>
        </w:rPr>
        <w:t>www.itu.int</w:t>
      </w:r>
    </w:hyperlink>
    <w:r w:rsidRPr="00314B8A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0AEB" w14:textId="77777777" w:rsidR="0070381F" w:rsidRDefault="0070381F" w:rsidP="006C3242">
      <w:pPr>
        <w:spacing w:before="0" w:line="240" w:lineRule="auto"/>
      </w:pPr>
      <w:r>
        <w:separator/>
      </w:r>
    </w:p>
  </w:footnote>
  <w:footnote w:type="continuationSeparator" w:id="0">
    <w:p w14:paraId="35D4EA28" w14:textId="77777777" w:rsidR="0070381F" w:rsidRDefault="0070381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C102" w14:textId="74B4C35C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1E20C7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A00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  <w:lang w:eastAsia="en-US"/>
      </w:rPr>
      <w:drawing>
        <wp:inline distT="0" distB="0" distL="0" distR="0" wp14:anchorId="2B28B620" wp14:editId="53DFB7C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6748138">
    <w:abstractNumId w:val="9"/>
  </w:num>
  <w:num w:numId="2" w16cid:durableId="350644814">
    <w:abstractNumId w:val="7"/>
  </w:num>
  <w:num w:numId="3" w16cid:durableId="1051078469">
    <w:abstractNumId w:val="6"/>
  </w:num>
  <w:num w:numId="4" w16cid:durableId="2129621445">
    <w:abstractNumId w:val="5"/>
  </w:num>
  <w:num w:numId="5" w16cid:durableId="719475691">
    <w:abstractNumId w:val="4"/>
  </w:num>
  <w:num w:numId="6" w16cid:durableId="1331372974">
    <w:abstractNumId w:val="8"/>
  </w:num>
  <w:num w:numId="7" w16cid:durableId="604575127">
    <w:abstractNumId w:val="3"/>
  </w:num>
  <w:num w:numId="8" w16cid:durableId="2069452078">
    <w:abstractNumId w:val="2"/>
  </w:num>
  <w:num w:numId="9" w16cid:durableId="873884389">
    <w:abstractNumId w:val="1"/>
  </w:num>
  <w:num w:numId="10" w16cid:durableId="344939272">
    <w:abstractNumId w:val="0"/>
  </w:num>
  <w:num w:numId="11" w16cid:durableId="1777284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1F"/>
    <w:rsid w:val="0003301D"/>
    <w:rsid w:val="000621C2"/>
    <w:rsid w:val="0006468A"/>
    <w:rsid w:val="00065054"/>
    <w:rsid w:val="0008438C"/>
    <w:rsid w:val="00090574"/>
    <w:rsid w:val="000B5AA4"/>
    <w:rsid w:val="000C1C0E"/>
    <w:rsid w:val="000C548A"/>
    <w:rsid w:val="000D27E8"/>
    <w:rsid w:val="000F7BBE"/>
    <w:rsid w:val="00107E03"/>
    <w:rsid w:val="00116764"/>
    <w:rsid w:val="00142BF4"/>
    <w:rsid w:val="0015071F"/>
    <w:rsid w:val="00150DB9"/>
    <w:rsid w:val="00160BE3"/>
    <w:rsid w:val="001665F5"/>
    <w:rsid w:val="00167E40"/>
    <w:rsid w:val="001835EE"/>
    <w:rsid w:val="001928BA"/>
    <w:rsid w:val="00192DD7"/>
    <w:rsid w:val="001A2573"/>
    <w:rsid w:val="001A2AB1"/>
    <w:rsid w:val="001A4D21"/>
    <w:rsid w:val="001B2082"/>
    <w:rsid w:val="001B5F08"/>
    <w:rsid w:val="001C0169"/>
    <w:rsid w:val="001D1D50"/>
    <w:rsid w:val="001D6745"/>
    <w:rsid w:val="001D6CDF"/>
    <w:rsid w:val="001E20C7"/>
    <w:rsid w:val="001E446E"/>
    <w:rsid w:val="001E4C82"/>
    <w:rsid w:val="001F2358"/>
    <w:rsid w:val="00204892"/>
    <w:rsid w:val="002076CF"/>
    <w:rsid w:val="002108B5"/>
    <w:rsid w:val="002154EE"/>
    <w:rsid w:val="002178D1"/>
    <w:rsid w:val="00225845"/>
    <w:rsid w:val="002276D2"/>
    <w:rsid w:val="0023283D"/>
    <w:rsid w:val="002337BF"/>
    <w:rsid w:val="00233C1A"/>
    <w:rsid w:val="00246C3F"/>
    <w:rsid w:val="00250817"/>
    <w:rsid w:val="0026373E"/>
    <w:rsid w:val="00266A32"/>
    <w:rsid w:val="00271C43"/>
    <w:rsid w:val="00290728"/>
    <w:rsid w:val="002978F4"/>
    <w:rsid w:val="002B028D"/>
    <w:rsid w:val="002C0079"/>
    <w:rsid w:val="002C2C46"/>
    <w:rsid w:val="002D4E67"/>
    <w:rsid w:val="002D51A5"/>
    <w:rsid w:val="002D79F3"/>
    <w:rsid w:val="002E6541"/>
    <w:rsid w:val="002E6D93"/>
    <w:rsid w:val="002F482E"/>
    <w:rsid w:val="00314B8A"/>
    <w:rsid w:val="00321395"/>
    <w:rsid w:val="00323D90"/>
    <w:rsid w:val="00327A5B"/>
    <w:rsid w:val="00334924"/>
    <w:rsid w:val="003409BC"/>
    <w:rsid w:val="00340F5C"/>
    <w:rsid w:val="00357185"/>
    <w:rsid w:val="00374E35"/>
    <w:rsid w:val="00383829"/>
    <w:rsid w:val="003A3BB1"/>
    <w:rsid w:val="003C0887"/>
    <w:rsid w:val="003F3BA1"/>
    <w:rsid w:val="003F4B29"/>
    <w:rsid w:val="00406F77"/>
    <w:rsid w:val="0042686F"/>
    <w:rsid w:val="004317D8"/>
    <w:rsid w:val="00434183"/>
    <w:rsid w:val="004346DE"/>
    <w:rsid w:val="00443869"/>
    <w:rsid w:val="00447F32"/>
    <w:rsid w:val="0046142A"/>
    <w:rsid w:val="00466527"/>
    <w:rsid w:val="0047346A"/>
    <w:rsid w:val="0047431A"/>
    <w:rsid w:val="004A2ED4"/>
    <w:rsid w:val="004A650C"/>
    <w:rsid w:val="004C3A86"/>
    <w:rsid w:val="004D25D7"/>
    <w:rsid w:val="004D2A40"/>
    <w:rsid w:val="004E11DC"/>
    <w:rsid w:val="004E239D"/>
    <w:rsid w:val="004E6898"/>
    <w:rsid w:val="00502E24"/>
    <w:rsid w:val="00517819"/>
    <w:rsid w:val="00522870"/>
    <w:rsid w:val="00523C73"/>
    <w:rsid w:val="00525DDD"/>
    <w:rsid w:val="005409AC"/>
    <w:rsid w:val="00541022"/>
    <w:rsid w:val="005444DB"/>
    <w:rsid w:val="0055275F"/>
    <w:rsid w:val="005537B5"/>
    <w:rsid w:val="0055516A"/>
    <w:rsid w:val="00573733"/>
    <w:rsid w:val="0058171A"/>
    <w:rsid w:val="00582AE6"/>
    <w:rsid w:val="0058491B"/>
    <w:rsid w:val="005854E2"/>
    <w:rsid w:val="00592EA5"/>
    <w:rsid w:val="005A3170"/>
    <w:rsid w:val="005C55D9"/>
    <w:rsid w:val="005D1DAC"/>
    <w:rsid w:val="005F3AC4"/>
    <w:rsid w:val="00621CC4"/>
    <w:rsid w:val="00632D2B"/>
    <w:rsid w:val="0064524C"/>
    <w:rsid w:val="006515C3"/>
    <w:rsid w:val="00653A60"/>
    <w:rsid w:val="00655178"/>
    <w:rsid w:val="00661CC4"/>
    <w:rsid w:val="00664DDD"/>
    <w:rsid w:val="00671955"/>
    <w:rsid w:val="00677396"/>
    <w:rsid w:val="00681621"/>
    <w:rsid w:val="00685F1D"/>
    <w:rsid w:val="00686585"/>
    <w:rsid w:val="0069120A"/>
    <w:rsid w:val="0069200F"/>
    <w:rsid w:val="006A65CB"/>
    <w:rsid w:val="006B734A"/>
    <w:rsid w:val="006C3242"/>
    <w:rsid w:val="006C7CC0"/>
    <w:rsid w:val="006D39AA"/>
    <w:rsid w:val="006D3C70"/>
    <w:rsid w:val="006E4370"/>
    <w:rsid w:val="006F0A9E"/>
    <w:rsid w:val="006F63F7"/>
    <w:rsid w:val="007025C7"/>
    <w:rsid w:val="0070381F"/>
    <w:rsid w:val="007060A5"/>
    <w:rsid w:val="00706D7A"/>
    <w:rsid w:val="00710832"/>
    <w:rsid w:val="007212E2"/>
    <w:rsid w:val="00722F0D"/>
    <w:rsid w:val="007318F1"/>
    <w:rsid w:val="00733F00"/>
    <w:rsid w:val="0074420E"/>
    <w:rsid w:val="0076159F"/>
    <w:rsid w:val="0076582D"/>
    <w:rsid w:val="00766810"/>
    <w:rsid w:val="00766BF5"/>
    <w:rsid w:val="007712AF"/>
    <w:rsid w:val="007768C8"/>
    <w:rsid w:val="00783E26"/>
    <w:rsid w:val="00785D9F"/>
    <w:rsid w:val="00793376"/>
    <w:rsid w:val="007973CE"/>
    <w:rsid w:val="007B0596"/>
    <w:rsid w:val="007B4EDC"/>
    <w:rsid w:val="007B5A88"/>
    <w:rsid w:val="007B5BC0"/>
    <w:rsid w:val="007B69FD"/>
    <w:rsid w:val="007B6B30"/>
    <w:rsid w:val="007C146B"/>
    <w:rsid w:val="007C3BC7"/>
    <w:rsid w:val="007C3BCD"/>
    <w:rsid w:val="007D078C"/>
    <w:rsid w:val="007D4ACF"/>
    <w:rsid w:val="007F0787"/>
    <w:rsid w:val="00802FB8"/>
    <w:rsid w:val="00807289"/>
    <w:rsid w:val="0081012C"/>
    <w:rsid w:val="00810B7B"/>
    <w:rsid w:val="00815085"/>
    <w:rsid w:val="0082358A"/>
    <w:rsid w:val="008235CD"/>
    <w:rsid w:val="008247DE"/>
    <w:rsid w:val="00835138"/>
    <w:rsid w:val="00836509"/>
    <w:rsid w:val="00840B10"/>
    <w:rsid w:val="00850987"/>
    <w:rsid w:val="008513CB"/>
    <w:rsid w:val="0085424D"/>
    <w:rsid w:val="00864513"/>
    <w:rsid w:val="00867A06"/>
    <w:rsid w:val="008707A7"/>
    <w:rsid w:val="00873048"/>
    <w:rsid w:val="0087383D"/>
    <w:rsid w:val="0089148B"/>
    <w:rsid w:val="00897507"/>
    <w:rsid w:val="008A7F84"/>
    <w:rsid w:val="008B1C5B"/>
    <w:rsid w:val="008C2ED5"/>
    <w:rsid w:val="008D5ACE"/>
    <w:rsid w:val="008D6DCD"/>
    <w:rsid w:val="008D7AFA"/>
    <w:rsid w:val="008D7F67"/>
    <w:rsid w:val="008F6E4F"/>
    <w:rsid w:val="00906E67"/>
    <w:rsid w:val="0091702E"/>
    <w:rsid w:val="00923B0C"/>
    <w:rsid w:val="009306AA"/>
    <w:rsid w:val="00932548"/>
    <w:rsid w:val="0094021C"/>
    <w:rsid w:val="00951558"/>
    <w:rsid w:val="00952F86"/>
    <w:rsid w:val="00954B60"/>
    <w:rsid w:val="00971237"/>
    <w:rsid w:val="00982B28"/>
    <w:rsid w:val="009A1F18"/>
    <w:rsid w:val="009C6A8D"/>
    <w:rsid w:val="009C7C2A"/>
    <w:rsid w:val="009D313F"/>
    <w:rsid w:val="009E6E3C"/>
    <w:rsid w:val="009F42B5"/>
    <w:rsid w:val="00A1185E"/>
    <w:rsid w:val="00A14FD6"/>
    <w:rsid w:val="00A20E96"/>
    <w:rsid w:val="00A22F87"/>
    <w:rsid w:val="00A2546F"/>
    <w:rsid w:val="00A44F8C"/>
    <w:rsid w:val="00A47A5A"/>
    <w:rsid w:val="00A511A6"/>
    <w:rsid w:val="00A6683B"/>
    <w:rsid w:val="00A67F4E"/>
    <w:rsid w:val="00A97F94"/>
    <w:rsid w:val="00AA7EA2"/>
    <w:rsid w:val="00AB25E0"/>
    <w:rsid w:val="00AC1A8C"/>
    <w:rsid w:val="00AC2052"/>
    <w:rsid w:val="00AF1B90"/>
    <w:rsid w:val="00B03099"/>
    <w:rsid w:val="00B05BC8"/>
    <w:rsid w:val="00B06979"/>
    <w:rsid w:val="00B20C86"/>
    <w:rsid w:val="00B238EB"/>
    <w:rsid w:val="00B3122E"/>
    <w:rsid w:val="00B5698E"/>
    <w:rsid w:val="00B64B47"/>
    <w:rsid w:val="00B77943"/>
    <w:rsid w:val="00BE30F4"/>
    <w:rsid w:val="00BF4038"/>
    <w:rsid w:val="00BF6EAA"/>
    <w:rsid w:val="00C00291"/>
    <w:rsid w:val="00C002DE"/>
    <w:rsid w:val="00C07558"/>
    <w:rsid w:val="00C11B62"/>
    <w:rsid w:val="00C24EB0"/>
    <w:rsid w:val="00C53BF8"/>
    <w:rsid w:val="00C644D5"/>
    <w:rsid w:val="00C66157"/>
    <w:rsid w:val="00C674FE"/>
    <w:rsid w:val="00C67501"/>
    <w:rsid w:val="00C75633"/>
    <w:rsid w:val="00C97C45"/>
    <w:rsid w:val="00CB10B9"/>
    <w:rsid w:val="00CC6A27"/>
    <w:rsid w:val="00CE2EE1"/>
    <w:rsid w:val="00CE331F"/>
    <w:rsid w:val="00CE3349"/>
    <w:rsid w:val="00CE36E5"/>
    <w:rsid w:val="00CF27F5"/>
    <w:rsid w:val="00CF3DD0"/>
    <w:rsid w:val="00CF3FFD"/>
    <w:rsid w:val="00D0670F"/>
    <w:rsid w:val="00D10CCF"/>
    <w:rsid w:val="00D302D1"/>
    <w:rsid w:val="00D32A73"/>
    <w:rsid w:val="00D6467F"/>
    <w:rsid w:val="00D769E7"/>
    <w:rsid w:val="00D77D0F"/>
    <w:rsid w:val="00D94E9C"/>
    <w:rsid w:val="00DA1CF0"/>
    <w:rsid w:val="00DC1E02"/>
    <w:rsid w:val="00DC24B4"/>
    <w:rsid w:val="00DC3BE3"/>
    <w:rsid w:val="00DC5FB0"/>
    <w:rsid w:val="00DE40AD"/>
    <w:rsid w:val="00DF086D"/>
    <w:rsid w:val="00DF16DC"/>
    <w:rsid w:val="00DF5CD8"/>
    <w:rsid w:val="00E14F91"/>
    <w:rsid w:val="00E45211"/>
    <w:rsid w:val="00E473C5"/>
    <w:rsid w:val="00E73407"/>
    <w:rsid w:val="00E763EE"/>
    <w:rsid w:val="00E842FB"/>
    <w:rsid w:val="00E92863"/>
    <w:rsid w:val="00E95CE9"/>
    <w:rsid w:val="00EB2B67"/>
    <w:rsid w:val="00EB796D"/>
    <w:rsid w:val="00EC4093"/>
    <w:rsid w:val="00EF0410"/>
    <w:rsid w:val="00EF2D0B"/>
    <w:rsid w:val="00EF68A6"/>
    <w:rsid w:val="00F02AD9"/>
    <w:rsid w:val="00F058DC"/>
    <w:rsid w:val="00F16820"/>
    <w:rsid w:val="00F24FC4"/>
    <w:rsid w:val="00F2676C"/>
    <w:rsid w:val="00F60D03"/>
    <w:rsid w:val="00F725D8"/>
    <w:rsid w:val="00F84366"/>
    <w:rsid w:val="00F85089"/>
    <w:rsid w:val="00F974C5"/>
    <w:rsid w:val="00FA6F46"/>
    <w:rsid w:val="00FB6FAA"/>
    <w:rsid w:val="00FC4F3F"/>
    <w:rsid w:val="00FD65BD"/>
    <w:rsid w:val="00FE013F"/>
    <w:rsid w:val="00FE5872"/>
    <w:rsid w:val="00FE6F71"/>
    <w:rsid w:val="00FE7FCA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9B4595D"/>
  <w15:chartTrackingRefBased/>
  <w15:docId w15:val="{BE2C10D3-0334-4419-B30E-1971524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link w:val="RectitleChar"/>
    <w:uiPriority w:val="99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RectitleChar">
    <w:name w:val="Rec_title Char"/>
    <w:link w:val="Rectitle"/>
    <w:uiPriority w:val="99"/>
    <w:rsid w:val="0070381F"/>
    <w:rPr>
      <w:rFonts w:ascii="Dubai" w:hAnsi="Dubai" w:cs="Dubai"/>
      <w:b/>
      <w:bCs/>
      <w:sz w:val="28"/>
      <w:szCs w:val="28"/>
    </w:rPr>
  </w:style>
  <w:style w:type="paragraph" w:customStyle="1" w:styleId="AnnexNo0">
    <w:name w:val="Annex No&amp;"/>
    <w:basedOn w:val="AnnexNo"/>
    <w:rsid w:val="0070381F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ascii="Calibri" w:hAnsi="Calibri" w:cs="Traditional Arabic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20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120A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120A"/>
    <w:rPr>
      <w:vertAlign w:val="superscript"/>
    </w:rPr>
  </w:style>
  <w:style w:type="paragraph" w:styleId="Revision">
    <w:name w:val="Revision"/>
    <w:hidden/>
    <w:uiPriority w:val="99"/>
    <w:semiHidden/>
    <w:rsid w:val="0055275F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26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7FF6-4238-4A69-AA6D-E5E1F2C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Panoussopoulos, Sonia</cp:lastModifiedBy>
  <cp:revision>20</cp:revision>
  <dcterms:created xsi:type="dcterms:W3CDTF">2022-10-17T14:23:00Z</dcterms:created>
  <dcterms:modified xsi:type="dcterms:W3CDTF">2022-10-19T14:09:00Z</dcterms:modified>
</cp:coreProperties>
</file>