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EC5912" w14:paraId="08E1D2CA" w14:textId="77777777" w:rsidTr="004228FA">
        <w:trPr>
          <w:jc w:val="center"/>
        </w:trPr>
        <w:tc>
          <w:tcPr>
            <w:tcW w:w="9889" w:type="dxa"/>
            <w:gridSpan w:val="3"/>
            <w:shd w:val="clear" w:color="auto" w:fill="auto"/>
          </w:tcPr>
          <w:p w14:paraId="4E7719E2" w14:textId="77777777" w:rsidR="00E53DCE" w:rsidRPr="00EC5912" w:rsidRDefault="00E53DCE" w:rsidP="00191B2E">
            <w:pPr>
              <w:spacing w:before="0" w:line="240" w:lineRule="auto"/>
              <w:jc w:val="left"/>
              <w:rPr>
                <w:rFonts w:cstheme="minorHAnsi"/>
                <w:b/>
                <w:bCs/>
                <w:color w:val="808080"/>
                <w:sz w:val="28"/>
                <w:szCs w:val="28"/>
                <w:lang w:val="fr-FR"/>
              </w:rPr>
            </w:pPr>
            <w:r w:rsidRPr="00EC5912">
              <w:rPr>
                <w:rFonts w:cstheme="minorHAnsi"/>
                <w:b/>
                <w:bCs/>
                <w:color w:val="808080"/>
                <w:sz w:val="28"/>
                <w:szCs w:val="28"/>
                <w:lang w:val="fr-FR"/>
              </w:rPr>
              <w:t>Bureau des radiocommunications (BR)</w:t>
            </w:r>
          </w:p>
          <w:p w14:paraId="4A28D2A3" w14:textId="77777777" w:rsidR="00E53DCE" w:rsidRPr="00EC5912" w:rsidRDefault="00E53DCE" w:rsidP="00191B2E">
            <w:pPr>
              <w:spacing w:before="0" w:line="240" w:lineRule="auto"/>
              <w:jc w:val="left"/>
              <w:rPr>
                <w:rFonts w:cstheme="minorHAnsi"/>
                <w:b/>
                <w:bCs/>
                <w:color w:val="808080"/>
                <w:sz w:val="28"/>
                <w:szCs w:val="28"/>
                <w:lang w:val="fr-FR"/>
              </w:rPr>
            </w:pPr>
          </w:p>
          <w:p w14:paraId="1B258165" w14:textId="77777777" w:rsidR="00E53DCE" w:rsidRPr="00EC5912" w:rsidRDefault="00E53DCE" w:rsidP="00191B2E">
            <w:pPr>
              <w:spacing w:before="0" w:line="240" w:lineRule="auto"/>
              <w:jc w:val="left"/>
              <w:rPr>
                <w:rFonts w:cs="Times New Roman Bold"/>
                <w:b/>
                <w:bCs/>
                <w:color w:val="808080"/>
                <w:sz w:val="28"/>
                <w:szCs w:val="28"/>
                <w:lang w:val="fr-FR"/>
              </w:rPr>
            </w:pPr>
          </w:p>
        </w:tc>
      </w:tr>
      <w:tr w:rsidR="00E53DCE" w:rsidRPr="00EC5912" w14:paraId="1FB0E786" w14:textId="77777777" w:rsidTr="004228FA">
        <w:trPr>
          <w:jc w:val="center"/>
        </w:trPr>
        <w:tc>
          <w:tcPr>
            <w:tcW w:w="7054" w:type="dxa"/>
            <w:gridSpan w:val="2"/>
            <w:shd w:val="clear" w:color="auto" w:fill="auto"/>
          </w:tcPr>
          <w:p w14:paraId="5A6053B7" w14:textId="6458A902" w:rsidR="00E53DCE" w:rsidRPr="00EC5912" w:rsidRDefault="00E53DCE" w:rsidP="00191B2E">
            <w:pPr>
              <w:spacing w:before="0" w:line="240" w:lineRule="auto"/>
              <w:jc w:val="left"/>
              <w:rPr>
                <w:sz w:val="28"/>
                <w:szCs w:val="28"/>
                <w:lang w:val="fr-FR"/>
              </w:rPr>
            </w:pPr>
            <w:r w:rsidRPr="00EC5912">
              <w:rPr>
                <w:szCs w:val="24"/>
                <w:lang w:val="fr-FR"/>
              </w:rPr>
              <w:t>Circulaire administrative</w:t>
            </w:r>
          </w:p>
          <w:p w14:paraId="3C78867F" w14:textId="64259763" w:rsidR="00E53DCE" w:rsidRPr="00EC5912" w:rsidRDefault="00AA781A" w:rsidP="00191B2E">
            <w:pPr>
              <w:spacing w:before="0" w:line="240" w:lineRule="auto"/>
              <w:jc w:val="left"/>
              <w:rPr>
                <w:b/>
                <w:bCs/>
                <w:sz w:val="28"/>
                <w:szCs w:val="28"/>
                <w:lang w:val="fr-FR"/>
              </w:rPr>
            </w:pPr>
            <w:r w:rsidRPr="00EC5912">
              <w:rPr>
                <w:b/>
                <w:bCs/>
                <w:szCs w:val="24"/>
                <w:lang w:val="fr-FR"/>
              </w:rPr>
              <w:t>CACE/</w:t>
            </w:r>
            <w:r w:rsidR="00F24336" w:rsidRPr="00EC5912">
              <w:rPr>
                <w:b/>
                <w:bCs/>
                <w:szCs w:val="24"/>
                <w:lang w:val="fr-FR"/>
              </w:rPr>
              <w:t>1041</w:t>
            </w:r>
          </w:p>
        </w:tc>
        <w:tc>
          <w:tcPr>
            <w:tcW w:w="2835" w:type="dxa"/>
            <w:shd w:val="clear" w:color="auto" w:fill="auto"/>
          </w:tcPr>
          <w:p w14:paraId="76CC8901" w14:textId="0FBA63AF" w:rsidR="00E53DCE" w:rsidRPr="00EC5912" w:rsidRDefault="00AA781A" w:rsidP="00191B2E">
            <w:pPr>
              <w:spacing w:before="0" w:line="240" w:lineRule="auto"/>
              <w:jc w:val="right"/>
              <w:rPr>
                <w:sz w:val="28"/>
                <w:szCs w:val="28"/>
                <w:lang w:val="fr-FR"/>
              </w:rPr>
            </w:pPr>
            <w:r w:rsidRPr="00EC5912">
              <w:rPr>
                <w:szCs w:val="24"/>
                <w:lang w:val="fr-FR"/>
              </w:rPr>
              <w:t xml:space="preserve">Le </w:t>
            </w:r>
            <w:r w:rsidR="00EC5912" w:rsidRPr="00EC5912">
              <w:rPr>
                <w:szCs w:val="24"/>
                <w:lang w:val="fr-FR"/>
              </w:rPr>
              <w:t>1</w:t>
            </w:r>
            <w:r w:rsidR="00FD5C57">
              <w:rPr>
                <w:szCs w:val="24"/>
                <w:lang w:val="fr-FR"/>
              </w:rPr>
              <w:t>9</w:t>
            </w:r>
            <w:r w:rsidR="00EC5912" w:rsidRPr="00EC5912">
              <w:rPr>
                <w:szCs w:val="24"/>
                <w:lang w:val="fr-FR"/>
              </w:rPr>
              <w:t xml:space="preserve"> octobre 2022</w:t>
            </w:r>
          </w:p>
        </w:tc>
      </w:tr>
      <w:tr w:rsidR="00E53DCE" w:rsidRPr="00EC5912" w14:paraId="28FF1880" w14:textId="77777777" w:rsidTr="004228FA">
        <w:trPr>
          <w:jc w:val="center"/>
        </w:trPr>
        <w:tc>
          <w:tcPr>
            <w:tcW w:w="9889" w:type="dxa"/>
            <w:gridSpan w:val="3"/>
            <w:shd w:val="clear" w:color="auto" w:fill="auto"/>
          </w:tcPr>
          <w:p w14:paraId="60AEB268" w14:textId="77777777" w:rsidR="00E53DCE" w:rsidRPr="00EC5912" w:rsidRDefault="00E53DCE" w:rsidP="00191B2E">
            <w:pPr>
              <w:spacing w:before="0" w:line="240" w:lineRule="auto"/>
              <w:jc w:val="left"/>
              <w:rPr>
                <w:rFonts w:cs="Arial"/>
                <w:szCs w:val="24"/>
                <w:lang w:val="fr-FR"/>
              </w:rPr>
            </w:pPr>
          </w:p>
        </w:tc>
      </w:tr>
      <w:tr w:rsidR="00E53DCE" w:rsidRPr="00EC5912" w14:paraId="1E8AD95B" w14:textId="77777777" w:rsidTr="004228FA">
        <w:trPr>
          <w:jc w:val="center"/>
        </w:trPr>
        <w:tc>
          <w:tcPr>
            <w:tcW w:w="9889" w:type="dxa"/>
            <w:gridSpan w:val="3"/>
            <w:shd w:val="clear" w:color="auto" w:fill="auto"/>
          </w:tcPr>
          <w:p w14:paraId="5D5B9C5F" w14:textId="77777777" w:rsidR="00E53DCE" w:rsidRPr="00EC5912" w:rsidRDefault="00E53DCE" w:rsidP="00191B2E">
            <w:pPr>
              <w:spacing w:before="0" w:line="240" w:lineRule="auto"/>
              <w:jc w:val="left"/>
              <w:rPr>
                <w:szCs w:val="24"/>
                <w:lang w:val="fr-FR"/>
              </w:rPr>
            </w:pPr>
          </w:p>
        </w:tc>
      </w:tr>
      <w:tr w:rsidR="00E53DCE" w:rsidRPr="00FD5C57" w14:paraId="336B859C" w14:textId="77777777" w:rsidTr="004228FA">
        <w:trPr>
          <w:jc w:val="center"/>
        </w:trPr>
        <w:tc>
          <w:tcPr>
            <w:tcW w:w="9889" w:type="dxa"/>
            <w:gridSpan w:val="3"/>
            <w:shd w:val="clear" w:color="auto" w:fill="auto"/>
          </w:tcPr>
          <w:p w14:paraId="43DA93F9" w14:textId="38589947" w:rsidR="00E53DCE" w:rsidRPr="00EC5912" w:rsidRDefault="00F24336" w:rsidP="00191B2E">
            <w:pPr>
              <w:spacing w:before="0" w:line="240" w:lineRule="auto"/>
              <w:jc w:val="left"/>
              <w:rPr>
                <w:b/>
                <w:bCs/>
                <w:szCs w:val="24"/>
                <w:lang w:val="fr-FR"/>
              </w:rPr>
            </w:pPr>
            <w:r w:rsidRPr="00EC5912">
              <w:rPr>
                <w:b/>
                <w:bCs/>
                <w:szCs w:val="24"/>
                <w:lang w:val="fr-FR"/>
              </w:rPr>
              <w:t>Aux Administrations des États Membres de l'UIT, aux Membres du Secteur des radiocommunications, aux Associés de l'UIT-R participant aux travaux de la Commission d'études 6 des radiocommunications et aux établissements universitaires participant aux travaux de l'UIT</w:t>
            </w:r>
          </w:p>
        </w:tc>
      </w:tr>
      <w:tr w:rsidR="00E53DCE" w:rsidRPr="00FD5C57" w14:paraId="505A369A" w14:textId="77777777" w:rsidTr="004228FA">
        <w:trPr>
          <w:jc w:val="center"/>
        </w:trPr>
        <w:tc>
          <w:tcPr>
            <w:tcW w:w="9889" w:type="dxa"/>
            <w:gridSpan w:val="3"/>
            <w:shd w:val="clear" w:color="auto" w:fill="auto"/>
          </w:tcPr>
          <w:p w14:paraId="3EF17675" w14:textId="77777777" w:rsidR="00E53DCE" w:rsidRPr="00EC5912" w:rsidRDefault="00E53DCE" w:rsidP="00191B2E">
            <w:pPr>
              <w:spacing w:before="0" w:line="240" w:lineRule="auto"/>
              <w:jc w:val="left"/>
              <w:rPr>
                <w:szCs w:val="24"/>
                <w:lang w:val="fr-FR"/>
              </w:rPr>
            </w:pPr>
          </w:p>
        </w:tc>
      </w:tr>
      <w:tr w:rsidR="00E53DCE" w:rsidRPr="00FD5C57" w14:paraId="4818442E" w14:textId="77777777" w:rsidTr="004228FA">
        <w:trPr>
          <w:jc w:val="center"/>
        </w:trPr>
        <w:tc>
          <w:tcPr>
            <w:tcW w:w="9889" w:type="dxa"/>
            <w:gridSpan w:val="3"/>
            <w:shd w:val="clear" w:color="auto" w:fill="auto"/>
          </w:tcPr>
          <w:p w14:paraId="2FED9274" w14:textId="77777777" w:rsidR="00E53DCE" w:rsidRPr="00EC5912" w:rsidRDefault="00E53DCE" w:rsidP="00191B2E">
            <w:pPr>
              <w:spacing w:before="0" w:line="240" w:lineRule="auto"/>
              <w:jc w:val="left"/>
              <w:rPr>
                <w:szCs w:val="24"/>
                <w:lang w:val="fr-FR"/>
              </w:rPr>
            </w:pPr>
          </w:p>
        </w:tc>
      </w:tr>
      <w:tr w:rsidR="00E53DCE" w:rsidRPr="00FD5C57" w14:paraId="580C2CA3" w14:textId="77777777" w:rsidTr="004228FA">
        <w:trPr>
          <w:jc w:val="center"/>
        </w:trPr>
        <w:tc>
          <w:tcPr>
            <w:tcW w:w="1526" w:type="dxa"/>
            <w:shd w:val="clear" w:color="auto" w:fill="auto"/>
          </w:tcPr>
          <w:p w14:paraId="65FC82F5" w14:textId="77777777" w:rsidR="00E53DCE" w:rsidRPr="00EC5912" w:rsidRDefault="003471C9" w:rsidP="00191B2E">
            <w:pPr>
              <w:tabs>
                <w:tab w:val="clear" w:pos="1588"/>
                <w:tab w:val="left" w:pos="1560"/>
              </w:tabs>
              <w:spacing w:before="0" w:line="240" w:lineRule="auto"/>
              <w:jc w:val="left"/>
              <w:rPr>
                <w:szCs w:val="24"/>
                <w:lang w:val="fr-FR"/>
              </w:rPr>
            </w:pPr>
            <w:r w:rsidRPr="00EC5912">
              <w:rPr>
                <w:lang w:val="fr-FR"/>
              </w:rPr>
              <w:t>Objet</w:t>
            </w:r>
            <w:r w:rsidR="00E53DCE" w:rsidRPr="00EC5912">
              <w:rPr>
                <w:szCs w:val="24"/>
                <w:lang w:val="fr-FR"/>
              </w:rPr>
              <w:t>:</w:t>
            </w:r>
          </w:p>
        </w:tc>
        <w:tc>
          <w:tcPr>
            <w:tcW w:w="8363" w:type="dxa"/>
            <w:gridSpan w:val="2"/>
            <w:vMerge w:val="restart"/>
            <w:shd w:val="clear" w:color="auto" w:fill="auto"/>
          </w:tcPr>
          <w:p w14:paraId="62133A5A" w14:textId="674916B1" w:rsidR="00F24336" w:rsidRPr="00EC5912" w:rsidRDefault="00F24336" w:rsidP="00191B2E">
            <w:pPr>
              <w:tabs>
                <w:tab w:val="clear" w:pos="1588"/>
                <w:tab w:val="left" w:pos="1560"/>
              </w:tabs>
              <w:spacing w:before="0" w:line="240" w:lineRule="auto"/>
              <w:rPr>
                <w:b/>
                <w:bCs/>
                <w:szCs w:val="24"/>
                <w:lang w:val="fr-FR"/>
              </w:rPr>
            </w:pPr>
            <w:r w:rsidRPr="00EC5912">
              <w:rPr>
                <w:b/>
                <w:bCs/>
                <w:szCs w:val="24"/>
                <w:lang w:val="fr-FR"/>
              </w:rPr>
              <w:t>Commission d'étude</w:t>
            </w:r>
            <w:r w:rsidR="0044304A" w:rsidRPr="00EC5912">
              <w:rPr>
                <w:b/>
                <w:bCs/>
                <w:szCs w:val="24"/>
                <w:lang w:val="fr-FR"/>
              </w:rPr>
              <w:t>s</w:t>
            </w:r>
            <w:r w:rsidRPr="00EC5912">
              <w:rPr>
                <w:b/>
                <w:bCs/>
                <w:szCs w:val="24"/>
                <w:lang w:val="fr-FR"/>
              </w:rPr>
              <w:t xml:space="preserve"> </w:t>
            </w:r>
            <w:sdt>
              <w:sdtPr>
                <w:rPr>
                  <w:b/>
                  <w:bCs/>
                  <w:szCs w:val="24"/>
                  <w:lang w:val="fr-FR"/>
                </w:rPr>
                <w:alias w:val="Numéro CE"/>
                <w:tag w:val="X"/>
                <w:id w:val="-1935197461"/>
                <w:placeholder>
                  <w:docPart w:val="C80E50EAB7E04EDDB4C690D0E80F17D6"/>
                </w:placeholder>
                <w:comboBox>
                  <w:listItem w:displayText="[X]" w:value="[X]"/>
                  <w:listItem w:displayText="1" w:value="1"/>
                  <w:listItem w:displayText="3" w:value="3"/>
                  <w:listItem w:displayText="4" w:value="4"/>
                  <w:listItem w:displayText="5" w:value="5"/>
                  <w:listItem w:displayText="6" w:value="6"/>
                  <w:listItem w:displayText="7" w:value="7"/>
                </w:comboBox>
              </w:sdtPr>
              <w:sdtEndPr/>
              <w:sdtContent>
                <w:r w:rsidRPr="00EC5912">
                  <w:rPr>
                    <w:b/>
                    <w:bCs/>
                    <w:szCs w:val="24"/>
                    <w:lang w:val="fr-FR"/>
                  </w:rPr>
                  <w:t>6</w:t>
                </w:r>
              </w:sdtContent>
            </w:sdt>
            <w:r w:rsidRPr="00EC5912">
              <w:rPr>
                <w:b/>
                <w:bCs/>
                <w:szCs w:val="24"/>
                <w:lang w:val="fr-FR"/>
              </w:rPr>
              <w:t xml:space="preserve"> des radiocommunications </w:t>
            </w:r>
            <w:sdt>
              <w:sdtPr>
                <w:rPr>
                  <w:b/>
                  <w:bCs/>
                  <w:szCs w:val="24"/>
                  <w:lang w:val="fr-FR"/>
                </w:rPr>
                <w:alias w:val="(Titre CE)"/>
                <w:tag w:val="(Titre CE)"/>
                <w:id w:val="1740519501"/>
                <w:placeholder>
                  <w:docPart w:val="8BA3548AA1194DC8B67F168832E90968"/>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Pr="00EC5912">
                  <w:rPr>
                    <w:b/>
                    <w:bCs/>
                    <w:szCs w:val="24"/>
                    <w:lang w:val="fr-FR"/>
                  </w:rPr>
                  <w:t>(Service de radiodiffusion)</w:t>
                </w:r>
              </w:sdtContent>
            </w:sdt>
          </w:p>
          <w:p w14:paraId="2338E093" w14:textId="70917CAA" w:rsidR="00E53DCE" w:rsidRPr="00EC5912" w:rsidRDefault="001E2095" w:rsidP="00191B2E">
            <w:pPr>
              <w:tabs>
                <w:tab w:val="clear" w:pos="1588"/>
                <w:tab w:val="left" w:pos="1560"/>
              </w:tabs>
              <w:spacing w:before="60" w:line="240" w:lineRule="auto"/>
              <w:ind w:left="794" w:hanging="794"/>
              <w:rPr>
                <w:b/>
                <w:bCs/>
                <w:szCs w:val="24"/>
                <w:lang w:val="fr-FR"/>
              </w:rPr>
            </w:pPr>
            <w:r w:rsidRPr="00EC5912">
              <w:rPr>
                <w:b/>
                <w:bCs/>
                <w:szCs w:val="24"/>
                <w:lang w:val="fr-FR"/>
              </w:rPr>
              <w:t>–</w:t>
            </w:r>
            <w:r w:rsidR="00F24336" w:rsidRPr="00EC5912">
              <w:rPr>
                <w:b/>
                <w:bCs/>
                <w:szCs w:val="24"/>
                <w:lang w:val="fr-FR"/>
              </w:rPr>
              <w:tab/>
              <w:t>Proposition d'adoption de 2 projets de nouvelle Recommandation UIT</w:t>
            </w:r>
            <w:r w:rsidR="00F24336" w:rsidRPr="00EC5912">
              <w:rPr>
                <w:b/>
                <w:bCs/>
                <w:szCs w:val="24"/>
                <w:lang w:val="fr-FR"/>
              </w:rPr>
              <w:noBreakHyphen/>
              <w:t>R et de 6 projets de Recommandation UIT-R révisée et approbation</w:t>
            </w:r>
            <w:r w:rsidR="0044304A" w:rsidRPr="00EC5912">
              <w:rPr>
                <w:b/>
                <w:bCs/>
                <w:szCs w:val="24"/>
                <w:lang w:val="fr-FR"/>
              </w:rPr>
              <w:t xml:space="preserve"> </w:t>
            </w:r>
            <w:r w:rsidR="00F24336" w:rsidRPr="00EC5912">
              <w:rPr>
                <w:b/>
                <w:bCs/>
                <w:szCs w:val="24"/>
                <w:lang w:val="fr-FR"/>
              </w:rPr>
              <w:t>simultanée par correspondance de ces projets, conformément</w:t>
            </w:r>
            <w:r w:rsidR="0044304A" w:rsidRPr="00EC5912">
              <w:rPr>
                <w:b/>
                <w:bCs/>
                <w:szCs w:val="24"/>
                <w:lang w:val="fr-FR"/>
              </w:rPr>
              <w:t xml:space="preserve"> </w:t>
            </w:r>
            <w:r w:rsidR="00F24336" w:rsidRPr="00EC5912">
              <w:rPr>
                <w:b/>
                <w:bCs/>
                <w:szCs w:val="24"/>
                <w:lang w:val="fr-FR"/>
              </w:rPr>
              <w:t>au § A2.6.2.4 de la Résolution UIT-R 1-8 (Procédure d'adoption et d'approbation simultanées par correspondance</w:t>
            </w:r>
          </w:p>
        </w:tc>
      </w:tr>
      <w:tr w:rsidR="00E53DCE" w:rsidRPr="00FD5C57" w14:paraId="4482CA0D" w14:textId="77777777" w:rsidTr="004228FA">
        <w:trPr>
          <w:jc w:val="center"/>
        </w:trPr>
        <w:tc>
          <w:tcPr>
            <w:tcW w:w="1526" w:type="dxa"/>
            <w:shd w:val="clear" w:color="auto" w:fill="auto"/>
          </w:tcPr>
          <w:p w14:paraId="66193CC2" w14:textId="77777777" w:rsidR="00E53DCE" w:rsidRPr="00EC5912" w:rsidRDefault="00E53DCE" w:rsidP="00191B2E">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13CCC9E" w14:textId="77777777" w:rsidR="00E53DCE" w:rsidRPr="00EC5912" w:rsidRDefault="00E53DCE" w:rsidP="00191B2E">
            <w:pPr>
              <w:tabs>
                <w:tab w:val="clear" w:pos="1588"/>
                <w:tab w:val="left" w:pos="1560"/>
              </w:tabs>
              <w:spacing w:before="0" w:line="240" w:lineRule="auto"/>
              <w:rPr>
                <w:b/>
                <w:bCs/>
                <w:szCs w:val="24"/>
                <w:lang w:val="fr-FR"/>
              </w:rPr>
            </w:pPr>
          </w:p>
        </w:tc>
      </w:tr>
      <w:tr w:rsidR="00E53DCE" w:rsidRPr="00FD5C57" w14:paraId="3E39C6B7" w14:textId="77777777" w:rsidTr="004228FA">
        <w:trPr>
          <w:jc w:val="center"/>
        </w:trPr>
        <w:tc>
          <w:tcPr>
            <w:tcW w:w="1526" w:type="dxa"/>
            <w:shd w:val="clear" w:color="auto" w:fill="auto"/>
          </w:tcPr>
          <w:p w14:paraId="688E29EA" w14:textId="77777777" w:rsidR="00E53DCE" w:rsidRPr="00EC5912" w:rsidRDefault="00E53DCE" w:rsidP="00191B2E">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30EAE401" w14:textId="77777777" w:rsidR="00E53DCE" w:rsidRPr="00EC5912" w:rsidRDefault="00E53DCE" w:rsidP="00191B2E">
            <w:pPr>
              <w:tabs>
                <w:tab w:val="clear" w:pos="1588"/>
                <w:tab w:val="left" w:pos="1560"/>
              </w:tabs>
              <w:spacing w:before="0" w:line="240" w:lineRule="auto"/>
              <w:rPr>
                <w:b/>
                <w:bCs/>
                <w:szCs w:val="24"/>
                <w:lang w:val="fr-FR"/>
              </w:rPr>
            </w:pPr>
          </w:p>
        </w:tc>
      </w:tr>
      <w:tr w:rsidR="00E53DCE" w:rsidRPr="00FD5C57" w14:paraId="09540ABC" w14:textId="77777777" w:rsidTr="004228FA">
        <w:trPr>
          <w:jc w:val="center"/>
        </w:trPr>
        <w:tc>
          <w:tcPr>
            <w:tcW w:w="9889" w:type="dxa"/>
            <w:gridSpan w:val="3"/>
            <w:shd w:val="clear" w:color="auto" w:fill="auto"/>
          </w:tcPr>
          <w:p w14:paraId="404A9C1E" w14:textId="77777777" w:rsidR="00E53DCE" w:rsidRPr="00EC5912" w:rsidRDefault="00E53DCE" w:rsidP="00191B2E">
            <w:pPr>
              <w:spacing w:before="0" w:line="240" w:lineRule="auto"/>
              <w:jc w:val="left"/>
              <w:rPr>
                <w:b/>
                <w:bCs/>
                <w:szCs w:val="24"/>
                <w:lang w:val="fr-FR"/>
              </w:rPr>
            </w:pPr>
          </w:p>
        </w:tc>
      </w:tr>
    </w:tbl>
    <w:p w14:paraId="435D9718" w14:textId="72CE4078" w:rsidR="00594985" w:rsidRPr="00EC5912" w:rsidRDefault="00594985" w:rsidP="00AD637E">
      <w:pPr>
        <w:spacing w:before="360" w:line="240" w:lineRule="auto"/>
        <w:rPr>
          <w:szCs w:val="24"/>
          <w:lang w:val="fr-FR"/>
        </w:rPr>
      </w:pPr>
      <w:r w:rsidRPr="00EC5912">
        <w:rPr>
          <w:szCs w:val="24"/>
          <w:lang w:val="fr-FR"/>
        </w:rPr>
        <w:t xml:space="preserve">À sa réunion tenue le 30 </w:t>
      </w:r>
      <w:r w:rsidR="00CD64DB" w:rsidRPr="00EC5912">
        <w:rPr>
          <w:szCs w:val="24"/>
          <w:lang w:val="fr-FR"/>
        </w:rPr>
        <w:t>s</w:t>
      </w:r>
      <w:r w:rsidRPr="00EC5912">
        <w:rPr>
          <w:szCs w:val="24"/>
          <w:lang w:val="fr-FR"/>
        </w:rPr>
        <w:t>eptembre 2022, la Commission d'études 6 des radiocommunications a décidé de demander l'adoption par correspondance de 2 projets de nouvelle Recommandation UIT</w:t>
      </w:r>
      <w:r w:rsidR="00AD637E">
        <w:rPr>
          <w:szCs w:val="24"/>
          <w:lang w:val="fr-FR"/>
        </w:rPr>
        <w:noBreakHyphen/>
      </w:r>
      <w:r w:rsidRPr="00EC5912">
        <w:rPr>
          <w:szCs w:val="24"/>
          <w:lang w:val="fr-FR"/>
        </w:rPr>
        <w:t>R et de 6 projets de Recommandation UIT-R révisée (§ A2.6.2 de la Résolution UIT-R 1-8) et a décidé en outre d'appliquer la procédure d'adoption et d'approbation simultanées par correspondance (PAAS), conformément au § A2.6.2.4 de la Résolution UIT-R 1-8. Les titres et résumés des projets de Recommandation figurent dans l'Annexe de la présente lettre. Un État Membre qui soulève une objection au sujet de l'adoption d'un projet de Recommandation est prié d'informer le Directeur et le Président de la Commission d'études des raisons de cette objection.</w:t>
      </w:r>
    </w:p>
    <w:p w14:paraId="787A5B91" w14:textId="10094152" w:rsidR="00594985" w:rsidRPr="00EC5912" w:rsidRDefault="00594985" w:rsidP="00AD637E">
      <w:pPr>
        <w:spacing w:line="240" w:lineRule="auto"/>
        <w:rPr>
          <w:szCs w:val="24"/>
          <w:lang w:val="fr-FR"/>
        </w:rPr>
      </w:pPr>
      <w:r w:rsidRPr="00EC5912">
        <w:rPr>
          <w:szCs w:val="24"/>
          <w:lang w:val="fr-FR"/>
        </w:rPr>
        <w:t xml:space="preserve">La période d'examen durera deux mois, jusqu'au </w:t>
      </w:r>
      <w:r w:rsidRPr="00EC5912">
        <w:rPr>
          <w:szCs w:val="24"/>
          <w:u w:val="single"/>
          <w:lang w:val="fr-FR"/>
        </w:rPr>
        <w:t>1</w:t>
      </w:r>
      <w:r w:rsidR="00FD5C57">
        <w:rPr>
          <w:szCs w:val="24"/>
          <w:u w:val="single"/>
          <w:lang w:val="fr-FR"/>
        </w:rPr>
        <w:t>9</w:t>
      </w:r>
      <w:r w:rsidRPr="00EC5912">
        <w:rPr>
          <w:szCs w:val="24"/>
          <w:u w:val="single"/>
          <w:lang w:val="fr-FR"/>
        </w:rPr>
        <w:t xml:space="preserve"> décembre 2022</w:t>
      </w:r>
      <w:r w:rsidRPr="00EC5912">
        <w:rPr>
          <w:szCs w:val="24"/>
          <w:lang w:val="fr-FR"/>
        </w:rPr>
        <w:t>. Si, au cours de cette période, aucun État Membre ne soulève d'objection, les projets de Recommandation seront considérés comme adoptés par la Commission d'études 6. En outre, puisque la procédure PAAS est appliquée, l'adoption des projets de Recommandation est considérée comme valant approbation.</w:t>
      </w:r>
    </w:p>
    <w:p w14:paraId="0917C071" w14:textId="79BA4D9B" w:rsidR="00594985" w:rsidRPr="00EC5912" w:rsidRDefault="00594985" w:rsidP="00AD637E">
      <w:pPr>
        <w:spacing w:line="240" w:lineRule="auto"/>
        <w:rPr>
          <w:szCs w:val="24"/>
          <w:lang w:val="fr-FR"/>
        </w:rPr>
      </w:pPr>
      <w:r w:rsidRPr="00EC5912">
        <w:rPr>
          <w:szCs w:val="24"/>
          <w:lang w:val="fr-FR"/>
        </w:rPr>
        <w:t>Après la date limite mentionnée ci-dessus, les résultats des procédures susmentionnées seront communiqués dans une Circulaire administrative et les Recommandations approuvées seront publiées dans les meilleurs délais (voir</w:t>
      </w:r>
      <w:r w:rsidR="008778B7" w:rsidRPr="00EC5912">
        <w:rPr>
          <w:szCs w:val="24"/>
          <w:lang w:val="fr-FR"/>
        </w:rPr>
        <w:t xml:space="preserve"> </w:t>
      </w:r>
      <w:hyperlink r:id="rId8" w:history="1">
        <w:r w:rsidR="00A56B1F" w:rsidRPr="00EC5912">
          <w:rPr>
            <w:rStyle w:val="Hyperlink"/>
            <w:szCs w:val="24"/>
            <w:lang w:val="fr-FR"/>
          </w:rPr>
          <w:t>http://www.itu.int/pub/R-REC</w:t>
        </w:r>
      </w:hyperlink>
      <w:r w:rsidRPr="00EC5912">
        <w:rPr>
          <w:szCs w:val="24"/>
          <w:lang w:val="fr-FR"/>
        </w:rPr>
        <w:t>)</w:t>
      </w:r>
      <w:r w:rsidR="008778B7" w:rsidRPr="00EC5912">
        <w:rPr>
          <w:szCs w:val="24"/>
          <w:lang w:val="fr-FR"/>
        </w:rPr>
        <w:t>.</w:t>
      </w:r>
    </w:p>
    <w:p w14:paraId="6F3E5EC7" w14:textId="77777777" w:rsidR="00594985" w:rsidRPr="00EC5912" w:rsidRDefault="00594985" w:rsidP="00A56B1F">
      <w:pPr>
        <w:spacing w:line="240" w:lineRule="auto"/>
        <w:jc w:val="left"/>
        <w:rPr>
          <w:szCs w:val="24"/>
          <w:lang w:val="fr-FR"/>
        </w:rPr>
      </w:pPr>
      <w:r w:rsidRPr="00EC5912">
        <w:rPr>
          <w:szCs w:val="24"/>
          <w:lang w:val="fr-FR"/>
        </w:rPr>
        <w:br w:type="page"/>
      </w:r>
    </w:p>
    <w:p w14:paraId="13D0A4F2" w14:textId="3F8F82A1" w:rsidR="00D35AB9" w:rsidRPr="00191B2E" w:rsidRDefault="00594985" w:rsidP="00AD637E">
      <w:pPr>
        <w:spacing w:line="240" w:lineRule="auto"/>
        <w:rPr>
          <w:rFonts w:asciiTheme="minorHAnsi" w:hAnsiTheme="minorHAnsi" w:cstheme="minorHAnsi"/>
          <w:spacing w:val="-4"/>
          <w:szCs w:val="24"/>
          <w:lang w:val="fr-FR"/>
        </w:rPr>
      </w:pPr>
      <w:r w:rsidRPr="00EC5912">
        <w:rPr>
          <w:rFonts w:asciiTheme="minorHAnsi" w:hAnsiTheme="minorHAnsi" w:cstheme="minorHAnsi"/>
          <w:szCs w:val="24"/>
          <w:lang w:val="fr-FR"/>
        </w:rPr>
        <w:lastRenderedPageBreak/>
        <w:t>Toute organisation membre de l'UIT ayant connaissance d'un brevet détenu en son sein ou</w:t>
      </w:r>
      <w:r w:rsidR="000443EA" w:rsidRPr="00EC5912">
        <w:rPr>
          <w:rFonts w:asciiTheme="minorHAnsi" w:hAnsiTheme="minorHAnsi" w:cstheme="minorHAnsi"/>
          <w:szCs w:val="24"/>
          <w:lang w:val="fr-FR"/>
        </w:rPr>
        <w:t xml:space="preserve"> </w:t>
      </w:r>
      <w:r w:rsidRPr="00EC5912">
        <w:rPr>
          <w:rFonts w:asciiTheme="minorHAnsi" w:hAnsiTheme="minorHAnsi" w:cstheme="minorHAnsi"/>
          <w:szCs w:val="24"/>
          <w:lang w:val="fr-FR"/>
        </w:rPr>
        <w:t>par</w:t>
      </w:r>
      <w:r w:rsidR="000443EA" w:rsidRPr="00EC5912">
        <w:rPr>
          <w:rFonts w:asciiTheme="minorHAnsi" w:hAnsiTheme="minorHAnsi" w:cstheme="minorHAnsi"/>
          <w:szCs w:val="24"/>
          <w:lang w:val="fr-FR"/>
        </w:rPr>
        <w:t xml:space="preserve"> </w:t>
      </w:r>
      <w:r w:rsidRPr="00EC5912">
        <w:rPr>
          <w:rFonts w:asciiTheme="minorHAnsi" w:hAnsiTheme="minorHAnsi" w:cstheme="minorHAnsi"/>
          <w:szCs w:val="24"/>
          <w:lang w:val="fr-FR"/>
        </w:rPr>
        <w:t>d'autres organismes, et susceptible de se rapporter complètement ou en partie à des</w:t>
      </w:r>
      <w:r w:rsidR="000443EA" w:rsidRPr="00EC5912">
        <w:rPr>
          <w:rFonts w:asciiTheme="minorHAnsi" w:hAnsiTheme="minorHAnsi" w:cstheme="minorHAnsi"/>
          <w:szCs w:val="24"/>
          <w:lang w:val="fr-FR"/>
        </w:rPr>
        <w:t xml:space="preserve"> </w:t>
      </w:r>
      <w:r w:rsidRPr="00EC5912">
        <w:rPr>
          <w:rFonts w:asciiTheme="minorHAnsi" w:hAnsiTheme="minorHAnsi" w:cstheme="minorHAnsi"/>
          <w:szCs w:val="24"/>
          <w:lang w:val="fr-FR"/>
        </w:rPr>
        <w:t>éléments des projets de Recommandation mentionnés dans la présente lettre, est priée de</w:t>
      </w:r>
      <w:r w:rsidR="000443EA" w:rsidRPr="00EC5912">
        <w:rPr>
          <w:rFonts w:asciiTheme="minorHAnsi" w:hAnsiTheme="minorHAnsi" w:cstheme="minorHAnsi"/>
          <w:szCs w:val="24"/>
          <w:lang w:val="fr-FR"/>
        </w:rPr>
        <w:t xml:space="preserve"> </w:t>
      </w:r>
      <w:r w:rsidRPr="00EC5912">
        <w:rPr>
          <w:rFonts w:asciiTheme="minorHAnsi" w:hAnsiTheme="minorHAnsi" w:cstheme="minorHAnsi"/>
          <w:szCs w:val="24"/>
          <w:lang w:val="fr-FR"/>
        </w:rPr>
        <w:t xml:space="preserve">transmettre lesdites informations au Secrétariat dans les meilleurs délais. La politique commune en matière de brevets </w:t>
      </w:r>
      <w:r w:rsidRPr="00191B2E">
        <w:rPr>
          <w:rFonts w:asciiTheme="minorHAnsi" w:hAnsiTheme="minorHAnsi" w:cstheme="minorHAnsi"/>
          <w:spacing w:val="-4"/>
          <w:szCs w:val="24"/>
          <w:lang w:val="fr-FR"/>
        </w:rPr>
        <w:t>de l'UIT</w:t>
      </w:r>
      <w:r w:rsidRPr="00191B2E">
        <w:rPr>
          <w:rFonts w:asciiTheme="minorHAnsi" w:hAnsiTheme="minorHAnsi" w:cstheme="minorHAnsi"/>
          <w:spacing w:val="-4"/>
          <w:szCs w:val="24"/>
          <w:lang w:val="fr-FR"/>
        </w:rPr>
        <w:noBreakHyphen/>
        <w:t>T/UIT</w:t>
      </w:r>
      <w:r w:rsidRPr="00191B2E">
        <w:rPr>
          <w:rFonts w:asciiTheme="minorHAnsi" w:hAnsiTheme="minorHAnsi" w:cstheme="minorHAnsi"/>
          <w:spacing w:val="-4"/>
          <w:szCs w:val="24"/>
          <w:lang w:val="fr-FR"/>
        </w:rPr>
        <w:noBreakHyphen/>
        <w:t>R/ISO/CEI est disponible à l'adresse:</w:t>
      </w:r>
      <w:r w:rsidR="008778B7" w:rsidRPr="00191B2E">
        <w:rPr>
          <w:rFonts w:asciiTheme="minorHAnsi" w:hAnsiTheme="minorHAnsi" w:cstheme="minorHAnsi"/>
          <w:spacing w:val="-4"/>
          <w:szCs w:val="24"/>
          <w:lang w:val="fr-FR"/>
        </w:rPr>
        <w:t xml:space="preserve"> </w:t>
      </w:r>
      <w:hyperlink w:history="1"/>
      <w:hyperlink r:id="rId9" w:history="1">
        <w:r w:rsidR="001E2095" w:rsidRPr="00191B2E">
          <w:rPr>
            <w:rStyle w:val="Hyperlink"/>
            <w:rFonts w:asciiTheme="minorHAnsi" w:hAnsiTheme="minorHAnsi" w:cstheme="minorHAnsi"/>
            <w:spacing w:val="-4"/>
            <w:szCs w:val="24"/>
            <w:lang w:val="fr-FR"/>
          </w:rPr>
          <w:t>https://www.itu.int/en/ITU-T/ipr/Pages/policy.aspx</w:t>
        </w:r>
      </w:hyperlink>
      <w:r w:rsidR="008778B7" w:rsidRPr="00191B2E">
        <w:rPr>
          <w:rFonts w:asciiTheme="minorHAnsi" w:hAnsiTheme="minorHAnsi" w:cstheme="minorHAnsi"/>
          <w:spacing w:val="-4"/>
          <w:szCs w:val="24"/>
          <w:lang w:val="fr-FR"/>
        </w:rPr>
        <w:t>.</w:t>
      </w:r>
    </w:p>
    <w:p w14:paraId="465495E1" w14:textId="1DD3CAE3" w:rsidR="002569F7" w:rsidRPr="00EC5912" w:rsidRDefault="004F47EA" w:rsidP="00AD637E">
      <w:pPr>
        <w:spacing w:before="1440" w:line="240" w:lineRule="auto"/>
        <w:jc w:val="left"/>
        <w:rPr>
          <w:szCs w:val="24"/>
          <w:lang w:val="fr-FR"/>
        </w:rPr>
      </w:pPr>
      <w:r w:rsidRPr="00EC5912">
        <w:rPr>
          <w:rFonts w:asciiTheme="minorHAnsi" w:hAnsiTheme="minorHAnsi" w:cstheme="minorHAnsi"/>
          <w:lang w:val="fr-FR"/>
        </w:rPr>
        <w:t>Mario Maniewicz</w:t>
      </w:r>
      <w:r w:rsidR="00E53DCE" w:rsidRPr="00EC5912">
        <w:rPr>
          <w:szCs w:val="24"/>
          <w:lang w:val="fr-FR"/>
        </w:rPr>
        <w:br/>
        <w:t>Directeur</w:t>
      </w:r>
    </w:p>
    <w:p w14:paraId="6C4D39FE" w14:textId="77777777" w:rsidR="001E2095" w:rsidRPr="00EC5912" w:rsidRDefault="001E2095" w:rsidP="008778B7">
      <w:pPr>
        <w:spacing w:before="1440" w:line="240" w:lineRule="auto"/>
        <w:jc w:val="left"/>
        <w:rPr>
          <w:bCs/>
          <w:szCs w:val="24"/>
          <w:lang w:val="fr-FR"/>
        </w:rPr>
      </w:pPr>
      <w:r w:rsidRPr="00EC5912">
        <w:rPr>
          <w:b/>
          <w:bCs/>
          <w:szCs w:val="24"/>
          <w:lang w:val="fr-FR"/>
        </w:rPr>
        <w:t>Annexe:</w:t>
      </w:r>
      <w:r w:rsidRPr="00EC5912">
        <w:rPr>
          <w:b/>
          <w:bCs/>
          <w:szCs w:val="24"/>
          <w:lang w:val="fr-FR"/>
        </w:rPr>
        <w:tab/>
      </w:r>
      <w:r w:rsidRPr="00EC5912">
        <w:rPr>
          <w:bCs/>
          <w:szCs w:val="24"/>
          <w:lang w:val="fr-FR"/>
        </w:rPr>
        <w:t>Titres et résumés des projets de Recommandation</w:t>
      </w:r>
    </w:p>
    <w:p w14:paraId="69B6ACF9" w14:textId="3DDF9732" w:rsidR="001E2095" w:rsidRPr="00EC5912" w:rsidRDefault="001E2095" w:rsidP="00AD637E">
      <w:pPr>
        <w:spacing w:before="1200" w:line="240" w:lineRule="auto"/>
        <w:jc w:val="left"/>
        <w:rPr>
          <w:szCs w:val="24"/>
          <w:lang w:val="fr-FR"/>
        </w:rPr>
      </w:pPr>
      <w:r w:rsidRPr="00EC5912">
        <w:rPr>
          <w:b/>
          <w:bCs/>
          <w:szCs w:val="24"/>
          <w:lang w:val="fr-FR"/>
        </w:rPr>
        <w:t>Documents:</w:t>
      </w:r>
      <w:r w:rsidRPr="00EC5912">
        <w:rPr>
          <w:b/>
          <w:bCs/>
          <w:szCs w:val="24"/>
          <w:lang w:val="fr-FR"/>
        </w:rPr>
        <w:tab/>
      </w:r>
      <w:r w:rsidRPr="00EC5912">
        <w:rPr>
          <w:szCs w:val="24"/>
          <w:lang w:val="fr-FR"/>
        </w:rPr>
        <w:t xml:space="preserve">Documents </w:t>
      </w:r>
      <w:hyperlink r:id="rId10" w:history="1">
        <w:r w:rsidRPr="00EC5912">
          <w:rPr>
            <w:rStyle w:val="Hyperlink"/>
            <w:szCs w:val="24"/>
            <w:lang w:val="fr-FR"/>
          </w:rPr>
          <w:t>6/254(R</w:t>
        </w:r>
        <w:r w:rsidR="00896BBA" w:rsidRPr="00EC5912">
          <w:rPr>
            <w:rStyle w:val="Hyperlink"/>
            <w:szCs w:val="24"/>
            <w:lang w:val="fr-FR"/>
          </w:rPr>
          <w:t>é</w:t>
        </w:r>
        <w:r w:rsidRPr="00EC5912">
          <w:rPr>
            <w:rStyle w:val="Hyperlink"/>
            <w:szCs w:val="24"/>
            <w:lang w:val="fr-FR"/>
          </w:rPr>
          <w:t>v.1)</w:t>
        </w:r>
      </w:hyperlink>
      <w:r w:rsidRPr="00EC5912">
        <w:rPr>
          <w:szCs w:val="24"/>
          <w:lang w:val="fr-FR"/>
        </w:rPr>
        <w:t xml:space="preserve">, </w:t>
      </w:r>
      <w:hyperlink r:id="rId11" w:history="1">
        <w:r w:rsidRPr="00EC5912">
          <w:rPr>
            <w:rStyle w:val="Hyperlink"/>
            <w:szCs w:val="24"/>
            <w:lang w:val="fr-FR"/>
          </w:rPr>
          <w:t>6/260</w:t>
        </w:r>
      </w:hyperlink>
      <w:r w:rsidRPr="00EC5912">
        <w:rPr>
          <w:szCs w:val="24"/>
          <w:lang w:val="fr-FR"/>
        </w:rPr>
        <w:t xml:space="preserve">, </w:t>
      </w:r>
      <w:hyperlink r:id="rId12" w:history="1">
        <w:r w:rsidRPr="00EC5912">
          <w:rPr>
            <w:rStyle w:val="Hyperlink"/>
            <w:szCs w:val="24"/>
            <w:lang w:val="fr-FR"/>
          </w:rPr>
          <w:t>6/262</w:t>
        </w:r>
      </w:hyperlink>
      <w:r w:rsidRPr="00EC5912">
        <w:rPr>
          <w:szCs w:val="24"/>
          <w:lang w:val="fr-FR"/>
        </w:rPr>
        <w:t xml:space="preserve">, </w:t>
      </w:r>
      <w:hyperlink r:id="rId13" w:history="1">
        <w:r w:rsidRPr="00EC5912">
          <w:rPr>
            <w:rStyle w:val="Hyperlink"/>
            <w:szCs w:val="24"/>
            <w:lang w:val="fr-FR"/>
          </w:rPr>
          <w:t>6/264</w:t>
        </w:r>
      </w:hyperlink>
      <w:r w:rsidRPr="00EC5912">
        <w:rPr>
          <w:szCs w:val="24"/>
          <w:lang w:val="fr-FR"/>
        </w:rPr>
        <w:t xml:space="preserve">, </w:t>
      </w:r>
      <w:hyperlink r:id="rId14" w:history="1">
        <w:r w:rsidRPr="00EC5912">
          <w:rPr>
            <w:rStyle w:val="Hyperlink"/>
            <w:szCs w:val="24"/>
            <w:lang w:val="fr-FR"/>
          </w:rPr>
          <w:t>6/265</w:t>
        </w:r>
      </w:hyperlink>
      <w:r w:rsidRPr="00EC5912">
        <w:rPr>
          <w:szCs w:val="24"/>
          <w:lang w:val="fr-FR"/>
        </w:rPr>
        <w:t xml:space="preserve">, </w:t>
      </w:r>
      <w:hyperlink r:id="rId15" w:history="1">
        <w:r w:rsidRPr="00EC5912">
          <w:rPr>
            <w:rStyle w:val="Hyperlink"/>
            <w:szCs w:val="24"/>
            <w:lang w:val="fr-FR"/>
          </w:rPr>
          <w:t>6/270</w:t>
        </w:r>
      </w:hyperlink>
      <w:r w:rsidRPr="00EC5912">
        <w:rPr>
          <w:szCs w:val="24"/>
          <w:lang w:val="fr-FR"/>
        </w:rPr>
        <w:t xml:space="preserve">, </w:t>
      </w:r>
      <w:hyperlink r:id="rId16" w:history="1">
        <w:r w:rsidRPr="00EC5912">
          <w:rPr>
            <w:rStyle w:val="Hyperlink"/>
            <w:szCs w:val="24"/>
            <w:lang w:val="fr-FR"/>
          </w:rPr>
          <w:t>6/275</w:t>
        </w:r>
      </w:hyperlink>
      <w:r w:rsidRPr="00EC5912">
        <w:rPr>
          <w:szCs w:val="24"/>
          <w:lang w:val="fr-FR"/>
        </w:rPr>
        <w:t xml:space="preserve">, </w:t>
      </w:r>
      <w:hyperlink r:id="rId17" w:history="1">
        <w:r w:rsidRPr="00EC5912">
          <w:rPr>
            <w:rStyle w:val="Hyperlink"/>
            <w:szCs w:val="24"/>
            <w:lang w:val="fr-FR"/>
          </w:rPr>
          <w:t>6/276</w:t>
        </w:r>
      </w:hyperlink>
    </w:p>
    <w:p w14:paraId="2016B549" w14:textId="0D05C08D" w:rsidR="001E2095" w:rsidRPr="00EC5912" w:rsidRDefault="001E2095" w:rsidP="00AD637E">
      <w:pPr>
        <w:spacing w:before="360" w:line="240" w:lineRule="auto"/>
        <w:jc w:val="left"/>
        <w:rPr>
          <w:szCs w:val="24"/>
          <w:lang w:val="fr-FR"/>
        </w:rPr>
      </w:pPr>
      <w:r w:rsidRPr="00EC5912">
        <w:rPr>
          <w:szCs w:val="24"/>
          <w:lang w:val="fr-FR"/>
        </w:rPr>
        <w:t xml:space="preserve">Ces documents sont disponibles en format électronique à l'adresse: </w:t>
      </w:r>
      <w:r w:rsidRPr="00EC5912">
        <w:rPr>
          <w:szCs w:val="24"/>
          <w:lang w:val="fr-FR"/>
        </w:rPr>
        <w:br/>
      </w:r>
      <w:hyperlink r:id="rId18" w:history="1">
        <w:r w:rsidRPr="00EC5912">
          <w:rPr>
            <w:rStyle w:val="Hyperlink"/>
            <w:szCs w:val="24"/>
            <w:lang w:val="fr-FR"/>
          </w:rPr>
          <w:t>https://www.itu.int/md/R19-SG06-C/en</w:t>
        </w:r>
      </w:hyperlink>
    </w:p>
    <w:p w14:paraId="4AEBB1AE" w14:textId="4F0C3721" w:rsidR="001E2095" w:rsidRPr="00EC5912" w:rsidRDefault="001E2095" w:rsidP="008778B7">
      <w:pPr>
        <w:tabs>
          <w:tab w:val="clear" w:pos="794"/>
          <w:tab w:val="clear" w:pos="1191"/>
          <w:tab w:val="clear" w:pos="1588"/>
          <w:tab w:val="clear" w:pos="1985"/>
        </w:tabs>
        <w:overflowPunct/>
        <w:autoSpaceDE/>
        <w:autoSpaceDN/>
        <w:adjustRightInd/>
        <w:spacing w:before="0" w:line="240" w:lineRule="auto"/>
        <w:jc w:val="left"/>
        <w:textAlignment w:val="auto"/>
        <w:rPr>
          <w:szCs w:val="24"/>
          <w:u w:val="single"/>
          <w:lang w:val="fr-FR"/>
        </w:rPr>
      </w:pPr>
      <w:r w:rsidRPr="00EC5912">
        <w:rPr>
          <w:szCs w:val="24"/>
          <w:u w:val="single"/>
          <w:lang w:val="fr-FR"/>
        </w:rPr>
        <w:br w:type="page"/>
      </w:r>
    </w:p>
    <w:p w14:paraId="22ABBB71" w14:textId="44358D7E" w:rsidR="001E2095" w:rsidRPr="00EC5912" w:rsidRDefault="0094131B" w:rsidP="00191B2E">
      <w:pPr>
        <w:pStyle w:val="AnnexNoTitle"/>
        <w:spacing w:line="240" w:lineRule="auto"/>
        <w:rPr>
          <w:bCs/>
          <w:sz w:val="28"/>
          <w:szCs w:val="28"/>
          <w:lang w:val="fr-FR"/>
        </w:rPr>
      </w:pPr>
      <w:r w:rsidRPr="00EC5912">
        <w:rPr>
          <w:bCs/>
          <w:sz w:val="28"/>
          <w:lang w:val="fr-FR"/>
        </w:rPr>
        <w:lastRenderedPageBreak/>
        <w:t>Annexe</w:t>
      </w:r>
      <w:r w:rsidR="00692B05" w:rsidRPr="00EC5912">
        <w:rPr>
          <w:bCs/>
          <w:sz w:val="28"/>
          <w:szCs w:val="28"/>
          <w:lang w:val="fr-FR"/>
        </w:rPr>
        <w:t xml:space="preserve"> </w:t>
      </w:r>
      <w:r w:rsidR="00692B05" w:rsidRPr="00EC5912">
        <w:rPr>
          <w:bCs/>
          <w:sz w:val="28"/>
          <w:szCs w:val="28"/>
          <w:lang w:val="fr-FR"/>
        </w:rPr>
        <w:br/>
      </w:r>
      <w:r w:rsidR="00692B05" w:rsidRPr="00EC5912">
        <w:rPr>
          <w:bCs/>
          <w:sz w:val="28"/>
          <w:szCs w:val="28"/>
          <w:lang w:val="fr-FR"/>
        </w:rPr>
        <w:br/>
        <w:t>Titres et résumés des projets de Recommandation UIT R</w:t>
      </w:r>
    </w:p>
    <w:p w14:paraId="7CD7CB18" w14:textId="77777777" w:rsidR="008F2E55" w:rsidRPr="00EC5912" w:rsidRDefault="008F2E55" w:rsidP="00191B2E">
      <w:pPr>
        <w:tabs>
          <w:tab w:val="right" w:pos="9639"/>
        </w:tabs>
        <w:spacing w:before="480" w:line="240" w:lineRule="auto"/>
        <w:rPr>
          <w:rFonts w:asciiTheme="minorHAnsi" w:hAnsiTheme="minorHAnsi" w:cstheme="minorHAnsi"/>
          <w:szCs w:val="24"/>
          <w:lang w:val="fr-FR"/>
        </w:rPr>
      </w:pPr>
      <w:r w:rsidRPr="00EC5912">
        <w:rPr>
          <w:u w:val="single"/>
          <w:lang w:val="fr-FR"/>
        </w:rPr>
        <w:t>Projet de nouvelle Recommandation UIT-R BT.[CCGP]</w:t>
      </w:r>
      <w:r w:rsidRPr="00EC5912">
        <w:rPr>
          <w:lang w:val="fr-FR"/>
        </w:rPr>
        <w:tab/>
        <w:t>Doc. 6/270</w:t>
      </w:r>
    </w:p>
    <w:p w14:paraId="7D975FB6" w14:textId="5DB22619" w:rsidR="008F2E55" w:rsidRPr="00EC5912" w:rsidRDefault="008F2E55" w:rsidP="008778B7">
      <w:pPr>
        <w:pStyle w:val="Rectitle"/>
        <w:rPr>
          <w:rFonts w:asciiTheme="minorHAnsi" w:eastAsia="MS Mincho" w:hAnsiTheme="minorHAnsi" w:cstheme="minorHAnsi"/>
          <w:szCs w:val="28"/>
          <w:lang w:val="fr-FR"/>
        </w:rPr>
      </w:pPr>
      <w:r w:rsidRPr="00EC5912">
        <w:rPr>
          <w:bCs/>
          <w:lang w:val="fr-FR"/>
        </w:rPr>
        <w:t xml:space="preserve">Utilisation de flux de travail multicomposantes pour l'échange </w:t>
      </w:r>
      <w:r w:rsidR="00A56B1F" w:rsidRPr="00EC5912">
        <w:rPr>
          <w:bCs/>
          <w:lang w:val="fr-FR"/>
        </w:rPr>
        <w:br/>
      </w:r>
      <w:r w:rsidRPr="00EC5912">
        <w:rPr>
          <w:bCs/>
          <w:lang w:val="fr-FR"/>
        </w:rPr>
        <w:t>de programmes de télévision en différé</w:t>
      </w:r>
    </w:p>
    <w:p w14:paraId="333FBD08" w14:textId="3E3D7D4C" w:rsidR="008F2E55" w:rsidRPr="00EC5912" w:rsidRDefault="008F2E55" w:rsidP="00191B2E">
      <w:pPr>
        <w:pStyle w:val="Normalaftertitle"/>
        <w:spacing w:before="240"/>
        <w:rPr>
          <w:rFonts w:asciiTheme="minorHAnsi" w:hAnsiTheme="minorHAnsi" w:cstheme="minorHAnsi"/>
          <w:szCs w:val="20"/>
          <w:lang w:val="fr-FR"/>
        </w:rPr>
      </w:pPr>
      <w:r w:rsidRPr="00EC5912">
        <w:rPr>
          <w:lang w:val="fr-FR"/>
        </w:rPr>
        <w:t xml:space="preserve">Selon le Rapport UIT-R BT.2400, intitulé </w:t>
      </w:r>
      <w:r w:rsidR="00982E37" w:rsidRPr="00EC5912">
        <w:rPr>
          <w:lang w:val="fr-FR"/>
        </w:rPr>
        <w:t>«</w:t>
      </w:r>
      <w:r w:rsidRPr="00EC5912">
        <w:rPr>
          <w:lang w:val="fr-FR"/>
        </w:rPr>
        <w:t>Scénarios d'utilisation, exigences et éléments techniques d'une plate-forme mondiale pour le service de radiodiffusion</w:t>
      </w:r>
      <w:r w:rsidR="00982E37" w:rsidRPr="00EC5912">
        <w:rPr>
          <w:lang w:val="fr-FR"/>
        </w:rPr>
        <w:t>»</w:t>
      </w:r>
      <w:r w:rsidRPr="00EC5912">
        <w:rPr>
          <w:lang w:val="fr-FR"/>
        </w:rPr>
        <w:t>, les radiodiffuseurs produisent une large gamme de contenus et de services destinés à être distribués non seulement comme des services traditionnels de programmes de radio et de télévision linéaires</w:t>
      </w:r>
      <w:r w:rsidR="0053656C" w:rsidRPr="00EC5912">
        <w:rPr>
          <w:lang w:val="fr-FR"/>
        </w:rPr>
        <w:t>,</w:t>
      </w:r>
      <w:r w:rsidRPr="00EC5912">
        <w:rPr>
          <w:lang w:val="fr-FR"/>
        </w:rPr>
        <w:t xml:space="preserve"> mais aussi comme des services de transmission de données et de contenus hybrides à la demande, en différé.</w:t>
      </w:r>
    </w:p>
    <w:p w14:paraId="2F43B5BF" w14:textId="0DE678BA" w:rsidR="008F2E55" w:rsidRPr="00EC5912" w:rsidRDefault="008F2E55" w:rsidP="00A56B1F">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Cs w:val="20"/>
          <w:lang w:val="fr-FR"/>
        </w:rPr>
      </w:pPr>
      <w:r w:rsidRPr="00EC5912">
        <w:rPr>
          <w:lang w:val="fr-FR"/>
        </w:rPr>
        <w:t>Pour tirer pleinement parti des options offertes par une plate-forme mondiale</w:t>
      </w:r>
      <w:r w:rsidR="0053656C" w:rsidRPr="00EC5912">
        <w:rPr>
          <w:lang w:val="fr-FR"/>
        </w:rPr>
        <w:t xml:space="preserve">, </w:t>
      </w:r>
      <w:r w:rsidR="00C0623B" w:rsidRPr="00EC5912">
        <w:rPr>
          <w:lang w:val="fr-FR"/>
        </w:rPr>
        <w:t xml:space="preserve">des méthodes </w:t>
      </w:r>
      <w:r w:rsidRPr="00EC5912">
        <w:rPr>
          <w:lang w:val="fr-FR"/>
        </w:rPr>
        <w:t>plus souple</w:t>
      </w:r>
      <w:r w:rsidR="00C0623B" w:rsidRPr="00EC5912">
        <w:rPr>
          <w:lang w:val="fr-FR"/>
        </w:rPr>
        <w:t>s de création des médias sont nécessaires</w:t>
      </w:r>
      <w:r w:rsidRPr="00EC5912">
        <w:rPr>
          <w:lang w:val="fr-FR"/>
        </w:rPr>
        <w:t xml:space="preserve">. Le traitement </w:t>
      </w:r>
      <w:r w:rsidR="00C0623B" w:rsidRPr="00EC5912">
        <w:rPr>
          <w:lang w:val="fr-FR"/>
        </w:rPr>
        <w:t xml:space="preserve">de </w:t>
      </w:r>
      <w:r w:rsidRPr="00EC5912">
        <w:rPr>
          <w:lang w:val="fr-FR"/>
        </w:rPr>
        <w:t xml:space="preserve">contenus multicomposantes permet </w:t>
      </w:r>
      <w:r w:rsidR="00593FDE" w:rsidRPr="00EC5912">
        <w:rPr>
          <w:lang w:val="fr-FR"/>
        </w:rPr>
        <w:t>d</w:t>
      </w:r>
      <w:r w:rsidR="00A56B1F" w:rsidRPr="00EC5912">
        <w:rPr>
          <w:lang w:val="fr-FR"/>
        </w:rPr>
        <w:t>'</w:t>
      </w:r>
      <w:r w:rsidR="00593FDE" w:rsidRPr="00EC5912">
        <w:rPr>
          <w:lang w:val="fr-FR"/>
        </w:rPr>
        <w:t xml:space="preserve">obtenir le grand nombre </w:t>
      </w:r>
      <w:r w:rsidRPr="00EC5912">
        <w:rPr>
          <w:lang w:val="fr-FR"/>
        </w:rPr>
        <w:t xml:space="preserve">de versions ou d'options localisées </w:t>
      </w:r>
      <w:r w:rsidR="00593FDE" w:rsidRPr="00EC5912">
        <w:rPr>
          <w:lang w:val="fr-FR"/>
        </w:rPr>
        <w:t xml:space="preserve">qui sont nécessaires à la </w:t>
      </w:r>
      <w:r w:rsidRPr="00EC5912">
        <w:rPr>
          <w:lang w:val="fr-FR"/>
        </w:rPr>
        <w:t>plate</w:t>
      </w:r>
      <w:r w:rsidR="00A56B1F" w:rsidRPr="00EC5912">
        <w:rPr>
          <w:lang w:val="fr-FR"/>
        </w:rPr>
        <w:noBreakHyphen/>
      </w:r>
      <w:r w:rsidRPr="00EC5912">
        <w:rPr>
          <w:lang w:val="fr-FR"/>
        </w:rPr>
        <w:t>forme mondiale pour l'échange et la fourniture de contenus locaux et internationaux.</w:t>
      </w:r>
    </w:p>
    <w:p w14:paraId="53A0320F" w14:textId="441C5F16" w:rsidR="008F2E55" w:rsidRPr="00EC5912" w:rsidRDefault="00BD429F" w:rsidP="00A56B1F">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Cs w:val="20"/>
          <w:lang w:val="fr-FR"/>
        </w:rPr>
      </w:pPr>
      <w:r w:rsidRPr="00EC5912">
        <w:rPr>
          <w:lang w:val="fr-FR"/>
        </w:rPr>
        <w:t xml:space="preserve">On trouvera dans le </w:t>
      </w:r>
      <w:r w:rsidR="008F2E55" w:rsidRPr="00EC5912">
        <w:rPr>
          <w:lang w:val="fr-FR"/>
        </w:rPr>
        <w:t>projet de nouvelle Recommandat</w:t>
      </w:r>
      <w:r w:rsidR="0053656C" w:rsidRPr="00EC5912">
        <w:rPr>
          <w:lang w:val="fr-FR"/>
        </w:rPr>
        <w:t xml:space="preserve">ion UIT-R BT.[CCGP], intitulé </w:t>
      </w:r>
      <w:r w:rsidR="00982E37" w:rsidRPr="00EC5912">
        <w:rPr>
          <w:lang w:val="fr-FR"/>
        </w:rPr>
        <w:t>«</w:t>
      </w:r>
      <w:r w:rsidR="008F2E55" w:rsidRPr="00EC5912">
        <w:rPr>
          <w:lang w:val="fr-FR"/>
        </w:rPr>
        <w:t>Utilisation de flux de travail multicomposantes pour l'échange de programmes de télévision en différé</w:t>
      </w:r>
      <w:r w:rsidR="00982E37" w:rsidRPr="00EC5912">
        <w:rPr>
          <w:lang w:val="fr-FR"/>
        </w:rPr>
        <w:t>»</w:t>
      </w:r>
      <w:r w:rsidR="0053656C" w:rsidRPr="00EC5912">
        <w:rPr>
          <w:lang w:val="fr-FR"/>
        </w:rPr>
        <w:t>,</w:t>
      </w:r>
      <w:r w:rsidR="008F2E55" w:rsidRPr="00EC5912">
        <w:rPr>
          <w:lang w:val="fr-FR"/>
        </w:rPr>
        <w:t xml:space="preserve"> un aperçu des règles </w:t>
      </w:r>
      <w:r w:rsidR="00593FDE" w:rsidRPr="00EC5912">
        <w:rPr>
          <w:lang w:val="fr-FR"/>
        </w:rPr>
        <w:t>de paramétrage relatives aux</w:t>
      </w:r>
      <w:r w:rsidR="008F2E55" w:rsidRPr="00EC5912">
        <w:rPr>
          <w:lang w:val="fr-FR"/>
        </w:rPr>
        <w:t xml:space="preserve"> flux de travail multicomposantes</w:t>
      </w:r>
      <w:r w:rsidRPr="00EC5912">
        <w:rPr>
          <w:lang w:val="fr-FR"/>
        </w:rPr>
        <w:t>,</w:t>
      </w:r>
      <w:r w:rsidR="008F2E55" w:rsidRPr="00EC5912">
        <w:rPr>
          <w:lang w:val="fr-FR"/>
        </w:rPr>
        <w:t xml:space="preserve"> et un exemple </w:t>
      </w:r>
      <w:r w:rsidRPr="00EC5912">
        <w:rPr>
          <w:lang w:val="fr-FR"/>
        </w:rPr>
        <w:t>informatif de l</w:t>
      </w:r>
      <w:r w:rsidR="00A56B1F" w:rsidRPr="00EC5912">
        <w:rPr>
          <w:lang w:val="fr-FR"/>
        </w:rPr>
        <w:t>'</w:t>
      </w:r>
      <w:r w:rsidRPr="00EC5912">
        <w:rPr>
          <w:lang w:val="fr-FR"/>
        </w:rPr>
        <w:t xml:space="preserve">utilisation de cette </w:t>
      </w:r>
      <w:r w:rsidR="008F2E55" w:rsidRPr="00EC5912">
        <w:rPr>
          <w:lang w:val="fr-FR"/>
        </w:rPr>
        <w:t>application pour l'échange de programmes de télévision en différé.</w:t>
      </w:r>
    </w:p>
    <w:p w14:paraId="43AD42D7" w14:textId="77777777" w:rsidR="008F2E55" w:rsidRPr="00EC5912" w:rsidRDefault="008F2E55" w:rsidP="00191B2E">
      <w:pPr>
        <w:tabs>
          <w:tab w:val="right" w:pos="9639"/>
        </w:tabs>
        <w:spacing w:before="480" w:line="240" w:lineRule="auto"/>
        <w:rPr>
          <w:rFonts w:asciiTheme="minorHAnsi" w:hAnsiTheme="minorHAnsi" w:cstheme="minorHAnsi"/>
          <w:szCs w:val="24"/>
          <w:lang w:val="fr-FR"/>
        </w:rPr>
      </w:pPr>
      <w:r w:rsidRPr="00EC5912">
        <w:rPr>
          <w:u w:val="single"/>
          <w:lang w:val="fr-FR"/>
        </w:rPr>
        <w:t>Projet de nouvelle Recommandation UIT-R BT.[ARCH4IMMERSIVE]</w:t>
      </w:r>
      <w:r w:rsidRPr="00EC5912">
        <w:rPr>
          <w:lang w:val="fr-FR"/>
        </w:rPr>
        <w:tab/>
        <w:t>Doc. 6/276</w:t>
      </w:r>
    </w:p>
    <w:p w14:paraId="68EA0054" w14:textId="6226A454" w:rsidR="008F2E55" w:rsidRPr="00EC5912" w:rsidRDefault="008F2E55" w:rsidP="008778B7">
      <w:pPr>
        <w:pStyle w:val="Rectitle"/>
        <w:rPr>
          <w:rFonts w:asciiTheme="minorHAnsi" w:eastAsia="MS Mincho" w:hAnsiTheme="minorHAnsi" w:cstheme="minorHAnsi"/>
          <w:szCs w:val="28"/>
          <w:lang w:val="fr-FR"/>
        </w:rPr>
      </w:pPr>
      <w:r w:rsidRPr="00EC5912">
        <w:rPr>
          <w:bCs/>
          <w:lang w:val="fr-FR"/>
        </w:rPr>
        <w:t xml:space="preserve">Architecture de système de haut niveau pour la vidéo en immersion pour </w:t>
      </w:r>
      <w:r w:rsidR="0023520C" w:rsidRPr="00EC5912">
        <w:rPr>
          <w:bCs/>
          <w:lang w:val="fr-FR"/>
        </w:rPr>
        <w:br/>
      </w:r>
      <w:r w:rsidRPr="00EC5912">
        <w:rPr>
          <w:bCs/>
          <w:lang w:val="fr-FR"/>
        </w:rPr>
        <w:t>la présentation sur différents types de dispositifs d'affichage</w:t>
      </w:r>
    </w:p>
    <w:p w14:paraId="741B88A1" w14:textId="0F7F4AF4" w:rsidR="008F2E55" w:rsidRPr="00EC5912" w:rsidRDefault="008F2E55" w:rsidP="00191B2E">
      <w:pPr>
        <w:pStyle w:val="Normalaftertitle"/>
        <w:spacing w:before="240"/>
        <w:rPr>
          <w:rFonts w:asciiTheme="minorHAnsi" w:hAnsiTheme="minorHAnsi" w:cstheme="minorHAnsi"/>
          <w:szCs w:val="20"/>
          <w:lang w:val="fr-FR"/>
        </w:rPr>
      </w:pPr>
      <w:r w:rsidRPr="00EC5912">
        <w:rPr>
          <w:lang w:val="fr-FR"/>
        </w:rPr>
        <w:t xml:space="preserve">Cette Recommandation vise à définir une architecture de système de haut niveau pour la présentation de vidéos en immersion sur </w:t>
      </w:r>
      <w:r w:rsidR="00365BCB" w:rsidRPr="00EC5912">
        <w:rPr>
          <w:lang w:val="fr-FR"/>
        </w:rPr>
        <w:t>différents</w:t>
      </w:r>
      <w:r w:rsidRPr="00EC5912">
        <w:rPr>
          <w:lang w:val="fr-FR"/>
        </w:rPr>
        <w:t xml:space="preserve"> types de dispositifs.</w:t>
      </w:r>
    </w:p>
    <w:p w14:paraId="5F557AD4" w14:textId="6BCF3733" w:rsidR="008F2E55" w:rsidRPr="00EC5912" w:rsidRDefault="008F2E55" w:rsidP="008778B7">
      <w:pPr>
        <w:tabs>
          <w:tab w:val="clear" w:pos="794"/>
          <w:tab w:val="clear" w:pos="1191"/>
          <w:tab w:val="clear" w:pos="1588"/>
          <w:tab w:val="clear" w:pos="1985"/>
          <w:tab w:val="left" w:pos="1134"/>
          <w:tab w:val="left" w:pos="1871"/>
          <w:tab w:val="left" w:pos="2268"/>
        </w:tabs>
        <w:spacing w:before="120" w:line="240" w:lineRule="auto"/>
        <w:rPr>
          <w:lang w:val="fr-FR"/>
        </w:rPr>
      </w:pPr>
      <w:r w:rsidRPr="00EC5912">
        <w:rPr>
          <w:lang w:val="fr-FR"/>
        </w:rPr>
        <w:t xml:space="preserve">La vidéo en immersion devrait permettre aux utilisateurs de se déplacer dans un espace vidéo et de regarder la vidéo de façon omnidirectionnelle, depuis tout point de vue, de </w:t>
      </w:r>
      <w:r w:rsidR="00365BCB" w:rsidRPr="00EC5912">
        <w:rPr>
          <w:lang w:val="fr-FR"/>
        </w:rPr>
        <w:t>sorte qu'ils aient le sentiment de se trouver</w:t>
      </w:r>
      <w:r w:rsidRPr="00EC5912">
        <w:rPr>
          <w:lang w:val="fr-FR"/>
        </w:rPr>
        <w:t xml:space="preserve"> dans cet espace. La vidéo en immersion avec 6 degrés de liberté (6DoF), qui permet aux utilisateurs de </w:t>
      </w:r>
      <w:r w:rsidR="00BD429F" w:rsidRPr="00EC5912">
        <w:rPr>
          <w:lang w:val="fr-FR"/>
        </w:rPr>
        <w:t xml:space="preserve">se déplacer </w:t>
      </w:r>
      <w:r w:rsidRPr="00EC5912">
        <w:rPr>
          <w:lang w:val="fr-FR"/>
        </w:rPr>
        <w:t xml:space="preserve">librement dans un contenu de réalité virtuelle (VR) en 3D/à 360 degrés, nécessite un mécanisme </w:t>
      </w:r>
      <w:r w:rsidR="00BD429F" w:rsidRPr="00EC5912">
        <w:rPr>
          <w:lang w:val="fr-FR"/>
        </w:rPr>
        <w:t xml:space="preserve">différent </w:t>
      </w:r>
      <w:r w:rsidRPr="00EC5912">
        <w:rPr>
          <w:lang w:val="fr-FR"/>
        </w:rPr>
        <w:t xml:space="preserve">de celui </w:t>
      </w:r>
      <w:r w:rsidR="00BD429F" w:rsidRPr="00EC5912">
        <w:rPr>
          <w:lang w:val="fr-FR"/>
        </w:rPr>
        <w:t xml:space="preserve">de </w:t>
      </w:r>
      <w:r w:rsidRPr="00EC5912">
        <w:rPr>
          <w:lang w:val="fr-FR"/>
        </w:rPr>
        <w:t xml:space="preserve">la distribution et </w:t>
      </w:r>
      <w:r w:rsidR="00BD429F" w:rsidRPr="00EC5912">
        <w:rPr>
          <w:lang w:val="fr-FR"/>
        </w:rPr>
        <w:t xml:space="preserve">de </w:t>
      </w:r>
      <w:r w:rsidRPr="00EC5912">
        <w:rPr>
          <w:lang w:val="fr-FR"/>
        </w:rPr>
        <w:t>la présentation classiques de vidéos rectangulaires bidimensionnelles. En outre, pour les vidéos en immersion, divers types de dispositifs tels que des écrans volumétriques et des diffuseurs de champs l</w:t>
      </w:r>
      <w:r w:rsidR="00365BCB" w:rsidRPr="00EC5912">
        <w:rPr>
          <w:lang w:val="fr-FR"/>
        </w:rPr>
        <w:t>umineux devraient être utilisés</w:t>
      </w:r>
      <w:r w:rsidRPr="00EC5912">
        <w:rPr>
          <w:lang w:val="fr-FR"/>
        </w:rPr>
        <w:t xml:space="preserve"> en plus des dispositifs actuellement utilisés tels que les visiocasques, les lunettes de réalité augmentée</w:t>
      </w:r>
      <w:r w:rsidR="00365BCB" w:rsidRPr="00EC5912">
        <w:rPr>
          <w:lang w:val="fr-FR"/>
        </w:rPr>
        <w:t xml:space="preserve"> (AR)</w:t>
      </w:r>
      <w:r w:rsidRPr="00EC5912">
        <w:rPr>
          <w:lang w:val="fr-FR"/>
        </w:rPr>
        <w:t xml:space="preserve">, les smartphones et les tablettes, </w:t>
      </w:r>
      <w:r w:rsidR="0059293C" w:rsidRPr="00EC5912">
        <w:rPr>
          <w:lang w:val="fr-FR"/>
        </w:rPr>
        <w:t>de même que</w:t>
      </w:r>
      <w:r w:rsidRPr="00EC5912">
        <w:rPr>
          <w:lang w:val="fr-FR"/>
        </w:rPr>
        <w:t xml:space="preserve"> les écrans plats de télévision classiques.</w:t>
      </w:r>
    </w:p>
    <w:p w14:paraId="07858CDA" w14:textId="0DBBD6FA" w:rsidR="0023520C" w:rsidRPr="00EC5912" w:rsidRDefault="0023520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0"/>
          <w:lang w:val="fr-FR"/>
        </w:rPr>
      </w:pPr>
      <w:r w:rsidRPr="00EC5912">
        <w:rPr>
          <w:rFonts w:asciiTheme="minorHAnsi" w:hAnsiTheme="minorHAnsi" w:cstheme="minorHAnsi"/>
          <w:szCs w:val="20"/>
          <w:lang w:val="fr-FR"/>
        </w:rPr>
        <w:br w:type="page"/>
      </w:r>
    </w:p>
    <w:p w14:paraId="6D55F80C" w14:textId="77777777" w:rsidR="008F2E55" w:rsidRPr="00EC5912" w:rsidRDefault="008F2E55" w:rsidP="00191B2E">
      <w:pPr>
        <w:tabs>
          <w:tab w:val="right" w:pos="9639"/>
        </w:tabs>
        <w:spacing w:before="480" w:line="240" w:lineRule="auto"/>
        <w:rPr>
          <w:rFonts w:asciiTheme="minorHAnsi" w:hAnsiTheme="minorHAnsi" w:cstheme="minorHAnsi"/>
          <w:szCs w:val="24"/>
          <w:lang w:val="fr-FR"/>
        </w:rPr>
      </w:pPr>
      <w:r w:rsidRPr="00EC5912">
        <w:rPr>
          <w:u w:val="single"/>
          <w:lang w:val="fr-FR"/>
        </w:rPr>
        <w:lastRenderedPageBreak/>
        <w:t>Projet de révision de la Recommandation UIT-R BS.775-3</w:t>
      </w:r>
      <w:r w:rsidRPr="00EC5912">
        <w:rPr>
          <w:lang w:val="fr-FR"/>
        </w:rPr>
        <w:tab/>
        <w:t>Doc. 6/254(Rév.1)</w:t>
      </w:r>
    </w:p>
    <w:p w14:paraId="1619C6D1" w14:textId="77777777" w:rsidR="008F2E55" w:rsidRPr="00EC5912" w:rsidRDefault="008F2E55" w:rsidP="008778B7">
      <w:pPr>
        <w:pStyle w:val="Rectitle"/>
        <w:rPr>
          <w:rFonts w:asciiTheme="minorHAnsi" w:eastAsia="MS Mincho" w:hAnsiTheme="minorHAnsi" w:cstheme="minorHAnsi"/>
          <w:szCs w:val="28"/>
          <w:lang w:val="fr-FR"/>
        </w:rPr>
      </w:pPr>
      <w:bookmarkStart w:id="0" w:name="Pre_title"/>
      <w:r w:rsidRPr="00EC5912">
        <w:rPr>
          <w:bCs/>
          <w:lang w:val="fr-FR"/>
        </w:rPr>
        <w:t>Système de son stéréophonique multicanal avec ou sans image associée</w:t>
      </w:r>
      <w:bookmarkEnd w:id="0"/>
    </w:p>
    <w:p w14:paraId="75ED0D79" w14:textId="77777777" w:rsidR="008F2E55" w:rsidRPr="00EC5912" w:rsidRDefault="008F2E55" w:rsidP="00191B2E">
      <w:pPr>
        <w:spacing w:before="240" w:line="240" w:lineRule="auto"/>
        <w:rPr>
          <w:rFonts w:asciiTheme="minorHAnsi" w:eastAsia="MS Mincho" w:hAnsiTheme="minorHAnsi" w:cstheme="minorHAnsi"/>
          <w:szCs w:val="20"/>
          <w:lang w:val="fr-FR"/>
        </w:rPr>
      </w:pPr>
      <w:r w:rsidRPr="00EC5912">
        <w:rPr>
          <w:lang w:val="fr-FR"/>
        </w:rPr>
        <w:t>Ce projet de révision donne des orientations supplémentaires concernant l'utilisation d'effets LFE lorsque des filtres passe-bas sont utilisés.</w:t>
      </w:r>
    </w:p>
    <w:p w14:paraId="222ADB16" w14:textId="75D7845B" w:rsidR="008F2E55" w:rsidRPr="00EC5912" w:rsidRDefault="00226E78" w:rsidP="00432DF2">
      <w:pPr>
        <w:pStyle w:val="enumlev1"/>
        <w:rPr>
          <w:rFonts w:asciiTheme="minorHAnsi" w:eastAsia="MS Mincho" w:hAnsiTheme="minorHAnsi" w:cstheme="minorHAnsi"/>
          <w:szCs w:val="20"/>
          <w:lang w:val="fr-FR"/>
        </w:rPr>
      </w:pPr>
      <w:r w:rsidRPr="00EC5912">
        <w:rPr>
          <w:rFonts w:asciiTheme="minorHAnsi" w:eastAsia="MS Mincho" w:hAnsiTheme="minorHAnsi" w:cstheme="minorHAnsi"/>
          <w:szCs w:val="20"/>
          <w:lang w:val="fr-FR" w:eastAsia="ja-JP"/>
        </w:rPr>
        <w:t>–</w:t>
      </w:r>
      <w:r w:rsidR="0059293C" w:rsidRPr="00EC5912">
        <w:rPr>
          <w:rFonts w:asciiTheme="minorHAnsi" w:eastAsia="MS Mincho" w:hAnsiTheme="minorHAnsi" w:cstheme="minorHAnsi"/>
          <w:szCs w:val="20"/>
          <w:lang w:val="fr-FR" w:eastAsia="ja-JP"/>
        </w:rPr>
        <w:tab/>
      </w:r>
      <w:r w:rsidR="008F2E55" w:rsidRPr="00EC5912">
        <w:rPr>
          <w:lang w:val="fr-FR"/>
        </w:rPr>
        <w:t>Des orientations concernant l'utilisation de filtres passe-bas sont ajoutées à l'Annexe 7.</w:t>
      </w:r>
    </w:p>
    <w:p w14:paraId="6123A5D8" w14:textId="44480D36" w:rsidR="008F2E55" w:rsidRPr="00EC5912" w:rsidRDefault="00226E78" w:rsidP="00432DF2">
      <w:pPr>
        <w:pStyle w:val="enumlev1"/>
        <w:rPr>
          <w:rFonts w:asciiTheme="minorHAnsi" w:eastAsia="MS Mincho" w:hAnsiTheme="minorHAnsi" w:cstheme="minorHAnsi"/>
          <w:szCs w:val="20"/>
          <w:lang w:val="fr-FR"/>
        </w:rPr>
      </w:pPr>
      <w:r w:rsidRPr="00EC5912">
        <w:rPr>
          <w:rFonts w:asciiTheme="minorHAnsi" w:eastAsia="MS Mincho" w:hAnsiTheme="minorHAnsi" w:cstheme="minorHAnsi"/>
          <w:szCs w:val="20"/>
          <w:lang w:val="fr-FR" w:eastAsia="ja-JP"/>
        </w:rPr>
        <w:t>–</w:t>
      </w:r>
      <w:r w:rsidR="0059293C" w:rsidRPr="00EC5912">
        <w:rPr>
          <w:rFonts w:asciiTheme="minorHAnsi" w:eastAsia="MS Mincho" w:hAnsiTheme="minorHAnsi" w:cstheme="minorHAnsi"/>
          <w:szCs w:val="20"/>
          <w:lang w:val="fr-FR" w:eastAsia="ja-JP"/>
        </w:rPr>
        <w:tab/>
      </w:r>
      <w:r w:rsidR="008F2E55" w:rsidRPr="00EC5912">
        <w:rPr>
          <w:lang w:val="fr-FR"/>
        </w:rPr>
        <w:t>Un nouveau paragraphe 8 visant à décrire les effets des filtres passe-bas est inséré dans l'Appendice 1 à l'Annexe 7.</w:t>
      </w:r>
    </w:p>
    <w:p w14:paraId="2F9E3AEB" w14:textId="77777777" w:rsidR="008F2E55" w:rsidRPr="00EC5912" w:rsidRDefault="008F2E55" w:rsidP="00191B2E">
      <w:pPr>
        <w:tabs>
          <w:tab w:val="right" w:pos="9639"/>
        </w:tabs>
        <w:spacing w:before="480" w:line="240" w:lineRule="auto"/>
        <w:rPr>
          <w:rFonts w:asciiTheme="minorHAnsi" w:hAnsiTheme="minorHAnsi" w:cstheme="minorHAnsi"/>
          <w:szCs w:val="24"/>
          <w:lang w:val="fr-FR"/>
        </w:rPr>
      </w:pPr>
      <w:r w:rsidRPr="00EC5912">
        <w:rPr>
          <w:u w:val="single"/>
          <w:lang w:val="fr-FR"/>
        </w:rPr>
        <w:t>Projet de révision de la Recommandation UIT-R BT.2016</w:t>
      </w:r>
      <w:r w:rsidRPr="00EC5912">
        <w:rPr>
          <w:u w:val="single"/>
          <w:lang w:val="fr-FR"/>
        </w:rPr>
        <w:noBreakHyphen/>
        <w:t>2</w:t>
      </w:r>
      <w:r w:rsidRPr="00EC5912">
        <w:rPr>
          <w:lang w:val="fr-FR"/>
        </w:rPr>
        <w:tab/>
        <w:t>Doc. 6/260</w:t>
      </w:r>
    </w:p>
    <w:p w14:paraId="64470EFA" w14:textId="77777777" w:rsidR="008F2E55" w:rsidRPr="00EC5912" w:rsidRDefault="008F2E55" w:rsidP="008778B7">
      <w:pPr>
        <w:pStyle w:val="Rectitle"/>
        <w:rPr>
          <w:rFonts w:asciiTheme="minorHAnsi" w:eastAsia="MS Mincho" w:hAnsiTheme="minorHAnsi" w:cstheme="minorHAnsi"/>
          <w:szCs w:val="28"/>
          <w:lang w:val="fr-FR"/>
        </w:rPr>
      </w:pPr>
      <w:r w:rsidRPr="00EC5912">
        <w:rPr>
          <w:bCs/>
          <w:lang w:val="fr-FR"/>
        </w:rPr>
        <w:t>Méthodes de correction d'erreur, de mise en trame des données, de modulation et d'émission pour la radiodiffusion multimédia de Terre, pour la réception mobile au moyen de récepteurs portatifs dans les bandes d'ondes métriques/décimétriques</w:t>
      </w:r>
    </w:p>
    <w:p w14:paraId="15168336" w14:textId="77777777" w:rsidR="008F2E55" w:rsidRPr="00EC5912" w:rsidRDefault="008F2E55" w:rsidP="008778B7">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Cs w:val="20"/>
          <w:lang w:val="fr-FR"/>
        </w:rPr>
      </w:pPr>
      <w:r w:rsidRPr="00EC5912">
        <w:rPr>
          <w:lang w:val="fr-FR"/>
        </w:rPr>
        <w:t>Les principales modifications sont les suivantes:</w:t>
      </w:r>
    </w:p>
    <w:p w14:paraId="1BB461CC" w14:textId="55C20BC4" w:rsidR="008F2E55" w:rsidRPr="00EC5912" w:rsidRDefault="00226E78" w:rsidP="00226E78">
      <w:pPr>
        <w:pStyle w:val="enumlev1"/>
        <w:rPr>
          <w:rFonts w:asciiTheme="minorHAnsi" w:hAnsiTheme="minorHAnsi" w:cstheme="minorHAnsi"/>
          <w:szCs w:val="20"/>
          <w:lang w:val="fr-FR"/>
        </w:rPr>
      </w:pPr>
      <w:r w:rsidRPr="00EC5912">
        <w:rPr>
          <w:rFonts w:asciiTheme="minorHAnsi" w:eastAsia="MS Mincho" w:hAnsiTheme="minorHAnsi" w:cstheme="minorHAnsi"/>
          <w:szCs w:val="20"/>
          <w:lang w:val="fr-FR" w:eastAsia="ja-JP"/>
        </w:rPr>
        <w:t>–</w:t>
      </w:r>
      <w:r w:rsidR="0059293C" w:rsidRPr="00EC5912">
        <w:rPr>
          <w:rFonts w:asciiTheme="minorHAnsi" w:eastAsia="MS Mincho" w:hAnsiTheme="minorHAnsi" w:cstheme="minorHAnsi"/>
          <w:szCs w:val="20"/>
          <w:lang w:val="fr-FR" w:eastAsia="ja-JP"/>
        </w:rPr>
        <w:tab/>
      </w:r>
      <w:r w:rsidR="008F2E55" w:rsidRPr="00EC5912">
        <w:rPr>
          <w:lang w:val="fr-FR"/>
        </w:rPr>
        <w:t xml:space="preserve">Ajout de nouvelles colonnes pour les </w:t>
      </w:r>
      <w:r w:rsidR="0059293C" w:rsidRPr="00EC5912">
        <w:rPr>
          <w:lang w:val="fr-FR"/>
        </w:rPr>
        <w:t>S</w:t>
      </w:r>
      <w:r w:rsidR="008F2E55" w:rsidRPr="00EC5912">
        <w:rPr>
          <w:lang w:val="fr-FR"/>
        </w:rPr>
        <w:t>ystèmes multimédias «S», «L» et «N» dans le Tableau</w:t>
      </w:r>
      <w:r w:rsidR="00432DF2" w:rsidRPr="00EC5912">
        <w:rPr>
          <w:lang w:val="fr-FR"/>
        </w:rPr>
        <w:t> </w:t>
      </w:r>
      <w:r w:rsidR="008F2E55" w:rsidRPr="00EC5912">
        <w:rPr>
          <w:lang w:val="fr-FR"/>
        </w:rPr>
        <w:t>1 – Paramètres des systèmes d'émission.</w:t>
      </w:r>
    </w:p>
    <w:p w14:paraId="721884E8" w14:textId="09497BB3" w:rsidR="008F2E55" w:rsidRPr="00EC5912" w:rsidRDefault="00226E78" w:rsidP="00226E78">
      <w:pPr>
        <w:pStyle w:val="enumlev1"/>
        <w:rPr>
          <w:rFonts w:asciiTheme="minorHAnsi" w:hAnsiTheme="minorHAnsi" w:cstheme="minorHAnsi"/>
          <w:szCs w:val="20"/>
          <w:lang w:val="fr-FR"/>
        </w:rPr>
      </w:pPr>
      <w:r w:rsidRPr="00EC5912">
        <w:rPr>
          <w:rFonts w:asciiTheme="minorHAnsi" w:eastAsia="MS Mincho" w:hAnsiTheme="minorHAnsi" w:cstheme="minorHAnsi"/>
          <w:szCs w:val="20"/>
          <w:lang w:val="fr-FR" w:eastAsia="ja-JP"/>
        </w:rPr>
        <w:t>–</w:t>
      </w:r>
      <w:r w:rsidR="0059293C" w:rsidRPr="00EC5912">
        <w:rPr>
          <w:rFonts w:asciiTheme="minorHAnsi" w:eastAsia="MS Mincho" w:hAnsiTheme="minorHAnsi" w:cstheme="minorHAnsi"/>
          <w:szCs w:val="20"/>
          <w:lang w:val="fr-FR" w:eastAsia="ja-JP"/>
        </w:rPr>
        <w:tab/>
      </w:r>
      <w:r w:rsidR="008F2E55" w:rsidRPr="00EC5912">
        <w:rPr>
          <w:lang w:val="fr-FR"/>
        </w:rPr>
        <w:t xml:space="preserve">Ajout de nouvelles colonnes pour les </w:t>
      </w:r>
      <w:r w:rsidR="0059293C" w:rsidRPr="00EC5912">
        <w:rPr>
          <w:lang w:val="fr-FR"/>
        </w:rPr>
        <w:t>S</w:t>
      </w:r>
      <w:r w:rsidR="008F2E55" w:rsidRPr="00EC5912">
        <w:rPr>
          <w:lang w:val="fr-FR"/>
        </w:rPr>
        <w:t>ystèmes multimédias «S», «L» et «N» dans le Tableau</w:t>
      </w:r>
      <w:r w:rsidR="00432DF2" w:rsidRPr="00EC5912">
        <w:rPr>
          <w:lang w:val="fr-FR"/>
        </w:rPr>
        <w:t> </w:t>
      </w:r>
      <w:r w:rsidR="008F2E55" w:rsidRPr="00EC5912">
        <w:rPr>
          <w:lang w:val="fr-FR"/>
        </w:rPr>
        <w:t>2 – Caractéristiques techniques des systèmes.</w:t>
      </w:r>
    </w:p>
    <w:p w14:paraId="31AFA228" w14:textId="400F6FD9" w:rsidR="008F2E55" w:rsidRPr="00EC5912" w:rsidRDefault="00226E78" w:rsidP="00226E78">
      <w:pPr>
        <w:pStyle w:val="enumlev1"/>
        <w:rPr>
          <w:rFonts w:asciiTheme="minorHAnsi" w:hAnsiTheme="minorHAnsi" w:cstheme="minorHAnsi"/>
          <w:szCs w:val="20"/>
          <w:lang w:val="fr-FR"/>
        </w:rPr>
      </w:pPr>
      <w:r w:rsidRPr="00EC5912">
        <w:rPr>
          <w:rFonts w:asciiTheme="minorHAnsi" w:eastAsia="MS Mincho" w:hAnsiTheme="minorHAnsi" w:cstheme="minorHAnsi"/>
          <w:szCs w:val="20"/>
          <w:lang w:val="fr-FR" w:eastAsia="ja-JP"/>
        </w:rPr>
        <w:t>–</w:t>
      </w:r>
      <w:r w:rsidR="0059293C" w:rsidRPr="00EC5912">
        <w:rPr>
          <w:rFonts w:asciiTheme="minorHAnsi" w:eastAsia="MS Mincho" w:hAnsiTheme="minorHAnsi" w:cstheme="minorHAnsi"/>
          <w:szCs w:val="20"/>
          <w:lang w:val="fr-FR" w:eastAsia="ja-JP"/>
        </w:rPr>
        <w:tab/>
      </w:r>
      <w:r w:rsidR="008F2E55" w:rsidRPr="00EC5912">
        <w:rPr>
          <w:lang w:val="fr-FR"/>
        </w:rPr>
        <w:t>Ajout des nouvelles Pièces jointes 7, 8 et 9 à l'Annexe 1:</w:t>
      </w:r>
    </w:p>
    <w:p w14:paraId="39ECA555" w14:textId="21207F3E" w:rsidR="008F2E55" w:rsidRPr="00EC5912" w:rsidRDefault="00226E78" w:rsidP="00226E78">
      <w:pPr>
        <w:pStyle w:val="enumlev2"/>
        <w:rPr>
          <w:lang w:val="fr-FR"/>
        </w:rPr>
      </w:pPr>
      <w:r w:rsidRPr="00EC5912">
        <w:rPr>
          <w:lang w:val="fr-FR"/>
        </w:rPr>
        <w:t>•</w:t>
      </w:r>
      <w:r w:rsidR="008F2E55" w:rsidRPr="00EC5912">
        <w:rPr>
          <w:lang w:val="fr-FR"/>
        </w:rPr>
        <w:tab/>
        <w:t>Système multimédia S (ATSC 3.0)</w:t>
      </w:r>
    </w:p>
    <w:p w14:paraId="468F8EB0" w14:textId="380D4E74" w:rsidR="008F2E55" w:rsidRPr="00EC5912" w:rsidRDefault="00226E78" w:rsidP="00226E78">
      <w:pPr>
        <w:pStyle w:val="enumlev2"/>
        <w:rPr>
          <w:rFonts w:asciiTheme="minorHAnsi" w:hAnsiTheme="minorHAnsi" w:cstheme="minorHAnsi"/>
          <w:szCs w:val="20"/>
          <w:lang w:val="fr-FR"/>
        </w:rPr>
      </w:pPr>
      <w:r w:rsidRPr="00EC5912">
        <w:rPr>
          <w:rFonts w:asciiTheme="minorHAnsi" w:hAnsiTheme="minorHAnsi" w:cstheme="minorHAnsi"/>
          <w:szCs w:val="20"/>
          <w:lang w:val="fr-FR"/>
        </w:rPr>
        <w:t>•</w:t>
      </w:r>
      <w:r w:rsidR="008F2E55" w:rsidRPr="00EC5912">
        <w:rPr>
          <w:lang w:val="fr-FR"/>
        </w:rPr>
        <w:tab/>
        <w:t>Système multimédia L</w:t>
      </w:r>
    </w:p>
    <w:p w14:paraId="0C61C37E" w14:textId="3375DED5" w:rsidR="008F2E55" w:rsidRPr="00EC5912" w:rsidRDefault="00226E78" w:rsidP="00226E78">
      <w:pPr>
        <w:pStyle w:val="enumlev2"/>
        <w:rPr>
          <w:rFonts w:asciiTheme="minorHAnsi" w:hAnsiTheme="minorHAnsi" w:cstheme="minorHAnsi"/>
          <w:szCs w:val="20"/>
          <w:lang w:val="fr-FR"/>
        </w:rPr>
      </w:pPr>
      <w:r w:rsidRPr="00EC5912">
        <w:rPr>
          <w:rFonts w:asciiTheme="minorHAnsi" w:hAnsiTheme="minorHAnsi" w:cstheme="minorHAnsi"/>
          <w:szCs w:val="20"/>
          <w:lang w:val="fr-FR"/>
        </w:rPr>
        <w:t>•</w:t>
      </w:r>
      <w:r w:rsidR="008F2E55" w:rsidRPr="00EC5912">
        <w:rPr>
          <w:lang w:val="fr-FR"/>
        </w:rPr>
        <w:tab/>
        <w:t>Système multimédia N</w:t>
      </w:r>
    </w:p>
    <w:p w14:paraId="1D956C2D" w14:textId="77777777" w:rsidR="008F2E55" w:rsidRPr="00EC5912" w:rsidRDefault="008F2E55" w:rsidP="00191B2E">
      <w:pPr>
        <w:tabs>
          <w:tab w:val="right" w:pos="9639"/>
        </w:tabs>
        <w:spacing w:before="480" w:line="240" w:lineRule="auto"/>
        <w:rPr>
          <w:rFonts w:asciiTheme="minorHAnsi" w:hAnsiTheme="minorHAnsi" w:cstheme="minorHAnsi"/>
          <w:szCs w:val="24"/>
          <w:lang w:val="fr-FR"/>
        </w:rPr>
      </w:pPr>
      <w:r w:rsidRPr="00EC5912">
        <w:rPr>
          <w:u w:val="single"/>
          <w:lang w:val="fr-FR"/>
        </w:rPr>
        <w:t>Projet de révision de la Recommandation UIT-R BS.1660-8</w:t>
      </w:r>
      <w:r w:rsidRPr="00EC5912">
        <w:rPr>
          <w:lang w:val="fr-FR"/>
        </w:rPr>
        <w:tab/>
        <w:t>Doc. 6/262</w:t>
      </w:r>
    </w:p>
    <w:p w14:paraId="0863C50E" w14:textId="631B34AD" w:rsidR="008F2E55" w:rsidRPr="00EC5912" w:rsidRDefault="008F2E55" w:rsidP="008778B7">
      <w:pPr>
        <w:pStyle w:val="Rectitle"/>
        <w:rPr>
          <w:rFonts w:asciiTheme="minorHAnsi" w:eastAsia="MS Mincho" w:hAnsiTheme="minorHAnsi" w:cstheme="minorHAnsi"/>
          <w:szCs w:val="28"/>
          <w:lang w:val="fr-FR"/>
        </w:rPr>
      </w:pPr>
      <w:r w:rsidRPr="00EC5912">
        <w:rPr>
          <w:bCs/>
          <w:lang w:val="fr-FR"/>
        </w:rPr>
        <w:t xml:space="preserve">Bases techniques de la planification de la radiodiffusion sonore </w:t>
      </w:r>
      <w:r w:rsidR="00432DF2" w:rsidRPr="00EC5912">
        <w:rPr>
          <w:bCs/>
          <w:lang w:val="fr-FR"/>
        </w:rPr>
        <w:br/>
      </w:r>
      <w:r w:rsidRPr="00EC5912">
        <w:rPr>
          <w:bCs/>
          <w:lang w:val="fr-FR"/>
        </w:rPr>
        <w:t>numérique de Terre dans la bande des ondes métriques</w:t>
      </w:r>
    </w:p>
    <w:p w14:paraId="768B613B" w14:textId="77777777" w:rsidR="008F2E55" w:rsidRPr="00EC5912" w:rsidRDefault="008F2E55" w:rsidP="008778B7">
      <w:pPr>
        <w:tabs>
          <w:tab w:val="clear" w:pos="794"/>
          <w:tab w:val="clear" w:pos="1191"/>
          <w:tab w:val="clear" w:pos="1588"/>
          <w:tab w:val="clear" w:pos="1985"/>
          <w:tab w:val="left" w:pos="1134"/>
          <w:tab w:val="left" w:pos="1871"/>
          <w:tab w:val="left" w:pos="2268"/>
        </w:tabs>
        <w:spacing w:before="240" w:line="240" w:lineRule="auto"/>
        <w:rPr>
          <w:rFonts w:asciiTheme="minorHAnsi" w:eastAsia="SimSun" w:hAnsiTheme="minorHAnsi" w:cstheme="minorHAnsi"/>
          <w:b/>
          <w:bCs/>
          <w:szCs w:val="20"/>
          <w:lang w:val="fr-FR"/>
        </w:rPr>
      </w:pPr>
      <w:r w:rsidRPr="00EC5912">
        <w:rPr>
          <w:lang w:val="fr-FR"/>
        </w:rPr>
        <w:t>Les principales modifications sont les suivantes:</w:t>
      </w:r>
    </w:p>
    <w:p w14:paraId="5C1E08A5" w14:textId="436C1206" w:rsidR="008F2E55" w:rsidRPr="00EC5912" w:rsidRDefault="00226E78" w:rsidP="00226E78">
      <w:pPr>
        <w:pStyle w:val="enumlev1"/>
        <w:rPr>
          <w:rFonts w:asciiTheme="minorHAnsi" w:hAnsiTheme="minorHAnsi" w:cstheme="minorHAnsi"/>
          <w:szCs w:val="20"/>
          <w:lang w:val="fr-FR"/>
        </w:rPr>
      </w:pPr>
      <w:r w:rsidRPr="00EC5912">
        <w:rPr>
          <w:rFonts w:asciiTheme="minorHAnsi" w:hAnsiTheme="minorHAnsi" w:cstheme="minorHAnsi"/>
          <w:szCs w:val="20"/>
          <w:lang w:val="fr-FR"/>
        </w:rPr>
        <w:t>–</w:t>
      </w:r>
      <w:r w:rsidR="00A908F8" w:rsidRPr="00EC5912">
        <w:rPr>
          <w:rFonts w:asciiTheme="minorHAnsi" w:eastAsia="MS Mincho" w:hAnsiTheme="minorHAnsi" w:cstheme="minorHAnsi"/>
          <w:szCs w:val="20"/>
          <w:lang w:val="fr-FR" w:eastAsia="ja-JP"/>
        </w:rPr>
        <w:tab/>
      </w:r>
      <w:r w:rsidR="008F2E55" w:rsidRPr="00EC5912">
        <w:rPr>
          <w:lang w:val="fr-FR"/>
        </w:rPr>
        <w:t>Dans l'Annexe 1 sur le Système A (DAB):</w:t>
      </w:r>
    </w:p>
    <w:p w14:paraId="073E97A8" w14:textId="753DB553" w:rsidR="008F2E55" w:rsidRPr="00EC5912" w:rsidRDefault="00226E78" w:rsidP="00226E78">
      <w:pPr>
        <w:pStyle w:val="enumlev2"/>
        <w:rPr>
          <w:rFonts w:asciiTheme="minorHAnsi" w:hAnsiTheme="minorHAnsi" w:cstheme="minorHAnsi"/>
          <w:szCs w:val="20"/>
          <w:lang w:val="fr-FR"/>
        </w:rPr>
      </w:pPr>
      <w:r w:rsidRPr="00EC5912">
        <w:rPr>
          <w:lang w:val="fr-FR"/>
        </w:rPr>
        <w:t>•</w:t>
      </w:r>
      <w:r w:rsidR="008F2E55" w:rsidRPr="00EC5912">
        <w:rPr>
          <w:lang w:val="fr-FR"/>
        </w:rPr>
        <w:tab/>
        <w:t>Dans la section 7, l'affaiblissement dû à la pénétration dans les bâtiments est aligné sur la dernière version de la Recommandation UIT-R P.2109. Les facteurs de correction pour les emplacements pour les différents modes de réception décrits au § 9.2 sont mis à jour en conséquence.</w:t>
      </w:r>
    </w:p>
    <w:p w14:paraId="074CC939" w14:textId="5790DA7B" w:rsidR="008F2E55" w:rsidRPr="00EC5912" w:rsidRDefault="00226E78" w:rsidP="00226E78">
      <w:pPr>
        <w:pStyle w:val="enumlev2"/>
        <w:rPr>
          <w:rFonts w:asciiTheme="minorHAnsi" w:hAnsiTheme="minorHAnsi" w:cstheme="minorHAnsi"/>
          <w:szCs w:val="20"/>
          <w:lang w:val="fr-FR"/>
        </w:rPr>
      </w:pPr>
      <w:r w:rsidRPr="00EC5912">
        <w:rPr>
          <w:lang w:val="fr-FR"/>
        </w:rPr>
        <w:t>•</w:t>
      </w:r>
      <w:r w:rsidR="008F2E55" w:rsidRPr="00EC5912">
        <w:rPr>
          <w:lang w:val="fr-FR"/>
        </w:rPr>
        <w:tab/>
        <w:t xml:space="preserve">Le § 11.1.1 </w:t>
      </w:r>
      <w:r w:rsidR="00982E37" w:rsidRPr="00EC5912">
        <w:rPr>
          <w:lang w:val="fr-FR"/>
        </w:rPr>
        <w:t>«</w:t>
      </w:r>
      <w:r w:rsidR="008F2E55" w:rsidRPr="00EC5912">
        <w:rPr>
          <w:lang w:val="fr-FR"/>
        </w:rPr>
        <w:t>Exemples de niveaux de signal pour la planification</w:t>
      </w:r>
      <w:r w:rsidR="00982E37" w:rsidRPr="00EC5912">
        <w:rPr>
          <w:lang w:val="fr-FR"/>
        </w:rPr>
        <w:t>»</w:t>
      </w:r>
      <w:r w:rsidR="008F2E55" w:rsidRPr="00EC5912">
        <w:rPr>
          <w:lang w:val="fr-FR"/>
        </w:rPr>
        <w:t xml:space="preserve"> est mis à jour avec les nouvelles valeurs de l'affaiblissement dû à la pénétration dans les bâtiments et les valeurs finales sont arrondies à la première décimale.</w:t>
      </w:r>
    </w:p>
    <w:p w14:paraId="27D0443C" w14:textId="1F141BF5" w:rsidR="008F2E55" w:rsidRPr="00EC5912" w:rsidRDefault="00226E78" w:rsidP="00226E78">
      <w:pPr>
        <w:pStyle w:val="enumlev2"/>
        <w:rPr>
          <w:rFonts w:asciiTheme="minorHAnsi" w:hAnsiTheme="minorHAnsi" w:cstheme="minorHAnsi"/>
          <w:szCs w:val="20"/>
          <w:lang w:val="fr-FR"/>
        </w:rPr>
      </w:pPr>
      <w:r w:rsidRPr="00EC5912">
        <w:rPr>
          <w:lang w:val="fr-FR"/>
        </w:rPr>
        <w:t>•</w:t>
      </w:r>
      <w:r w:rsidR="008F2E55" w:rsidRPr="00EC5912">
        <w:rPr>
          <w:lang w:val="fr-FR"/>
        </w:rPr>
        <w:tab/>
        <w:t>Il est proposé de déplacer dans l'Annexe 1 le rapport de protection d'un signal DAB brouillé par un signal DRM figurant dans l'Annexe 3.</w:t>
      </w:r>
    </w:p>
    <w:p w14:paraId="7BD671EF" w14:textId="2750FB2C" w:rsidR="008F2E55" w:rsidRPr="00EC5912" w:rsidRDefault="00226E78" w:rsidP="00432DF2">
      <w:pPr>
        <w:pStyle w:val="enumlev1"/>
        <w:keepNext/>
        <w:keepLines/>
        <w:rPr>
          <w:rFonts w:asciiTheme="minorHAnsi" w:hAnsiTheme="minorHAnsi" w:cstheme="minorHAnsi"/>
          <w:szCs w:val="20"/>
          <w:lang w:val="fr-FR"/>
        </w:rPr>
      </w:pPr>
      <w:r w:rsidRPr="00EC5912">
        <w:rPr>
          <w:rFonts w:asciiTheme="minorHAnsi" w:hAnsiTheme="minorHAnsi" w:cstheme="minorHAnsi"/>
          <w:szCs w:val="20"/>
          <w:lang w:val="fr-FR"/>
        </w:rPr>
        <w:lastRenderedPageBreak/>
        <w:t>–</w:t>
      </w:r>
      <w:r w:rsidR="00A908F8" w:rsidRPr="00EC5912">
        <w:rPr>
          <w:rFonts w:asciiTheme="minorHAnsi" w:hAnsiTheme="minorHAnsi" w:cstheme="minorHAnsi"/>
          <w:szCs w:val="20"/>
          <w:lang w:val="fr-FR"/>
        </w:rPr>
        <w:tab/>
      </w:r>
      <w:r w:rsidR="008F2E55" w:rsidRPr="00EC5912">
        <w:rPr>
          <w:lang w:val="fr-FR"/>
        </w:rPr>
        <w:t>Dans l'Annexe 3 sur le Système G (DRM):</w:t>
      </w:r>
    </w:p>
    <w:p w14:paraId="6CDDCA3E" w14:textId="3029EFBB" w:rsidR="008F2E55" w:rsidRPr="00EC5912" w:rsidRDefault="00226E78" w:rsidP="00432DF2">
      <w:pPr>
        <w:pStyle w:val="enumlev2"/>
        <w:keepNext/>
        <w:keepLines/>
        <w:rPr>
          <w:rFonts w:asciiTheme="minorHAnsi" w:hAnsiTheme="minorHAnsi" w:cstheme="minorHAnsi"/>
          <w:szCs w:val="20"/>
          <w:lang w:val="fr-FR"/>
        </w:rPr>
      </w:pPr>
      <w:r w:rsidRPr="00EC5912">
        <w:rPr>
          <w:lang w:val="fr-FR"/>
        </w:rPr>
        <w:t>•</w:t>
      </w:r>
      <w:r w:rsidR="008F2E55" w:rsidRPr="00EC5912">
        <w:rPr>
          <w:lang w:val="fr-FR"/>
        </w:rPr>
        <w:tab/>
        <w:t xml:space="preserve">Le § 3.5, </w:t>
      </w:r>
      <w:r w:rsidR="00982E37" w:rsidRPr="00EC5912">
        <w:rPr>
          <w:lang w:val="fr-FR"/>
        </w:rPr>
        <w:t>«</w:t>
      </w:r>
      <w:r w:rsidR="008F2E55" w:rsidRPr="00EC5912">
        <w:rPr>
          <w:lang w:val="fr-FR"/>
        </w:rPr>
        <w:t>Affaiblissement dû à la pénétration dans les bâtiments</w:t>
      </w:r>
      <w:r w:rsidR="00982E37" w:rsidRPr="00EC5912">
        <w:rPr>
          <w:lang w:val="fr-FR"/>
        </w:rPr>
        <w:t>»</w:t>
      </w:r>
      <w:r w:rsidR="008F2E55" w:rsidRPr="00EC5912">
        <w:rPr>
          <w:lang w:val="fr-FR"/>
        </w:rPr>
        <w:t xml:space="preserve">, et le § 3.8.2, </w:t>
      </w:r>
      <w:r w:rsidR="00982E37" w:rsidRPr="00EC5912">
        <w:rPr>
          <w:lang w:val="fr-FR"/>
        </w:rPr>
        <w:t>«</w:t>
      </w:r>
      <w:r w:rsidR="008F2E55" w:rsidRPr="00EC5912">
        <w:rPr>
          <w:lang w:val="fr-FR"/>
        </w:rPr>
        <w:t>Écart type combiné</w:t>
      </w:r>
      <w:r w:rsidR="00982E37" w:rsidRPr="00EC5912">
        <w:rPr>
          <w:lang w:val="fr-FR"/>
        </w:rPr>
        <w:t>»</w:t>
      </w:r>
      <w:r w:rsidR="008F2E55" w:rsidRPr="00EC5912">
        <w:rPr>
          <w:lang w:val="fr-FR"/>
        </w:rPr>
        <w:t>, sont modifiés dans un souci d'alignement avec la Recommandation UIT</w:t>
      </w:r>
      <w:r w:rsidR="00CE6201" w:rsidRPr="00EC5912">
        <w:rPr>
          <w:lang w:val="fr-FR"/>
        </w:rPr>
        <w:noBreakHyphen/>
      </w:r>
      <w:r w:rsidR="008F2E55" w:rsidRPr="00EC5912">
        <w:rPr>
          <w:lang w:val="fr-FR"/>
        </w:rPr>
        <w:t>R P.2109-1.</w:t>
      </w:r>
    </w:p>
    <w:p w14:paraId="13A4A66F" w14:textId="289F1F58" w:rsidR="008F2E55" w:rsidRPr="00EC5912" w:rsidRDefault="00226E78" w:rsidP="00226E78">
      <w:pPr>
        <w:pStyle w:val="enumlev2"/>
        <w:rPr>
          <w:rFonts w:asciiTheme="minorHAnsi" w:hAnsiTheme="minorHAnsi" w:cstheme="minorHAnsi"/>
          <w:szCs w:val="20"/>
          <w:lang w:val="fr-FR"/>
        </w:rPr>
      </w:pPr>
      <w:r w:rsidRPr="00EC5912">
        <w:rPr>
          <w:lang w:val="fr-FR"/>
        </w:rPr>
        <w:t>•</w:t>
      </w:r>
      <w:r w:rsidR="008F2E55" w:rsidRPr="00EC5912">
        <w:rPr>
          <w:lang w:val="fr-FR"/>
        </w:rPr>
        <w:tab/>
        <w:t>Les § 6.2, 6.3 et 6.4, intitulés respectivement Valeur minimale du champ médian pour la Bande d'ondes métriques I, II et III, sont mis à jour avec les nouvelles valeurs de l'affaiblissement dû à la pénétration dans les bâtiments et les valeurs finales sont arrondies à la première décimale.</w:t>
      </w:r>
    </w:p>
    <w:p w14:paraId="27539DF8" w14:textId="77777777" w:rsidR="008F2E55" w:rsidRPr="00EC5912" w:rsidRDefault="008F2E55" w:rsidP="00191B2E">
      <w:pPr>
        <w:tabs>
          <w:tab w:val="right" w:pos="9639"/>
        </w:tabs>
        <w:spacing w:before="480" w:line="240" w:lineRule="auto"/>
        <w:rPr>
          <w:rFonts w:asciiTheme="minorHAnsi" w:hAnsiTheme="minorHAnsi" w:cstheme="minorHAnsi"/>
          <w:szCs w:val="24"/>
          <w:lang w:val="fr-FR"/>
        </w:rPr>
      </w:pPr>
      <w:r w:rsidRPr="00EC5912">
        <w:rPr>
          <w:u w:val="single"/>
          <w:lang w:val="fr-FR"/>
        </w:rPr>
        <w:t>Projet de révision de la Recommandation UIT-R BS.643-3</w:t>
      </w:r>
      <w:r w:rsidRPr="00EC5912">
        <w:rPr>
          <w:lang w:val="fr-FR"/>
        </w:rPr>
        <w:tab/>
        <w:t>Doc. 6/264</w:t>
      </w:r>
    </w:p>
    <w:p w14:paraId="4DE00417" w14:textId="77777777" w:rsidR="008F2E55" w:rsidRPr="00EC5912" w:rsidRDefault="008F2E55" w:rsidP="008778B7">
      <w:pPr>
        <w:pStyle w:val="Rectitle"/>
        <w:rPr>
          <w:rFonts w:asciiTheme="minorHAnsi" w:eastAsia="MS Mincho" w:hAnsiTheme="minorHAnsi" w:cstheme="minorHAnsi"/>
          <w:szCs w:val="28"/>
          <w:lang w:val="fr-FR"/>
        </w:rPr>
      </w:pPr>
      <w:r w:rsidRPr="00EC5912">
        <w:rPr>
          <w:bCs/>
          <w:lang w:val="fr-FR"/>
        </w:rPr>
        <w:t>Système de radiodiffusion de données destiné à l'accord automatique ainsi qu'à d'autres fonctions dans les récepteurs de radiodiffusion à modulation de fréquence et utilisable avec le système à fréquence pilote</w:t>
      </w:r>
    </w:p>
    <w:p w14:paraId="2609CDC2" w14:textId="50654323" w:rsidR="008F2E55" w:rsidRPr="00EC5912" w:rsidRDefault="008F2E55" w:rsidP="00191B2E">
      <w:pPr>
        <w:pStyle w:val="Normalaftertitle"/>
        <w:spacing w:before="240"/>
        <w:rPr>
          <w:rFonts w:asciiTheme="minorHAnsi" w:hAnsiTheme="minorHAnsi" w:cstheme="minorHAnsi"/>
          <w:szCs w:val="20"/>
          <w:lang w:val="fr-FR"/>
        </w:rPr>
      </w:pPr>
      <w:r w:rsidRPr="00EC5912">
        <w:rPr>
          <w:lang w:val="fr-FR"/>
        </w:rPr>
        <w:t>Cette révision comprend la mise à jour destinée à tenir compte de l'état d'avancement de l'élaboration de la norme RDS élaborée par le TC100 de la CEI.</w:t>
      </w:r>
    </w:p>
    <w:p w14:paraId="6127586D" w14:textId="77777777" w:rsidR="008F2E55" w:rsidRPr="00EC5912" w:rsidRDefault="008F2E55" w:rsidP="00191B2E">
      <w:pPr>
        <w:tabs>
          <w:tab w:val="right" w:pos="9639"/>
        </w:tabs>
        <w:spacing w:before="480" w:line="240" w:lineRule="auto"/>
        <w:rPr>
          <w:rFonts w:asciiTheme="minorHAnsi" w:hAnsiTheme="minorHAnsi" w:cstheme="minorHAnsi"/>
          <w:szCs w:val="24"/>
          <w:lang w:val="fr-FR"/>
        </w:rPr>
      </w:pPr>
      <w:r w:rsidRPr="00EC5912">
        <w:rPr>
          <w:u w:val="single"/>
          <w:lang w:val="fr-FR"/>
        </w:rPr>
        <w:t>Projet de révision de la Recommandation UIT-R BS.2107-0</w:t>
      </w:r>
      <w:r w:rsidRPr="00EC5912">
        <w:rPr>
          <w:lang w:val="fr-FR"/>
        </w:rPr>
        <w:tab/>
        <w:t>Doc. 6/265</w:t>
      </w:r>
    </w:p>
    <w:p w14:paraId="3D783C58" w14:textId="5169D4A4" w:rsidR="008F2E55" w:rsidRPr="00EC5912" w:rsidRDefault="008F2E55" w:rsidP="008778B7">
      <w:pPr>
        <w:pStyle w:val="Rectitle"/>
        <w:rPr>
          <w:rFonts w:asciiTheme="minorHAnsi" w:eastAsia="MS Mincho" w:hAnsiTheme="minorHAnsi" w:cstheme="minorHAnsi"/>
          <w:szCs w:val="28"/>
          <w:lang w:val="fr-FR"/>
        </w:rPr>
      </w:pPr>
      <w:r w:rsidRPr="00EC5912">
        <w:rPr>
          <w:bCs/>
          <w:lang w:val="fr-FR"/>
        </w:rPr>
        <w:t xml:space="preserve">Utilisation des fréquences de radiodiffusion internationale pour les secours </w:t>
      </w:r>
      <w:r w:rsidR="00EC5912" w:rsidRPr="00EC5912">
        <w:rPr>
          <w:bCs/>
          <w:lang w:val="fr-FR"/>
        </w:rPr>
        <w:br/>
      </w:r>
      <w:r w:rsidRPr="00EC5912">
        <w:rPr>
          <w:bCs/>
          <w:lang w:val="fr-FR"/>
        </w:rPr>
        <w:t xml:space="preserve">en cas de catastrophe (IRDR) pour les diffusions d'urgence dans </w:t>
      </w:r>
      <w:r w:rsidR="00EC5912" w:rsidRPr="00EC5912">
        <w:rPr>
          <w:bCs/>
          <w:lang w:val="fr-FR"/>
        </w:rPr>
        <w:br/>
      </w:r>
      <w:r w:rsidRPr="00EC5912">
        <w:rPr>
          <w:bCs/>
          <w:lang w:val="fr-FR"/>
        </w:rPr>
        <w:t>les bandes d'ondes décamétriques</w:t>
      </w:r>
    </w:p>
    <w:p w14:paraId="48AFC147" w14:textId="77777777" w:rsidR="008F2E55" w:rsidRPr="00EC5912" w:rsidRDefault="008F2E55" w:rsidP="00191B2E">
      <w:pPr>
        <w:pStyle w:val="Normalaftertitle"/>
        <w:spacing w:before="240"/>
        <w:rPr>
          <w:rFonts w:asciiTheme="minorHAnsi" w:hAnsiTheme="minorHAnsi" w:cstheme="minorHAnsi"/>
          <w:szCs w:val="20"/>
          <w:lang w:val="fr-FR"/>
        </w:rPr>
      </w:pPr>
      <w:r w:rsidRPr="00EC5912">
        <w:rPr>
          <w:lang w:val="fr-FR"/>
        </w:rPr>
        <w:t>Les principales modifications sont les suivantes:</w:t>
      </w:r>
    </w:p>
    <w:p w14:paraId="19969B4F" w14:textId="54A99AD2" w:rsidR="008F2E55" w:rsidRPr="00EC5912" w:rsidRDefault="008E1576" w:rsidP="008E1576">
      <w:pPr>
        <w:pStyle w:val="enumlev1"/>
        <w:rPr>
          <w:rFonts w:asciiTheme="minorHAnsi" w:hAnsiTheme="minorHAnsi" w:cstheme="minorHAnsi"/>
          <w:szCs w:val="20"/>
          <w:lang w:val="fr-FR"/>
        </w:rPr>
      </w:pPr>
      <w:r w:rsidRPr="00EC5912">
        <w:rPr>
          <w:lang w:val="fr-FR"/>
        </w:rPr>
        <w:t>–</w:t>
      </w:r>
      <w:r w:rsidR="00072B0A" w:rsidRPr="00EC5912">
        <w:rPr>
          <w:lang w:val="fr-FR"/>
        </w:rPr>
        <w:tab/>
      </w:r>
      <w:r w:rsidR="008F2E55" w:rsidRPr="00EC5912">
        <w:rPr>
          <w:lang w:val="fr-FR"/>
        </w:rPr>
        <w:t>Dans le tableau de l'Annexe 1 de la pièce jointe, toutes les fréquences IRDR font désormais l'objet d'une coordination de 00 h 00 à 24 h 00 (UTC). La troisième colonne du tableau est donc supprimée.</w:t>
      </w:r>
    </w:p>
    <w:p w14:paraId="41D0E95C" w14:textId="63D93170" w:rsidR="008F2E55" w:rsidRPr="00EC5912" w:rsidRDefault="008E1576" w:rsidP="008E1576">
      <w:pPr>
        <w:pStyle w:val="enumlev1"/>
        <w:rPr>
          <w:rFonts w:asciiTheme="minorHAnsi" w:hAnsiTheme="minorHAnsi" w:cstheme="minorHAnsi"/>
          <w:szCs w:val="20"/>
          <w:lang w:val="fr-FR"/>
        </w:rPr>
      </w:pPr>
      <w:r w:rsidRPr="00EC5912">
        <w:rPr>
          <w:lang w:val="fr-FR"/>
        </w:rPr>
        <w:t>–</w:t>
      </w:r>
      <w:r w:rsidR="00072B0A" w:rsidRPr="00EC5912">
        <w:rPr>
          <w:lang w:val="fr-FR"/>
        </w:rPr>
        <w:tab/>
      </w:r>
      <w:r w:rsidR="008F2E55" w:rsidRPr="00EC5912">
        <w:rPr>
          <w:lang w:val="fr-FR"/>
        </w:rPr>
        <w:t xml:space="preserve">Étant donné que toutes les fréquences IRDR </w:t>
      </w:r>
      <w:r w:rsidR="00072B0A" w:rsidRPr="00EC5912">
        <w:rPr>
          <w:lang w:val="fr-FR"/>
        </w:rPr>
        <w:t>font désormais l'objet d'une coordination</w:t>
      </w:r>
      <w:r w:rsidR="008F2E55" w:rsidRPr="00EC5912">
        <w:rPr>
          <w:lang w:val="fr-FR"/>
        </w:rPr>
        <w:t xml:space="preserve"> 24</w:t>
      </w:r>
      <w:r w:rsidR="0094131B" w:rsidRPr="00EC5912">
        <w:rPr>
          <w:lang w:val="fr-FR"/>
        </w:rPr>
        <w:t> </w:t>
      </w:r>
      <w:r w:rsidR="008F2E55" w:rsidRPr="00EC5912">
        <w:rPr>
          <w:lang w:val="fr-FR"/>
        </w:rPr>
        <w:t xml:space="preserve">heures sur 24, il convient de modifier en conséquence le point </w:t>
      </w:r>
      <w:r w:rsidR="008F2E55" w:rsidRPr="00EC5912">
        <w:rPr>
          <w:i/>
          <w:iCs/>
          <w:lang w:val="fr-FR"/>
        </w:rPr>
        <w:t>f)</w:t>
      </w:r>
      <w:r w:rsidR="008F2E55" w:rsidRPr="00EC5912">
        <w:rPr>
          <w:lang w:val="fr-FR"/>
        </w:rPr>
        <w:t xml:space="preserve"> du </w:t>
      </w:r>
      <w:r w:rsidR="008F2E55" w:rsidRPr="00EC5912">
        <w:rPr>
          <w:i/>
          <w:iCs/>
          <w:lang w:val="fr-FR"/>
        </w:rPr>
        <w:t xml:space="preserve">considérant </w:t>
      </w:r>
      <w:r w:rsidR="008F2E55" w:rsidRPr="00EC5912">
        <w:rPr>
          <w:lang w:val="fr-FR"/>
        </w:rPr>
        <w:t xml:space="preserve">et le </w:t>
      </w:r>
      <w:r w:rsidR="008F2E55" w:rsidRPr="00EC5912">
        <w:rPr>
          <w:i/>
          <w:iCs/>
          <w:lang w:val="fr-FR"/>
        </w:rPr>
        <w:t>recommande</w:t>
      </w:r>
      <w:r w:rsidR="008F2E55" w:rsidRPr="00EC5912">
        <w:rPr>
          <w:lang w:val="fr-FR"/>
        </w:rPr>
        <w:t>.</w:t>
      </w:r>
    </w:p>
    <w:p w14:paraId="06954917" w14:textId="77777777" w:rsidR="008F2E55" w:rsidRPr="00EC5912" w:rsidRDefault="008F2E55" w:rsidP="00191B2E">
      <w:pPr>
        <w:tabs>
          <w:tab w:val="right" w:pos="9639"/>
        </w:tabs>
        <w:spacing w:before="480" w:line="240" w:lineRule="auto"/>
        <w:rPr>
          <w:rFonts w:asciiTheme="minorHAnsi" w:hAnsiTheme="minorHAnsi" w:cstheme="minorHAnsi"/>
          <w:szCs w:val="24"/>
          <w:lang w:val="fr-FR"/>
        </w:rPr>
      </w:pPr>
      <w:r w:rsidRPr="00EC5912">
        <w:rPr>
          <w:u w:val="single"/>
          <w:lang w:val="fr-FR"/>
        </w:rPr>
        <w:t>Projet de révision de la Recommandation UIT-R BT.1833-3</w:t>
      </w:r>
      <w:r w:rsidRPr="00EC5912">
        <w:rPr>
          <w:lang w:val="fr-FR"/>
        </w:rPr>
        <w:tab/>
        <w:t>Doc. 6/275</w:t>
      </w:r>
    </w:p>
    <w:p w14:paraId="2821A297" w14:textId="6FA194A9" w:rsidR="008F2E55" w:rsidRPr="00EC5912" w:rsidRDefault="008F2E55" w:rsidP="008778B7">
      <w:pPr>
        <w:pStyle w:val="Rectitle"/>
        <w:rPr>
          <w:rFonts w:asciiTheme="minorHAnsi" w:eastAsia="MS Mincho" w:hAnsiTheme="minorHAnsi" w:cstheme="minorHAnsi"/>
          <w:szCs w:val="28"/>
          <w:lang w:val="fr-FR"/>
        </w:rPr>
      </w:pPr>
      <w:r w:rsidRPr="00EC5912">
        <w:rPr>
          <w:bCs/>
          <w:lang w:val="fr-FR"/>
        </w:rPr>
        <w:t xml:space="preserve">Diffusion d'applications multimédias et d'applications de données destinées </w:t>
      </w:r>
      <w:r w:rsidR="002903CD" w:rsidRPr="00EC5912">
        <w:rPr>
          <w:bCs/>
          <w:lang w:val="fr-FR"/>
        </w:rPr>
        <w:br/>
      </w:r>
      <w:r w:rsidRPr="00EC5912">
        <w:rPr>
          <w:bCs/>
          <w:lang w:val="fr-FR"/>
        </w:rPr>
        <w:t>à la réception mobile au moyen de récepteurs portatifs</w:t>
      </w:r>
    </w:p>
    <w:p w14:paraId="2D674D47" w14:textId="006429B8" w:rsidR="008F2E55" w:rsidRPr="00EC5912" w:rsidRDefault="008F2E55" w:rsidP="0022779E">
      <w:pPr>
        <w:pStyle w:val="Normalaftertitle"/>
        <w:spacing w:before="240"/>
        <w:rPr>
          <w:lang w:val="fr-FR"/>
        </w:rPr>
      </w:pPr>
      <w:r w:rsidRPr="00EC5912">
        <w:rPr>
          <w:lang w:val="fr-FR"/>
        </w:rPr>
        <w:t xml:space="preserve">Cette révision de la Recommandation </w:t>
      </w:r>
      <w:hyperlink r:id="rId19" w:history="1">
        <w:r w:rsidRPr="00EC5912">
          <w:rPr>
            <w:rStyle w:val="Hyperlink"/>
            <w:lang w:val="fr-FR"/>
          </w:rPr>
          <w:t>UIT-R BT.1833</w:t>
        </w:r>
      </w:hyperlink>
      <w:r w:rsidRPr="00EC5912">
        <w:rPr>
          <w:lang w:val="fr-FR"/>
        </w:rPr>
        <w:t xml:space="preserve"> </w:t>
      </w:r>
      <w:r w:rsidR="004E1E7C" w:rsidRPr="00EC5912">
        <w:rPr>
          <w:lang w:val="fr-FR"/>
        </w:rPr>
        <w:t>inclut</w:t>
      </w:r>
      <w:r w:rsidRPr="00EC5912">
        <w:rPr>
          <w:lang w:val="fr-FR"/>
        </w:rPr>
        <w:t xml:space="preserve"> le Système multimédia «L», fondé sur la norme ETSI TS 103 720, intitulée «</w:t>
      </w:r>
      <w:r w:rsidRPr="00EC5912">
        <w:rPr>
          <w:i/>
          <w:iCs/>
          <w:lang w:val="fr-FR"/>
        </w:rPr>
        <w:t>5G Broadcast System for linear TV and radio services;</w:t>
      </w:r>
      <w:r w:rsidRPr="00EC5912">
        <w:rPr>
          <w:lang w:val="fr-FR"/>
        </w:rPr>
        <w:t xml:space="preserve"> </w:t>
      </w:r>
      <w:r w:rsidRPr="00EC5912">
        <w:rPr>
          <w:i/>
          <w:iCs/>
          <w:lang w:val="fr-FR"/>
        </w:rPr>
        <w:t>LTE-based 5G terrestrial broadcast system</w:t>
      </w:r>
      <w:r w:rsidRPr="00EC5912">
        <w:rPr>
          <w:lang w:val="fr-FR"/>
        </w:rPr>
        <w:t>»</w:t>
      </w:r>
      <w:r w:rsidR="004E1E7C" w:rsidRPr="00EC5912">
        <w:rPr>
          <w:lang w:val="fr-FR"/>
        </w:rPr>
        <w:t xml:space="preserve"> (Système de radiodiffusion 5G pour les services télévisuels et radiophoniques linéaires </w:t>
      </w:r>
      <w:r w:rsidR="002903CD" w:rsidRPr="00EC5912">
        <w:rPr>
          <w:lang w:val="fr-FR"/>
        </w:rPr>
        <w:t>–</w:t>
      </w:r>
      <w:r w:rsidR="004E1E7C" w:rsidRPr="00EC5912">
        <w:rPr>
          <w:lang w:val="fr-FR"/>
        </w:rPr>
        <w:t xml:space="preserve"> Système de radiodiffusion 5G de Terre fondé sur la LTE)</w:t>
      </w:r>
      <w:r w:rsidRPr="00EC5912">
        <w:rPr>
          <w:lang w:val="fr-FR"/>
        </w:rPr>
        <w:t>, ainsi que le Système multimédia «S» (ATSC 3.0). Elle contient également de légères modifications du texte concernant le Système multimédia «B» (ATSC 1.0) dans le Tableau 1.</w:t>
      </w:r>
    </w:p>
    <w:p w14:paraId="03FEF654" w14:textId="4BAEA04F" w:rsidR="00112D04" w:rsidRPr="00EC5912" w:rsidRDefault="008F2E55" w:rsidP="00191B2E">
      <w:pPr>
        <w:spacing w:before="120" w:line="240" w:lineRule="auto"/>
        <w:jc w:val="center"/>
        <w:rPr>
          <w:lang w:val="fr-FR"/>
        </w:rPr>
      </w:pPr>
      <w:r w:rsidRPr="00EC5912">
        <w:rPr>
          <w:lang w:val="fr-FR"/>
        </w:rPr>
        <w:t>______________</w:t>
      </w:r>
    </w:p>
    <w:sectPr w:rsidR="00112D04" w:rsidRPr="00EC5912" w:rsidSect="003F2F3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C47B" w14:textId="77777777" w:rsidR="00344A36" w:rsidRDefault="00344A36">
      <w:r>
        <w:separator/>
      </w:r>
    </w:p>
  </w:endnote>
  <w:endnote w:type="continuationSeparator" w:id="0">
    <w:p w14:paraId="531A8CEB" w14:textId="77777777" w:rsidR="00344A36" w:rsidRDefault="0034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4119" w14:textId="459A68B9" w:rsidR="005E42F8" w:rsidRPr="00A52F04" w:rsidRDefault="00304636"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00FB79C3" w:rsidRPr="00FB79C3">
      <w:rPr>
        <w:color w:val="4F81BD" w:themeColor="accent1"/>
        <w:sz w:val="18"/>
        <w:szCs w:val="18"/>
        <w:lang w:val="fr-FR"/>
      </w:rPr>
      <w:t>•</w:t>
    </w:r>
    <w:r w:rsidRPr="00A52F04">
      <w:rPr>
        <w:rFonts w:asciiTheme="minorHAnsi" w:hAnsiTheme="minorHAnsi"/>
        <w:color w:val="4F81BD" w:themeColor="accent1"/>
        <w:sz w:val="18"/>
        <w:szCs w:val="18"/>
        <w:lang w:val="fr-CH"/>
      </w:rPr>
      <w:br/>
      <w:t>Tél</w:t>
    </w:r>
    <w:r w:rsidR="00A56B1F">
      <w:rPr>
        <w:rFonts w:asciiTheme="minorHAnsi" w:hAnsiTheme="minorHAnsi"/>
        <w:color w:val="4F81BD" w:themeColor="accent1"/>
        <w:sz w:val="18"/>
        <w:szCs w:val="18"/>
        <w:lang w:val="fr-CH"/>
      </w:rPr>
      <w:t>.</w:t>
    </w:r>
    <w:r w:rsidRPr="00A52F04">
      <w:rPr>
        <w:rFonts w:asciiTheme="minorHAnsi" w:hAnsiTheme="minorHAnsi"/>
        <w:color w:val="4F81BD" w:themeColor="accent1"/>
        <w:sz w:val="18"/>
        <w:szCs w:val="18"/>
        <w:lang w:val="fr-CH"/>
      </w:rPr>
      <w:t xml:space="preserve">: +41 22 730 5111 • courriel: </w:t>
    </w:r>
    <w:hyperlink r:id="rId1" w:history="1">
      <w:r w:rsidRPr="00284CA1">
        <w:rPr>
          <w:rStyle w:val="Hyperlink"/>
          <w:rFonts w:asciiTheme="minorHAnsi" w:hAnsiTheme="minorHAnsi"/>
          <w:sz w:val="18"/>
          <w:szCs w:val="18"/>
          <w:lang w:val="fr-FR"/>
        </w:rPr>
        <w:t>itumail@itu.int</w:t>
      </w:r>
    </w:hyperlink>
    <w:r w:rsidR="00284CA1">
      <w:rPr>
        <w:rStyle w:val="Hyperlink"/>
        <w:rFonts w:asciiTheme="minorHAnsi" w:hAnsiTheme="minorHAnsi"/>
        <w:color w:val="4F81BD" w:themeColor="accent1"/>
        <w:sz w:val="18"/>
        <w:szCs w:val="18"/>
        <w:lang w:val="fr-FR"/>
      </w:rPr>
      <w:t xml:space="preserve"> </w:t>
    </w:r>
    <w:r w:rsidRPr="00A52F04">
      <w:rPr>
        <w:rFonts w:asciiTheme="minorHAnsi" w:hAnsiTheme="minorHAnsi"/>
        <w:color w:val="4F81BD" w:themeColor="accent1"/>
        <w:sz w:val="18"/>
        <w:szCs w:val="18"/>
        <w:lang w:val="fr-CH"/>
      </w:rPr>
      <w:t xml:space="preserve">• Fax: +41 22 733 7256 • </w:t>
    </w:r>
    <w:hyperlink r:id="rId2" w:history="1">
      <w:r w:rsidR="00284CA1" w:rsidRPr="00C570DE">
        <w:rPr>
          <w:rStyle w:val="Hyperlink"/>
          <w:rFonts w:asciiTheme="minorHAnsi" w:hAnsiTheme="minorHAnsi"/>
          <w:sz w:val="18"/>
          <w:szCs w:val="18"/>
          <w:lang w:val="fr-FR"/>
        </w:rPr>
        <w:t>www.itu.int</w:t>
      </w:r>
    </w:hyperlink>
    <w:r w:rsidRPr="00A52F04">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4D12" w14:textId="77777777" w:rsidR="00344A36" w:rsidRDefault="00344A36">
      <w:r>
        <w:t>____________________</w:t>
      </w:r>
    </w:p>
  </w:footnote>
  <w:footnote w:type="continuationSeparator" w:id="0">
    <w:p w14:paraId="5BE1DCD6" w14:textId="77777777" w:rsidR="00344A36" w:rsidRDefault="00344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EEA1"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AC8D" w14:textId="6FB114A9" w:rsidR="003F2F34" w:rsidRPr="003F2F34" w:rsidRDefault="00904A6E" w:rsidP="003F2F34">
    <w:pPr>
      <w:pStyle w:val="Header"/>
      <w:jc w:val="center"/>
      <w:rPr>
        <w:sz w:val="18"/>
        <w:szCs w:val="16"/>
      </w:rPr>
    </w:pPr>
    <w:r>
      <w:rPr>
        <w:sz w:val="18"/>
        <w:szCs w:val="16"/>
      </w:rPr>
      <w:t xml:space="preserve">- </w:t>
    </w:r>
    <w:r w:rsidR="000443EA" w:rsidRPr="003F2F34">
      <w:rPr>
        <w:sz w:val="18"/>
        <w:szCs w:val="16"/>
      </w:rPr>
      <w:fldChar w:fldCharType="begin"/>
    </w:r>
    <w:r w:rsidR="000443EA" w:rsidRPr="003F2F34">
      <w:rPr>
        <w:sz w:val="18"/>
        <w:szCs w:val="16"/>
      </w:rPr>
      <w:instrText xml:space="preserve"> PAGE </w:instrText>
    </w:r>
    <w:r w:rsidR="000443EA" w:rsidRPr="003F2F34">
      <w:rPr>
        <w:sz w:val="18"/>
        <w:szCs w:val="16"/>
      </w:rPr>
      <w:fldChar w:fldCharType="separate"/>
    </w:r>
    <w:r w:rsidR="00416BE1">
      <w:rPr>
        <w:noProof/>
        <w:sz w:val="18"/>
        <w:szCs w:val="16"/>
      </w:rPr>
      <w:t>5</w:t>
    </w:r>
    <w:r w:rsidR="000443EA"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8EE1" w14:textId="4F1AAC50" w:rsidR="00191B2E" w:rsidRDefault="00191B2E" w:rsidP="00191B2E">
    <w:pPr>
      <w:pStyle w:val="Header"/>
      <w:tabs>
        <w:tab w:val="clear" w:pos="794"/>
        <w:tab w:val="clear" w:pos="4820"/>
        <w:tab w:val="clear" w:pos="9639"/>
        <w:tab w:val="left" w:pos="9900"/>
      </w:tabs>
      <w:spacing w:before="240" w:line="360" w:lineRule="auto"/>
      <w:jc w:val="center"/>
    </w:pPr>
    <w:r>
      <w:rPr>
        <w:noProof/>
        <w:lang w:val="fr-CH" w:eastAsia="fr-CH"/>
      </w:rPr>
      <w:drawing>
        <wp:inline distT="0" distB="0" distL="0" distR="0" wp14:anchorId="09630C02" wp14:editId="37D05A0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0CE6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7E2A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604B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5231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AA9F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2A62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5AC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68D5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C6B6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42D4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275136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814258">
    <w:abstractNumId w:val="15"/>
  </w:num>
  <w:num w:numId="3" w16cid:durableId="2025285873">
    <w:abstractNumId w:val="9"/>
  </w:num>
  <w:num w:numId="4" w16cid:durableId="2024161890">
    <w:abstractNumId w:val="7"/>
  </w:num>
  <w:num w:numId="5" w16cid:durableId="2039161347">
    <w:abstractNumId w:val="6"/>
  </w:num>
  <w:num w:numId="6" w16cid:durableId="597714624">
    <w:abstractNumId w:val="5"/>
  </w:num>
  <w:num w:numId="7" w16cid:durableId="1810778781">
    <w:abstractNumId w:val="4"/>
  </w:num>
  <w:num w:numId="8" w16cid:durableId="1889417897">
    <w:abstractNumId w:val="8"/>
  </w:num>
  <w:num w:numId="9" w16cid:durableId="1982491655">
    <w:abstractNumId w:val="3"/>
  </w:num>
  <w:num w:numId="10" w16cid:durableId="572853722">
    <w:abstractNumId w:val="2"/>
  </w:num>
  <w:num w:numId="11" w16cid:durableId="2071344258">
    <w:abstractNumId w:val="1"/>
  </w:num>
  <w:num w:numId="12" w16cid:durableId="228424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1E64"/>
    <w:rsid w:val="00034340"/>
    <w:rsid w:val="00035CB3"/>
    <w:rsid w:val="000443EA"/>
    <w:rsid w:val="00045A8D"/>
    <w:rsid w:val="0005167A"/>
    <w:rsid w:val="00054E5D"/>
    <w:rsid w:val="00070258"/>
    <w:rsid w:val="00072B0A"/>
    <w:rsid w:val="0007323C"/>
    <w:rsid w:val="00086D03"/>
    <w:rsid w:val="000A096A"/>
    <w:rsid w:val="000A375E"/>
    <w:rsid w:val="000A7051"/>
    <w:rsid w:val="000B0AF6"/>
    <w:rsid w:val="000B0E9B"/>
    <w:rsid w:val="000B2CAE"/>
    <w:rsid w:val="000B643D"/>
    <w:rsid w:val="000C03C7"/>
    <w:rsid w:val="000C2AD0"/>
    <w:rsid w:val="000E3DEE"/>
    <w:rsid w:val="000E443D"/>
    <w:rsid w:val="00100B72"/>
    <w:rsid w:val="00101F7D"/>
    <w:rsid w:val="00103C76"/>
    <w:rsid w:val="0011265F"/>
    <w:rsid w:val="00112D04"/>
    <w:rsid w:val="00117282"/>
    <w:rsid w:val="00117389"/>
    <w:rsid w:val="00121C2D"/>
    <w:rsid w:val="00134404"/>
    <w:rsid w:val="0014220F"/>
    <w:rsid w:val="00144DFB"/>
    <w:rsid w:val="0015546D"/>
    <w:rsid w:val="00162E3F"/>
    <w:rsid w:val="00187CA3"/>
    <w:rsid w:val="00191B2E"/>
    <w:rsid w:val="001961AF"/>
    <w:rsid w:val="00196710"/>
    <w:rsid w:val="00196770"/>
    <w:rsid w:val="00197324"/>
    <w:rsid w:val="001B351B"/>
    <w:rsid w:val="001B42C9"/>
    <w:rsid w:val="001C0271"/>
    <w:rsid w:val="001C06DB"/>
    <w:rsid w:val="001C6971"/>
    <w:rsid w:val="001D2785"/>
    <w:rsid w:val="001D7070"/>
    <w:rsid w:val="001E2095"/>
    <w:rsid w:val="001F2170"/>
    <w:rsid w:val="001F3948"/>
    <w:rsid w:val="001F5A49"/>
    <w:rsid w:val="00201097"/>
    <w:rsid w:val="00201B6E"/>
    <w:rsid w:val="00226E78"/>
    <w:rsid w:val="0022779E"/>
    <w:rsid w:val="002302B3"/>
    <w:rsid w:val="00230C66"/>
    <w:rsid w:val="0023520C"/>
    <w:rsid w:val="00235A29"/>
    <w:rsid w:val="00241526"/>
    <w:rsid w:val="002443A2"/>
    <w:rsid w:val="002569F7"/>
    <w:rsid w:val="00266E74"/>
    <w:rsid w:val="00283C3B"/>
    <w:rsid w:val="00284CA1"/>
    <w:rsid w:val="002861E6"/>
    <w:rsid w:val="00287D18"/>
    <w:rsid w:val="002903CD"/>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4A36"/>
    <w:rsid w:val="00345D38"/>
    <w:rsid w:val="003471C9"/>
    <w:rsid w:val="00352097"/>
    <w:rsid w:val="00365BCB"/>
    <w:rsid w:val="003666FF"/>
    <w:rsid w:val="00372570"/>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16BE1"/>
    <w:rsid w:val="004228FA"/>
    <w:rsid w:val="004308CB"/>
    <w:rsid w:val="004326DB"/>
    <w:rsid w:val="00432DF2"/>
    <w:rsid w:val="0043682E"/>
    <w:rsid w:val="0044304A"/>
    <w:rsid w:val="00447ECB"/>
    <w:rsid w:val="004623F7"/>
    <w:rsid w:val="00480F51"/>
    <w:rsid w:val="00481124"/>
    <w:rsid w:val="004815EB"/>
    <w:rsid w:val="00487569"/>
    <w:rsid w:val="00491478"/>
    <w:rsid w:val="00496864"/>
    <w:rsid w:val="00496920"/>
    <w:rsid w:val="004A4496"/>
    <w:rsid w:val="004B11AB"/>
    <w:rsid w:val="004B7C9A"/>
    <w:rsid w:val="004C6779"/>
    <w:rsid w:val="004D733B"/>
    <w:rsid w:val="004E0DC4"/>
    <w:rsid w:val="004E0FB5"/>
    <w:rsid w:val="004E1E7C"/>
    <w:rsid w:val="004E4398"/>
    <w:rsid w:val="004E43BB"/>
    <w:rsid w:val="004E460D"/>
    <w:rsid w:val="004F178E"/>
    <w:rsid w:val="004F4543"/>
    <w:rsid w:val="004F47EA"/>
    <w:rsid w:val="004F57BB"/>
    <w:rsid w:val="00505309"/>
    <w:rsid w:val="0050789B"/>
    <w:rsid w:val="005224A1"/>
    <w:rsid w:val="00534372"/>
    <w:rsid w:val="0053656C"/>
    <w:rsid w:val="00543DF8"/>
    <w:rsid w:val="00546101"/>
    <w:rsid w:val="00553DD7"/>
    <w:rsid w:val="00556E6E"/>
    <w:rsid w:val="005638CF"/>
    <w:rsid w:val="0056741E"/>
    <w:rsid w:val="0057325A"/>
    <w:rsid w:val="0057469A"/>
    <w:rsid w:val="00580814"/>
    <w:rsid w:val="00583A0B"/>
    <w:rsid w:val="0059293C"/>
    <w:rsid w:val="00593FDE"/>
    <w:rsid w:val="00594985"/>
    <w:rsid w:val="005A03A3"/>
    <w:rsid w:val="005A2B92"/>
    <w:rsid w:val="005A3F66"/>
    <w:rsid w:val="005A79E9"/>
    <w:rsid w:val="005B214C"/>
    <w:rsid w:val="005B3AD3"/>
    <w:rsid w:val="005B4CDA"/>
    <w:rsid w:val="005B62F0"/>
    <w:rsid w:val="005D3669"/>
    <w:rsid w:val="005D79C3"/>
    <w:rsid w:val="005E42F8"/>
    <w:rsid w:val="005E5EB3"/>
    <w:rsid w:val="005F0900"/>
    <w:rsid w:val="005F3CB6"/>
    <w:rsid w:val="005F657C"/>
    <w:rsid w:val="00602D53"/>
    <w:rsid w:val="006047E5"/>
    <w:rsid w:val="00613273"/>
    <w:rsid w:val="00642050"/>
    <w:rsid w:val="0064371D"/>
    <w:rsid w:val="00650543"/>
    <w:rsid w:val="00650B2A"/>
    <w:rsid w:val="00651777"/>
    <w:rsid w:val="006550F8"/>
    <w:rsid w:val="006806A9"/>
    <w:rsid w:val="006829F3"/>
    <w:rsid w:val="00692B05"/>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778B7"/>
    <w:rsid w:val="00880F4D"/>
    <w:rsid w:val="0088443B"/>
    <w:rsid w:val="00896BBA"/>
    <w:rsid w:val="008B35A3"/>
    <w:rsid w:val="008B37E1"/>
    <w:rsid w:val="008B45F8"/>
    <w:rsid w:val="008C2E74"/>
    <w:rsid w:val="008D5409"/>
    <w:rsid w:val="008E006D"/>
    <w:rsid w:val="008E1576"/>
    <w:rsid w:val="008E38B4"/>
    <w:rsid w:val="008F2E55"/>
    <w:rsid w:val="008F4F21"/>
    <w:rsid w:val="00904A6E"/>
    <w:rsid w:val="00904D4A"/>
    <w:rsid w:val="009076D7"/>
    <w:rsid w:val="009151BA"/>
    <w:rsid w:val="00925023"/>
    <w:rsid w:val="009277BC"/>
    <w:rsid w:val="00927D57"/>
    <w:rsid w:val="00931A51"/>
    <w:rsid w:val="0094131B"/>
    <w:rsid w:val="00947185"/>
    <w:rsid w:val="009518B3"/>
    <w:rsid w:val="0095297D"/>
    <w:rsid w:val="00963D9D"/>
    <w:rsid w:val="0098013E"/>
    <w:rsid w:val="00981B54"/>
    <w:rsid w:val="00982E37"/>
    <w:rsid w:val="009842C3"/>
    <w:rsid w:val="009969DF"/>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2F04"/>
    <w:rsid w:val="00A56B1F"/>
    <w:rsid w:val="00A63355"/>
    <w:rsid w:val="00A7596D"/>
    <w:rsid w:val="00A908F8"/>
    <w:rsid w:val="00A963DF"/>
    <w:rsid w:val="00AA211B"/>
    <w:rsid w:val="00AA781A"/>
    <w:rsid w:val="00AC0C22"/>
    <w:rsid w:val="00AC3896"/>
    <w:rsid w:val="00AD2CF2"/>
    <w:rsid w:val="00AD637E"/>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429F"/>
    <w:rsid w:val="00BD6738"/>
    <w:rsid w:val="00BD7E5E"/>
    <w:rsid w:val="00BE63DB"/>
    <w:rsid w:val="00BE6574"/>
    <w:rsid w:val="00BF700F"/>
    <w:rsid w:val="00C0623B"/>
    <w:rsid w:val="00C07319"/>
    <w:rsid w:val="00C16FD2"/>
    <w:rsid w:val="00C236AF"/>
    <w:rsid w:val="00C3556B"/>
    <w:rsid w:val="00C4395E"/>
    <w:rsid w:val="00C47FFD"/>
    <w:rsid w:val="00C51E92"/>
    <w:rsid w:val="00C57E2C"/>
    <w:rsid w:val="00C608B7"/>
    <w:rsid w:val="00C66F24"/>
    <w:rsid w:val="00C76D7F"/>
    <w:rsid w:val="00C813AA"/>
    <w:rsid w:val="00C83EDC"/>
    <w:rsid w:val="00C9291E"/>
    <w:rsid w:val="00CA3F44"/>
    <w:rsid w:val="00CA4E58"/>
    <w:rsid w:val="00CB3771"/>
    <w:rsid w:val="00CB44BF"/>
    <w:rsid w:val="00CB5153"/>
    <w:rsid w:val="00CC7668"/>
    <w:rsid w:val="00CD64DB"/>
    <w:rsid w:val="00CE076A"/>
    <w:rsid w:val="00CE463D"/>
    <w:rsid w:val="00CE6201"/>
    <w:rsid w:val="00D10BA0"/>
    <w:rsid w:val="00D21694"/>
    <w:rsid w:val="00D24EB5"/>
    <w:rsid w:val="00D27F19"/>
    <w:rsid w:val="00D33462"/>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C5912"/>
    <w:rsid w:val="00EE03A0"/>
    <w:rsid w:val="00EE1A57"/>
    <w:rsid w:val="00F24336"/>
    <w:rsid w:val="00F424BF"/>
    <w:rsid w:val="00F44FC3"/>
    <w:rsid w:val="00F46107"/>
    <w:rsid w:val="00F468C5"/>
    <w:rsid w:val="00F52F39"/>
    <w:rsid w:val="00F6184F"/>
    <w:rsid w:val="00F73DBD"/>
    <w:rsid w:val="00F8310E"/>
    <w:rsid w:val="00F914DD"/>
    <w:rsid w:val="00FA2358"/>
    <w:rsid w:val="00FB2592"/>
    <w:rsid w:val="00FB2810"/>
    <w:rsid w:val="00FB79C3"/>
    <w:rsid w:val="00FB7A2C"/>
    <w:rsid w:val="00FC24D3"/>
    <w:rsid w:val="00FC2947"/>
    <w:rsid w:val="00FD5C5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6C96C18"/>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F24336"/>
    <w:rPr>
      <w:color w:val="605E5C"/>
      <w:shd w:val="clear" w:color="auto" w:fill="E1DFDD"/>
    </w:rPr>
  </w:style>
  <w:style w:type="character" w:styleId="FollowedHyperlink">
    <w:name w:val="FollowedHyperlink"/>
    <w:basedOn w:val="DefaultParagraphFont"/>
    <w:semiHidden/>
    <w:unhideWhenUsed/>
    <w:rsid w:val="00594985"/>
    <w:rPr>
      <w:color w:val="800080" w:themeColor="followedHyperlink"/>
      <w:u w:val="single"/>
    </w:rPr>
  </w:style>
  <w:style w:type="paragraph" w:customStyle="1" w:styleId="Reasons">
    <w:name w:val="Reasons"/>
    <w:basedOn w:val="Normal"/>
    <w:qFormat/>
    <w:rsid w:val="00692B0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Rec-title">
    <w:name w:val="Rec-title"/>
    <w:basedOn w:val="Normal"/>
    <w:rsid w:val="00556E6E"/>
    <w:pPr>
      <w:jc w:val="left"/>
    </w:pPr>
  </w:style>
  <w:style w:type="character" w:customStyle="1" w:styleId="CommentTextChar">
    <w:name w:val="Comment Text Char"/>
    <w:basedOn w:val="DefaultParagraphFont"/>
    <w:link w:val="CommentText"/>
    <w:semiHidden/>
    <w:rsid w:val="00692B05"/>
    <w:rPr>
      <w:szCs w:val="22"/>
      <w:lang w:val="en-US" w:eastAsia="en-US"/>
    </w:rPr>
  </w:style>
  <w:style w:type="character" w:customStyle="1" w:styleId="RectitleChar">
    <w:name w:val="Rec_title Char"/>
    <w:link w:val="Rectitle"/>
    <w:uiPriority w:val="99"/>
    <w:rsid w:val="008F2E55"/>
    <w:rPr>
      <w:b/>
      <w:sz w:val="28"/>
      <w:szCs w:val="22"/>
      <w:lang w:val="en-US" w:eastAsia="en-US"/>
    </w:rPr>
  </w:style>
  <w:style w:type="paragraph" w:styleId="CommentSubject">
    <w:name w:val="annotation subject"/>
    <w:basedOn w:val="CommentText"/>
    <w:next w:val="CommentText"/>
    <w:link w:val="CommentSubjectChar"/>
    <w:semiHidden/>
    <w:unhideWhenUsed/>
    <w:rsid w:val="0059293C"/>
    <w:pPr>
      <w:spacing w:line="240" w:lineRule="auto"/>
    </w:pPr>
    <w:rPr>
      <w:b/>
      <w:bCs/>
      <w:szCs w:val="20"/>
    </w:rPr>
  </w:style>
  <w:style w:type="character" w:customStyle="1" w:styleId="CommentSubjectChar">
    <w:name w:val="Comment Subject Char"/>
    <w:basedOn w:val="CommentTextChar"/>
    <w:link w:val="CommentSubject"/>
    <w:semiHidden/>
    <w:rsid w:val="0059293C"/>
    <w:rPr>
      <w:b/>
      <w:bCs/>
      <w:szCs w:val="22"/>
      <w:lang w:val="en-US" w:eastAsia="en-US"/>
    </w:rPr>
  </w:style>
  <w:style w:type="paragraph" w:styleId="Revision">
    <w:name w:val="Revision"/>
    <w:hidden/>
    <w:uiPriority w:val="99"/>
    <w:semiHidden/>
    <w:rsid w:val="0059293C"/>
    <w:rPr>
      <w:sz w:val="24"/>
      <w:szCs w:val="22"/>
      <w:lang w:val="en-US" w:eastAsia="en-US"/>
    </w:rPr>
  </w:style>
  <w:style w:type="character" w:styleId="UnresolvedMention">
    <w:name w:val="Unresolved Mention"/>
    <w:basedOn w:val="DefaultParagraphFont"/>
    <w:uiPriority w:val="99"/>
    <w:semiHidden/>
    <w:unhideWhenUsed/>
    <w:rsid w:val="008778B7"/>
    <w:rPr>
      <w:color w:val="605E5C"/>
      <w:shd w:val="clear" w:color="auto" w:fill="E1DFDD"/>
    </w:rPr>
  </w:style>
  <w:style w:type="paragraph" w:customStyle="1" w:styleId="enumlev2rmalBodyCalibri">
    <w:name w:val="enumlev2rmal + +Body (Calibri)"/>
    <w:basedOn w:val="Normal"/>
    <w:rsid w:val="00226E78"/>
    <w:pPr>
      <w:tabs>
        <w:tab w:val="clear" w:pos="794"/>
        <w:tab w:val="clear" w:pos="1191"/>
        <w:tab w:val="clear" w:pos="1588"/>
        <w:tab w:val="clear" w:pos="1985"/>
        <w:tab w:val="left" w:pos="1134"/>
        <w:tab w:val="left" w:pos="1871"/>
        <w:tab w:val="left" w:pos="2608"/>
        <w:tab w:val="left" w:pos="3345"/>
      </w:tabs>
      <w:spacing w:before="80" w:line="240" w:lineRule="auto"/>
      <w:ind w:left="1871" w:hanging="737"/>
    </w:pPr>
    <w:rPr>
      <w:rFonts w:asciiTheme="minorHAnsi" w:hAnsiTheme="minorHAnsi" w:cstheme="minorHAnsi"/>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fr" TargetMode="External"/><Relationship Id="rId13" Type="http://schemas.openxmlformats.org/officeDocument/2006/relationships/hyperlink" Target="https://www.itu.int/md/R19-SG06-C-0264/fr" TargetMode="External"/><Relationship Id="rId18" Type="http://schemas.openxmlformats.org/officeDocument/2006/relationships/hyperlink" Target="https://www.itu.int/md/R19-SG06-C/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R19-SG06-C-0262/fr" TargetMode="External"/><Relationship Id="rId17" Type="http://schemas.openxmlformats.org/officeDocument/2006/relationships/hyperlink" Target="https://www.itu.int/md/R19-SG06-C-0276/fr"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tu.int/md/R19-SG06-C-0275/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6-C-0260/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19-SG06-C-0270/fr" TargetMode="External"/><Relationship Id="rId23" Type="http://schemas.openxmlformats.org/officeDocument/2006/relationships/footer" Target="footer1.xml"/><Relationship Id="rId10" Type="http://schemas.openxmlformats.org/officeDocument/2006/relationships/hyperlink" Target="https://www.itu.int/md/R19-SG06-C-0254/fr" TargetMode="External"/><Relationship Id="rId19" Type="http://schemas.openxmlformats.org/officeDocument/2006/relationships/hyperlink" Target="https://www.itu.int/rec/R-REC-BT.1833/en" TargetMode="External"/><Relationship Id="rId4" Type="http://schemas.openxmlformats.org/officeDocument/2006/relationships/settings" Target="settings.xml"/><Relationship Id="rId9" Type="http://schemas.openxmlformats.org/officeDocument/2006/relationships/hyperlink" Target="https://www.itu.int/fr/ITU-T/ipr/Pages/policy.aspx" TargetMode="External"/><Relationship Id="rId14" Type="http://schemas.openxmlformats.org/officeDocument/2006/relationships/hyperlink" Target="https://www.itu.int/md/R19-SG06-C-0265/fr"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0E50EAB7E04EDDB4C690D0E80F17D6"/>
        <w:category>
          <w:name w:val="General"/>
          <w:gallery w:val="placeholder"/>
        </w:category>
        <w:types>
          <w:type w:val="bbPlcHdr"/>
        </w:types>
        <w:behaviors>
          <w:behavior w:val="content"/>
        </w:behaviors>
        <w:guid w:val="{531C6FC0-E2BD-4D38-A24E-25DD901F4178}"/>
      </w:docPartPr>
      <w:docPartBody>
        <w:p w:rsidR="001B0EDC" w:rsidRDefault="00150F2E" w:rsidP="00150F2E">
          <w:pPr>
            <w:pStyle w:val="C80E50EAB7E04EDDB4C690D0E80F17D6"/>
          </w:pPr>
          <w:r w:rsidRPr="00B02624">
            <w:rPr>
              <w:rStyle w:val="PlaceholderText"/>
            </w:rPr>
            <w:t>Choose an item.</w:t>
          </w:r>
        </w:p>
      </w:docPartBody>
    </w:docPart>
    <w:docPart>
      <w:docPartPr>
        <w:name w:val="8BA3548AA1194DC8B67F168832E90968"/>
        <w:category>
          <w:name w:val="General"/>
          <w:gallery w:val="placeholder"/>
        </w:category>
        <w:types>
          <w:type w:val="bbPlcHdr"/>
        </w:types>
        <w:behaviors>
          <w:behavior w:val="content"/>
        </w:behaviors>
        <w:guid w:val="{2C2EF42C-49EF-4F3B-BCE1-4E751FC2765D}"/>
      </w:docPartPr>
      <w:docPartBody>
        <w:p w:rsidR="001B0EDC" w:rsidRDefault="00150F2E" w:rsidP="00150F2E">
          <w:pPr>
            <w:pStyle w:val="8BA3548AA1194DC8B67F168832E90968"/>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50F2E"/>
    <w:rsid w:val="001A7763"/>
    <w:rsid w:val="001B0E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F2E"/>
    <w:rPr>
      <w:color w:val="808080"/>
    </w:rPr>
  </w:style>
  <w:style w:type="paragraph" w:customStyle="1" w:styleId="C80E50EAB7E04EDDB4C690D0E80F17D6">
    <w:name w:val="C80E50EAB7E04EDDB4C690D0E80F17D6"/>
    <w:rsid w:val="00150F2E"/>
    <w:rPr>
      <w:lang w:val="en-US" w:eastAsia="en-US"/>
    </w:rPr>
  </w:style>
  <w:style w:type="paragraph" w:customStyle="1" w:styleId="8BA3548AA1194DC8B67F168832E90968">
    <w:name w:val="8BA3548AA1194DC8B67F168832E90968"/>
    <w:rsid w:val="00150F2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255A-A3E5-4FB9-B4F9-8D5C4726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1490</Words>
  <Characters>9437</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10906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French</dc:creator>
  <cp:lastModifiedBy>Fernandez Jimenez, Virginia</cp:lastModifiedBy>
  <cp:revision>7</cp:revision>
  <cp:lastPrinted>2013-03-08T10:15:00Z</cp:lastPrinted>
  <dcterms:created xsi:type="dcterms:W3CDTF">2022-10-10T09:15:00Z</dcterms:created>
  <dcterms:modified xsi:type="dcterms:W3CDTF">2022-10-18T13:58:00Z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