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4EE8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BE4EE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E4EE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BE4EE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BE4EE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E4EE8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BE4EE8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BE4EE8">
              <w:rPr>
                <w:szCs w:val="24"/>
                <w:lang w:val="es-ES_tradnl"/>
              </w:rPr>
              <w:t>Circular Administrativa</w:t>
            </w:r>
          </w:p>
          <w:p w14:paraId="0F5CA999" w14:textId="5FBAEFBA" w:rsidR="00E53DCE" w:rsidRPr="00BE4E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E4EE8">
              <w:rPr>
                <w:b/>
                <w:bCs/>
                <w:szCs w:val="24"/>
                <w:lang w:val="es-ES_tradnl"/>
              </w:rPr>
              <w:t>CA</w:t>
            </w:r>
            <w:r w:rsidR="00EB61B3" w:rsidRPr="00BE4EE8">
              <w:rPr>
                <w:b/>
                <w:bCs/>
                <w:szCs w:val="24"/>
                <w:lang w:val="es-ES_tradnl"/>
              </w:rPr>
              <w:t>CE</w:t>
            </w:r>
            <w:r w:rsidRPr="00BE4EE8">
              <w:rPr>
                <w:b/>
                <w:bCs/>
                <w:szCs w:val="24"/>
                <w:lang w:val="es-ES_tradnl"/>
              </w:rPr>
              <w:t>/</w:t>
            </w:r>
            <w:r w:rsidR="0029303E" w:rsidRPr="00BE4EE8">
              <w:rPr>
                <w:b/>
                <w:bCs/>
                <w:szCs w:val="24"/>
                <w:lang w:val="es-ES_tradnl"/>
              </w:rPr>
              <w:t>10</w:t>
            </w:r>
            <w:r w:rsidR="00863A9C">
              <w:rPr>
                <w:b/>
                <w:bCs/>
                <w:szCs w:val="24"/>
                <w:lang w:val="es-ES_tradnl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70E306BB" w14:textId="2C4B5BD6" w:rsidR="00E53DCE" w:rsidRPr="00BE4EE8" w:rsidRDefault="00D05F3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30 de agosto de 2022</w:t>
            </w:r>
          </w:p>
        </w:tc>
      </w:tr>
      <w:tr w:rsidR="00E53DCE" w:rsidRPr="00BE4EE8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BE4EE8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E4EE8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BE4EE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E4EE8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1CFF811A" w:rsidR="00E53DCE" w:rsidRPr="00BE4EE8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E4EE8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BE4EE8">
              <w:rPr>
                <w:b/>
                <w:lang w:val="es-ES_tradnl"/>
              </w:rPr>
              <w:br/>
            </w:r>
            <w:r w:rsidRPr="00BE4EE8">
              <w:rPr>
                <w:b/>
                <w:lang w:val="es-ES_tradnl"/>
              </w:rPr>
              <w:t xml:space="preserve">Comisión de Estudio </w:t>
            </w:r>
            <w:r w:rsidR="0029303E" w:rsidRPr="00BE4EE8">
              <w:rPr>
                <w:b/>
                <w:lang w:val="es-ES_tradnl"/>
              </w:rPr>
              <w:t>3</w:t>
            </w:r>
            <w:r w:rsidRPr="00BE4EE8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BE4EE8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BE4EE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E4EE8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BE4EE8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E4EE8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BE4EE8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E4EE8">
              <w:rPr>
                <w:szCs w:val="24"/>
                <w:lang w:val="es-ES_tradnl"/>
              </w:rPr>
              <w:t>Asunto</w:t>
            </w:r>
            <w:r w:rsidR="00A96D3A" w:rsidRPr="00BE4EE8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10224002" w:rsidR="00555A7B" w:rsidRPr="00BE4EE8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E4EE8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29303E" w:rsidRPr="00BE4EE8">
              <w:rPr>
                <w:rStyle w:val="Style1"/>
                <w:szCs w:val="24"/>
                <w:lang w:val="es-ES_tradnl"/>
              </w:rPr>
              <w:t>3</w:t>
            </w:r>
            <w:r w:rsidRPr="00BE4EE8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29303E" w:rsidRPr="00BE4EE8">
              <w:rPr>
                <w:rStyle w:val="Style2"/>
                <w:szCs w:val="24"/>
                <w:lang w:val="es-ES_tradnl"/>
              </w:rPr>
              <w:t>(Propagación de las ondas radioeléctricas)</w:t>
            </w:r>
          </w:p>
          <w:p w14:paraId="1CE0EDA0" w14:textId="311446AA" w:rsidR="00E53DCE" w:rsidRPr="00BE4EE8" w:rsidRDefault="00C1082E" w:rsidP="00BE4EE8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E4EE8">
              <w:rPr>
                <w:b/>
                <w:bCs/>
                <w:lang w:val="es-ES_tradnl"/>
              </w:rPr>
              <w:t>–</w:t>
            </w:r>
            <w:r w:rsidRPr="00BE4EE8">
              <w:rPr>
                <w:b/>
                <w:bCs/>
                <w:lang w:val="es-ES_tradnl"/>
              </w:rPr>
              <w:tab/>
              <w:t xml:space="preserve">Adopción de </w:t>
            </w:r>
            <w:r w:rsidR="0029303E" w:rsidRPr="00BE4EE8">
              <w:rPr>
                <w:b/>
                <w:bCs/>
                <w:lang w:val="es-ES_tradnl"/>
              </w:rPr>
              <w:t>4</w:t>
            </w:r>
            <w:r w:rsidRPr="00BE4EE8">
              <w:rPr>
                <w:b/>
                <w:bCs/>
                <w:lang w:val="es-ES_tradnl"/>
              </w:rPr>
              <w:t xml:space="preserve"> Recomendaci</w:t>
            </w:r>
            <w:r w:rsidR="0029303E" w:rsidRPr="00BE4EE8">
              <w:rPr>
                <w:b/>
                <w:bCs/>
                <w:lang w:val="es-ES_tradnl"/>
              </w:rPr>
              <w:t>o</w:t>
            </w:r>
            <w:r w:rsidRPr="00BE4EE8">
              <w:rPr>
                <w:b/>
                <w:bCs/>
                <w:lang w:val="es-ES_tradnl"/>
              </w:rPr>
              <w:t>nes nuevas</w:t>
            </w:r>
            <w:r w:rsidR="002E6B72" w:rsidRPr="00BE4EE8">
              <w:rPr>
                <w:b/>
                <w:bCs/>
                <w:lang w:val="es-ES_tradnl"/>
              </w:rPr>
              <w:t xml:space="preserve"> UIT-R</w:t>
            </w:r>
            <w:r w:rsidRPr="00BE4EE8">
              <w:rPr>
                <w:b/>
                <w:bCs/>
                <w:lang w:val="es-ES_tradnl"/>
              </w:rPr>
              <w:t xml:space="preserve"> y </w:t>
            </w:r>
            <w:r w:rsidR="0029303E" w:rsidRPr="00BE4EE8">
              <w:rPr>
                <w:b/>
                <w:bCs/>
                <w:lang w:val="es-ES_tradnl"/>
              </w:rPr>
              <w:t>10</w:t>
            </w:r>
            <w:r w:rsidRPr="00BE4EE8">
              <w:rPr>
                <w:b/>
                <w:bCs/>
                <w:lang w:val="es-ES_tradnl"/>
              </w:rPr>
              <w:t xml:space="preserve"> Recomendaci</w:t>
            </w:r>
            <w:r w:rsidR="0029303E" w:rsidRPr="00BE4EE8">
              <w:rPr>
                <w:b/>
                <w:bCs/>
                <w:lang w:val="es-ES_tradnl"/>
              </w:rPr>
              <w:t>o</w:t>
            </w:r>
            <w:r w:rsidRPr="00BE4EE8">
              <w:rPr>
                <w:b/>
                <w:bCs/>
                <w:lang w:val="es-ES_tradnl"/>
              </w:rPr>
              <w:t xml:space="preserve">nes </w:t>
            </w:r>
            <w:r w:rsidR="002E6B72" w:rsidRPr="00BE4EE8">
              <w:rPr>
                <w:b/>
                <w:bCs/>
                <w:lang w:val="es-ES_tradnl"/>
              </w:rPr>
              <w:t xml:space="preserve">UIT-R </w:t>
            </w:r>
            <w:r w:rsidRPr="00BE4EE8">
              <w:rPr>
                <w:b/>
                <w:bCs/>
                <w:lang w:val="es-ES_tradnl"/>
              </w:rPr>
              <w:t>revisadas y su aprobación simultánea por correspondencia de conformidad con el § </w:t>
            </w:r>
            <w:proofErr w:type="spellStart"/>
            <w:r w:rsidRPr="00BE4EE8">
              <w:rPr>
                <w:b/>
                <w:bCs/>
                <w:lang w:val="es-ES_tradnl"/>
              </w:rPr>
              <w:t>A2.6.2.4</w:t>
            </w:r>
            <w:proofErr w:type="spellEnd"/>
            <w:r w:rsidRPr="00BE4EE8">
              <w:rPr>
                <w:b/>
                <w:bCs/>
                <w:lang w:val="es-ES_tradnl"/>
              </w:rPr>
              <w:t xml:space="preserve"> de la Resolución UIT</w:t>
            </w:r>
            <w:r w:rsidR="00C57C82">
              <w:rPr>
                <w:b/>
                <w:bCs/>
                <w:lang w:val="es-ES_tradnl"/>
              </w:rPr>
              <w:t>-</w:t>
            </w:r>
            <w:r w:rsidRPr="00BE4EE8">
              <w:rPr>
                <w:b/>
                <w:bCs/>
                <w:lang w:val="es-ES_tradnl"/>
              </w:rPr>
              <w:t>R 1</w:t>
            </w:r>
            <w:r w:rsidR="00C57C82">
              <w:rPr>
                <w:b/>
                <w:bCs/>
                <w:lang w:val="es-ES_tradnl"/>
              </w:rPr>
              <w:t>-</w:t>
            </w:r>
            <w:r w:rsidR="00636330" w:rsidRPr="00BE4EE8">
              <w:rPr>
                <w:b/>
                <w:bCs/>
                <w:lang w:val="es-ES_tradnl"/>
              </w:rPr>
              <w:t>8</w:t>
            </w:r>
            <w:r w:rsidRPr="00BE4EE8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BE4EE8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BE4E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BE4E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4EE8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BE4E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BE4E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4EE8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BE4E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13F02BDB" w:rsidR="00C1082E" w:rsidRPr="00BE4EE8" w:rsidRDefault="00C1082E" w:rsidP="0006144F">
      <w:pPr>
        <w:pStyle w:val="Normalaftertitle"/>
        <w:spacing w:before="360"/>
        <w:rPr>
          <w:lang w:val="es-ES_tradnl"/>
        </w:rPr>
      </w:pPr>
      <w:r w:rsidRPr="00BE4EE8">
        <w:rPr>
          <w:lang w:val="es-ES_tradnl"/>
        </w:rPr>
        <w:t xml:space="preserve">Mediante la Circular Administrativa </w:t>
      </w:r>
      <w:hyperlink r:id="rId8" w:history="1">
        <w:r w:rsidRPr="00BE4EE8">
          <w:rPr>
            <w:rStyle w:val="Hyperlink"/>
            <w:lang w:val="es-ES_tradnl"/>
          </w:rPr>
          <w:t>CACE/</w:t>
        </w:r>
        <w:r w:rsidR="0029303E" w:rsidRPr="00BE4EE8">
          <w:rPr>
            <w:rStyle w:val="Hyperlink"/>
            <w:lang w:val="es-ES_tradnl"/>
          </w:rPr>
          <w:t>1031</w:t>
        </w:r>
      </w:hyperlink>
      <w:r w:rsidRPr="00BE4EE8">
        <w:rPr>
          <w:lang w:val="es-ES_tradnl"/>
        </w:rPr>
        <w:t xml:space="preserve"> de </w:t>
      </w:r>
      <w:r w:rsidR="0029303E" w:rsidRPr="00BE4EE8">
        <w:rPr>
          <w:lang w:val="es-ES_tradnl"/>
        </w:rPr>
        <w:t>24</w:t>
      </w:r>
      <w:r w:rsidRPr="00BE4EE8">
        <w:rPr>
          <w:lang w:val="es-ES_tradnl"/>
        </w:rPr>
        <w:t xml:space="preserve"> de </w:t>
      </w:r>
      <w:r w:rsidR="0029303E" w:rsidRPr="00BE4EE8">
        <w:rPr>
          <w:lang w:val="es-ES_tradnl"/>
        </w:rPr>
        <w:t>junio</w:t>
      </w:r>
      <w:r w:rsidRPr="00BE4EE8">
        <w:rPr>
          <w:lang w:val="es-ES_tradnl"/>
        </w:rPr>
        <w:t xml:space="preserve"> de 20</w:t>
      </w:r>
      <w:r w:rsidR="0029303E" w:rsidRPr="00BE4EE8">
        <w:rPr>
          <w:lang w:val="es-ES_tradnl"/>
        </w:rPr>
        <w:t>22</w:t>
      </w:r>
      <w:r w:rsidRPr="00BE4EE8">
        <w:rPr>
          <w:lang w:val="es-ES_tradnl"/>
        </w:rPr>
        <w:t>, se presentaron para adopción</w:t>
      </w:r>
      <w:r w:rsidR="0006144F" w:rsidRPr="00BE4EE8">
        <w:rPr>
          <w:lang w:val="es-ES_tradnl"/>
        </w:rPr>
        <w:t xml:space="preserve"> </w:t>
      </w:r>
      <w:r w:rsidRPr="00BE4EE8">
        <w:rPr>
          <w:lang w:val="es-ES_tradnl"/>
        </w:rPr>
        <w:t>y aprobación simultáneas por correspondencia (PAAS), con arreglo al procedim</w:t>
      </w:r>
      <w:r w:rsidR="002847C0" w:rsidRPr="00BE4EE8">
        <w:rPr>
          <w:lang w:val="es-ES_tradnl"/>
        </w:rPr>
        <w:t>iento de</w:t>
      </w:r>
      <w:r w:rsidR="0006144F" w:rsidRPr="00BE4EE8">
        <w:rPr>
          <w:lang w:val="es-ES_tradnl"/>
        </w:rPr>
        <w:t xml:space="preserve"> </w:t>
      </w:r>
      <w:r w:rsidR="002847C0" w:rsidRPr="00BE4EE8">
        <w:rPr>
          <w:lang w:val="es-ES_tradnl"/>
        </w:rPr>
        <w:t>la</w:t>
      </w:r>
      <w:r w:rsidR="0006144F" w:rsidRPr="00BE4EE8">
        <w:rPr>
          <w:lang w:val="es-ES_tradnl"/>
        </w:rPr>
        <w:t xml:space="preserve"> </w:t>
      </w:r>
      <w:r w:rsidR="002847C0" w:rsidRPr="00BE4EE8">
        <w:rPr>
          <w:lang w:val="es-ES_tradnl"/>
        </w:rPr>
        <w:t>Resolución UIT</w:t>
      </w:r>
      <w:r w:rsidR="002847C0" w:rsidRPr="00BE4EE8">
        <w:rPr>
          <w:lang w:val="es-ES_tradnl"/>
        </w:rPr>
        <w:noBreakHyphen/>
        <w:t>R 1-</w:t>
      </w:r>
      <w:r w:rsidR="00636330" w:rsidRPr="00BE4EE8">
        <w:rPr>
          <w:lang w:val="es-ES_tradnl"/>
        </w:rPr>
        <w:t>8</w:t>
      </w:r>
      <w:r w:rsidRPr="00BE4EE8">
        <w:rPr>
          <w:lang w:val="es-ES_tradnl"/>
        </w:rPr>
        <w:t xml:space="preserve"> (§ </w:t>
      </w:r>
      <w:proofErr w:type="spellStart"/>
      <w:r w:rsidR="002847C0" w:rsidRPr="00BE4EE8">
        <w:rPr>
          <w:lang w:val="es-ES_tradnl"/>
        </w:rPr>
        <w:t>A2.6.2.4</w:t>
      </w:r>
      <w:proofErr w:type="spellEnd"/>
      <w:r w:rsidRPr="00BE4EE8">
        <w:rPr>
          <w:lang w:val="es-ES_tradnl"/>
        </w:rPr>
        <w:t xml:space="preserve">), </w:t>
      </w:r>
      <w:r w:rsidR="0029303E" w:rsidRPr="00BE4EE8">
        <w:rPr>
          <w:lang w:val="es-ES_tradnl"/>
        </w:rPr>
        <w:t>4</w:t>
      </w:r>
      <w:r w:rsidRPr="00BE4EE8">
        <w:rPr>
          <w:lang w:val="es-ES_tradnl"/>
        </w:rPr>
        <w:t xml:space="preserve"> proyectos de</w:t>
      </w:r>
      <w:r w:rsidR="0006144F" w:rsidRPr="00BE4EE8">
        <w:rPr>
          <w:lang w:val="es-ES_tradnl"/>
        </w:rPr>
        <w:t xml:space="preserve"> </w:t>
      </w:r>
      <w:r w:rsidRPr="00BE4EE8">
        <w:rPr>
          <w:lang w:val="es-ES_tradnl"/>
        </w:rPr>
        <w:t>nueva Recomendación</w:t>
      </w:r>
      <w:r w:rsidR="002E6B72" w:rsidRPr="00BE4EE8">
        <w:rPr>
          <w:lang w:val="es-ES_tradnl"/>
        </w:rPr>
        <w:t xml:space="preserve"> UIT-R</w:t>
      </w:r>
      <w:r w:rsidRPr="00BE4EE8">
        <w:rPr>
          <w:lang w:val="es-ES_tradnl"/>
        </w:rPr>
        <w:t xml:space="preserve"> y </w:t>
      </w:r>
      <w:r w:rsidR="0029303E" w:rsidRPr="00BE4EE8">
        <w:rPr>
          <w:lang w:val="es-ES_tradnl"/>
        </w:rPr>
        <w:t>10</w:t>
      </w:r>
      <w:r w:rsidRPr="00BE4EE8">
        <w:rPr>
          <w:lang w:val="es-ES_tradnl"/>
        </w:rPr>
        <w:t xml:space="preserve"> proyectos de</w:t>
      </w:r>
      <w:r w:rsidR="0006144F" w:rsidRPr="00BE4EE8">
        <w:rPr>
          <w:lang w:val="es-ES_tradnl"/>
        </w:rPr>
        <w:t xml:space="preserve"> </w:t>
      </w:r>
      <w:r w:rsidRPr="00BE4EE8">
        <w:rPr>
          <w:lang w:val="es-ES_tradnl"/>
        </w:rPr>
        <w:t>Recomendación</w:t>
      </w:r>
      <w:r w:rsidR="002E6B72" w:rsidRPr="00BE4EE8">
        <w:rPr>
          <w:lang w:val="es-ES_tradnl"/>
        </w:rPr>
        <w:t xml:space="preserve"> UIT-R</w:t>
      </w:r>
      <w:r w:rsidRPr="00BE4EE8">
        <w:rPr>
          <w:lang w:val="es-ES_tradnl"/>
        </w:rPr>
        <w:t xml:space="preserve"> revisada.</w:t>
      </w:r>
    </w:p>
    <w:p w14:paraId="36D74BFC" w14:textId="07BF95D9" w:rsidR="00C1082E" w:rsidRPr="00BE4EE8" w:rsidRDefault="00C1082E" w:rsidP="0006144F">
      <w:pPr>
        <w:rPr>
          <w:lang w:val="es-ES_tradnl"/>
        </w:rPr>
      </w:pPr>
      <w:r w:rsidRPr="00BE4EE8">
        <w:rPr>
          <w:lang w:val="es-ES_tradnl"/>
        </w:rPr>
        <w:t>Las condiciones que determinan este procedimiento se cumplieron el</w:t>
      </w:r>
      <w:r w:rsidR="0006144F" w:rsidRPr="00BE4EE8">
        <w:rPr>
          <w:lang w:val="es-ES_tradnl"/>
        </w:rPr>
        <w:t xml:space="preserve"> </w:t>
      </w:r>
      <w:r w:rsidR="0029303E" w:rsidRPr="00BE4EE8">
        <w:rPr>
          <w:lang w:val="es-ES_tradnl"/>
        </w:rPr>
        <w:t>24</w:t>
      </w:r>
      <w:r w:rsidR="0006144F" w:rsidRPr="00BE4EE8">
        <w:rPr>
          <w:lang w:val="es-ES_tradnl"/>
        </w:rPr>
        <w:t xml:space="preserve"> </w:t>
      </w:r>
      <w:r w:rsidRPr="00BE4EE8">
        <w:rPr>
          <w:lang w:val="es-ES_tradnl"/>
        </w:rPr>
        <w:t>de</w:t>
      </w:r>
      <w:r w:rsidR="0006144F" w:rsidRPr="00BE4EE8">
        <w:rPr>
          <w:lang w:val="es-ES_tradnl"/>
        </w:rPr>
        <w:t xml:space="preserve"> </w:t>
      </w:r>
      <w:r w:rsidR="0029303E" w:rsidRPr="00BE4EE8">
        <w:rPr>
          <w:lang w:val="es-ES_tradnl"/>
        </w:rPr>
        <w:t>agosto</w:t>
      </w:r>
      <w:r w:rsidRPr="00BE4EE8">
        <w:rPr>
          <w:lang w:val="es-ES_tradnl"/>
        </w:rPr>
        <w:t xml:space="preserve"> de</w:t>
      </w:r>
      <w:r w:rsidR="0006144F" w:rsidRPr="00BE4EE8">
        <w:rPr>
          <w:lang w:val="es-ES_tradnl"/>
        </w:rPr>
        <w:t xml:space="preserve"> </w:t>
      </w:r>
      <w:r w:rsidRPr="00BE4EE8">
        <w:rPr>
          <w:lang w:val="es-ES_tradnl"/>
        </w:rPr>
        <w:t>20</w:t>
      </w:r>
      <w:r w:rsidR="0029303E" w:rsidRPr="00BE4EE8">
        <w:rPr>
          <w:lang w:val="es-ES_tradnl"/>
        </w:rPr>
        <w:t>22</w:t>
      </w:r>
      <w:r w:rsidRPr="00BE4EE8">
        <w:rPr>
          <w:lang w:val="es-ES_tradnl"/>
        </w:rPr>
        <w:t xml:space="preserve">. </w:t>
      </w:r>
    </w:p>
    <w:p w14:paraId="7C8AE47A" w14:textId="27FE345F" w:rsidR="00C1082E" w:rsidRPr="00BE4EE8" w:rsidRDefault="00C1082E" w:rsidP="0006144F">
      <w:pPr>
        <w:rPr>
          <w:lang w:val="es-ES_tradnl"/>
        </w:rPr>
      </w:pPr>
      <w:r w:rsidRPr="00BE4EE8">
        <w:rPr>
          <w:lang w:val="es-ES_tradnl"/>
        </w:rPr>
        <w:t>Las Recomendaci</w:t>
      </w:r>
      <w:r w:rsidR="0029303E" w:rsidRPr="00BE4EE8">
        <w:rPr>
          <w:lang w:val="es-ES_tradnl"/>
        </w:rPr>
        <w:t>o</w:t>
      </w:r>
      <w:r w:rsidRPr="00BE4EE8">
        <w:rPr>
          <w:lang w:val="es-ES_tradnl"/>
        </w:rPr>
        <w:t xml:space="preserve">nes aprobadas serán publicadas por la UIT, y en el Anexo a la presente Circular figuran sus títulos, con sus números asignados. </w:t>
      </w:r>
    </w:p>
    <w:p w14:paraId="120FF500" w14:textId="4642DBE5" w:rsidR="00C1082E" w:rsidRPr="00BE4EE8" w:rsidRDefault="00636330" w:rsidP="005F5351">
      <w:pPr>
        <w:tabs>
          <w:tab w:val="left" w:pos="4820"/>
        </w:tabs>
        <w:spacing w:before="1560"/>
        <w:jc w:val="left"/>
        <w:rPr>
          <w:bCs/>
          <w:lang w:val="es-ES_tradnl"/>
        </w:rPr>
      </w:pPr>
      <w:r w:rsidRPr="00BE4EE8">
        <w:rPr>
          <w:bCs/>
          <w:lang w:val="es-ES_tradnl"/>
        </w:rPr>
        <w:t>Mario Maniewicz</w:t>
      </w:r>
      <w:r w:rsidR="005F5351" w:rsidRPr="00BE4EE8">
        <w:rPr>
          <w:bCs/>
          <w:lang w:val="es-ES_tradnl"/>
        </w:rPr>
        <w:br/>
      </w:r>
      <w:proofErr w:type="gramStart"/>
      <w:r w:rsidR="00C1082E" w:rsidRPr="00BE4EE8">
        <w:rPr>
          <w:bCs/>
          <w:lang w:val="es-ES_tradnl"/>
        </w:rPr>
        <w:t>Director</w:t>
      </w:r>
      <w:proofErr w:type="gramEnd"/>
    </w:p>
    <w:p w14:paraId="0936CD48" w14:textId="22689963" w:rsidR="00C1082E" w:rsidRPr="00BE4EE8" w:rsidRDefault="00C1082E" w:rsidP="002E6B72">
      <w:pPr>
        <w:tabs>
          <w:tab w:val="left" w:pos="4820"/>
        </w:tabs>
        <w:spacing w:before="840"/>
        <w:rPr>
          <w:bCs/>
          <w:lang w:val="es-ES_tradnl"/>
        </w:rPr>
      </w:pPr>
      <w:r w:rsidRPr="00BE4EE8">
        <w:rPr>
          <w:b/>
          <w:lang w:val="es-ES_tradnl"/>
        </w:rPr>
        <w:t>Anexo:</w:t>
      </w:r>
      <w:r w:rsidRPr="00BE4EE8">
        <w:rPr>
          <w:bCs/>
          <w:lang w:val="es-ES_tradnl"/>
        </w:rPr>
        <w:t xml:space="preserve"> </w:t>
      </w:r>
      <w:r w:rsidR="005F5351" w:rsidRPr="00BE4EE8">
        <w:rPr>
          <w:bCs/>
          <w:lang w:val="es-ES_tradnl"/>
        </w:rPr>
        <w:t xml:space="preserve"> </w:t>
      </w:r>
      <w:r w:rsidR="0029303E" w:rsidRPr="00BE4EE8">
        <w:rPr>
          <w:bCs/>
          <w:lang w:val="es-ES_tradnl"/>
        </w:rPr>
        <w:t>1</w:t>
      </w:r>
    </w:p>
    <w:p w14:paraId="0D2615AE" w14:textId="77777777" w:rsidR="00636330" w:rsidRPr="00BE4EE8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BE4EE8">
        <w:rPr>
          <w:lang w:val="es-ES_tradnl"/>
        </w:rPr>
        <w:br w:type="page"/>
      </w:r>
    </w:p>
    <w:p w14:paraId="5D7A448C" w14:textId="71E7BD8C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BE4EE8">
        <w:rPr>
          <w:sz w:val="28"/>
          <w:szCs w:val="28"/>
          <w:lang w:val="es-ES_tradnl"/>
        </w:rPr>
        <w:lastRenderedPageBreak/>
        <w:t>Anexo</w:t>
      </w:r>
      <w:r w:rsidRPr="00BE4EE8">
        <w:rPr>
          <w:sz w:val="28"/>
          <w:szCs w:val="28"/>
          <w:lang w:val="es-ES_tradnl"/>
        </w:rPr>
        <w:br/>
      </w:r>
      <w:r w:rsidRPr="00BE4EE8">
        <w:rPr>
          <w:sz w:val="28"/>
          <w:szCs w:val="28"/>
          <w:lang w:val="es-ES_tradnl"/>
        </w:rPr>
        <w:br/>
        <w:t>Títulos de las Recomendaci</w:t>
      </w:r>
      <w:r w:rsidR="0029303E" w:rsidRPr="00BE4EE8">
        <w:rPr>
          <w:sz w:val="28"/>
          <w:szCs w:val="28"/>
          <w:lang w:val="es-ES_tradnl"/>
        </w:rPr>
        <w:t>o</w:t>
      </w:r>
      <w:r w:rsidRPr="00BE4EE8">
        <w:rPr>
          <w:sz w:val="28"/>
          <w:szCs w:val="28"/>
          <w:lang w:val="es-ES_tradnl"/>
        </w:rPr>
        <w:t xml:space="preserve">nes </w:t>
      </w:r>
      <w:r w:rsidR="002E6B72" w:rsidRPr="00BE4EE8">
        <w:rPr>
          <w:sz w:val="28"/>
          <w:szCs w:val="28"/>
          <w:lang w:val="es-ES_tradnl"/>
        </w:rPr>
        <w:t xml:space="preserve">UIT-R </w:t>
      </w:r>
      <w:r w:rsidRPr="00BE4EE8">
        <w:rPr>
          <w:sz w:val="28"/>
          <w:szCs w:val="28"/>
          <w:lang w:val="es-ES_tradnl"/>
        </w:rPr>
        <w:t>aprobadas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3"/>
        <w:gridCol w:w="1701"/>
      </w:tblGrid>
      <w:tr w:rsidR="00BE4EE8" w:rsidRPr="00FE5F4F" w14:paraId="74BB91F0" w14:textId="77777777" w:rsidTr="00863A9C">
        <w:trPr>
          <w:jc w:val="center"/>
        </w:trPr>
        <w:tc>
          <w:tcPr>
            <w:tcW w:w="1701" w:type="dxa"/>
            <w:vAlign w:val="center"/>
          </w:tcPr>
          <w:p w14:paraId="455C90A2" w14:textId="101074A8" w:rsidR="00BE4EE8" w:rsidRPr="00FE5F4F" w:rsidRDefault="00BE4EE8" w:rsidP="00BE4EE8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0B256FF2" w14:textId="68440348" w:rsidR="00BE4EE8" w:rsidRPr="00FE5F4F" w:rsidRDefault="00BE4EE8" w:rsidP="00BE4EE8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701" w:type="dxa"/>
            <w:vAlign w:val="center"/>
          </w:tcPr>
          <w:p w14:paraId="36444944" w14:textId="4241B1C1" w:rsidR="00BE4EE8" w:rsidRPr="00FE5F4F" w:rsidRDefault="00BE4EE8" w:rsidP="00BE4EE8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D41B80">
              <w:rPr>
                <w:lang w:val="es-ES_tradnl"/>
              </w:rPr>
              <w:t>D</w:t>
            </w:r>
            <w:bookmarkStart w:id="0" w:name="_GoBack"/>
            <w:bookmarkEnd w:id="0"/>
            <w:r w:rsidRPr="00D41B80">
              <w:rPr>
                <w:lang w:val="es-ES_tradnl"/>
              </w:rPr>
              <w:t>oc</w:t>
            </w:r>
            <w:r>
              <w:rPr>
                <w:lang w:val="es-ES_tradnl"/>
              </w:rPr>
              <w:t>umento</w:t>
            </w:r>
          </w:p>
        </w:tc>
      </w:tr>
      <w:tr w:rsidR="00BE4EE8" w:rsidRPr="00FE5F4F" w14:paraId="53BD2BC4" w14:textId="77777777" w:rsidTr="00863A9C">
        <w:trPr>
          <w:jc w:val="center"/>
        </w:trPr>
        <w:tc>
          <w:tcPr>
            <w:tcW w:w="1701" w:type="dxa"/>
          </w:tcPr>
          <w:p w14:paraId="5ADA9507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P.684</w:t>
            </w:r>
            <w:proofErr w:type="spellEnd"/>
            <w:r w:rsidRPr="00FE5F4F">
              <w:t>-8</w:t>
            </w:r>
          </w:p>
        </w:tc>
        <w:tc>
          <w:tcPr>
            <w:tcW w:w="5953" w:type="dxa"/>
          </w:tcPr>
          <w:p w14:paraId="0E941CAA" w14:textId="1D943343" w:rsidR="00BE4EE8" w:rsidRPr="00FE5F4F" w:rsidRDefault="00BE4EE8" w:rsidP="003F3385">
            <w:pPr>
              <w:pStyle w:val="Tabletext"/>
            </w:pPr>
            <w:r w:rsidRPr="00B07799">
              <w:rPr>
                <w:lang w:val="es-ES_tradnl"/>
              </w:rPr>
              <w:t>Predicción de la intensidad de campo en frecuencias por debajo de unos 150 kHz</w:t>
            </w:r>
          </w:p>
        </w:tc>
        <w:tc>
          <w:tcPr>
            <w:tcW w:w="1701" w:type="dxa"/>
          </w:tcPr>
          <w:p w14:paraId="631C678B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3/69(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E4EE8" w:rsidRPr="00FE5F4F" w14:paraId="57368CAE" w14:textId="77777777" w:rsidTr="00863A9C">
        <w:trPr>
          <w:jc w:val="center"/>
        </w:trPr>
        <w:tc>
          <w:tcPr>
            <w:tcW w:w="1701" w:type="dxa"/>
          </w:tcPr>
          <w:p w14:paraId="1B44EA1A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P.368</w:t>
            </w:r>
            <w:proofErr w:type="spellEnd"/>
            <w:r w:rsidRPr="00FE5F4F">
              <w:t>-10</w:t>
            </w:r>
          </w:p>
        </w:tc>
        <w:tc>
          <w:tcPr>
            <w:tcW w:w="5953" w:type="dxa"/>
          </w:tcPr>
          <w:p w14:paraId="3DD5B080" w14:textId="37D6EDD7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Método de predicción de la propagación por onda de superficie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para frecuencias comprendidas entre 10 kHz y 30 MHz</w:t>
            </w:r>
          </w:p>
        </w:tc>
        <w:tc>
          <w:tcPr>
            <w:tcW w:w="1701" w:type="dxa"/>
          </w:tcPr>
          <w:p w14:paraId="49E0FC29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3/70</w:t>
            </w:r>
          </w:p>
        </w:tc>
      </w:tr>
      <w:tr w:rsidR="00BE4EE8" w:rsidRPr="00FE5F4F" w14:paraId="478315ED" w14:textId="77777777" w:rsidTr="00863A9C">
        <w:trPr>
          <w:jc w:val="center"/>
        </w:trPr>
        <w:tc>
          <w:tcPr>
            <w:tcW w:w="1701" w:type="dxa"/>
          </w:tcPr>
          <w:p w14:paraId="62BFDC9B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P.372</w:t>
            </w:r>
            <w:proofErr w:type="spellEnd"/>
            <w:r w:rsidRPr="00FE5F4F">
              <w:t>-16</w:t>
            </w:r>
          </w:p>
        </w:tc>
        <w:tc>
          <w:tcPr>
            <w:tcW w:w="5953" w:type="dxa"/>
          </w:tcPr>
          <w:p w14:paraId="757F07A3" w14:textId="0D31435D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Ruido radioeléctrico</w:t>
            </w:r>
          </w:p>
        </w:tc>
        <w:tc>
          <w:tcPr>
            <w:tcW w:w="1701" w:type="dxa"/>
          </w:tcPr>
          <w:p w14:paraId="2554F68C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3/72</w:t>
            </w:r>
          </w:p>
        </w:tc>
      </w:tr>
      <w:tr w:rsidR="00BE4EE8" w:rsidRPr="00FE5F4F" w14:paraId="5273AA24" w14:textId="77777777" w:rsidTr="00863A9C">
        <w:trPr>
          <w:jc w:val="center"/>
        </w:trPr>
        <w:tc>
          <w:tcPr>
            <w:tcW w:w="1701" w:type="dxa"/>
          </w:tcPr>
          <w:p w14:paraId="0AED005D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P.581</w:t>
            </w:r>
            <w:proofErr w:type="spellEnd"/>
            <w:r w:rsidRPr="00FE5F4F">
              <w:t>-3</w:t>
            </w:r>
          </w:p>
        </w:tc>
        <w:tc>
          <w:tcPr>
            <w:tcW w:w="5953" w:type="dxa"/>
          </w:tcPr>
          <w:p w14:paraId="4133AC67" w14:textId="33D39615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Noción de «mes más desfavorable»</w:t>
            </w:r>
          </w:p>
        </w:tc>
        <w:tc>
          <w:tcPr>
            <w:tcW w:w="1701" w:type="dxa"/>
          </w:tcPr>
          <w:p w14:paraId="7669C33B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3/74</w:t>
            </w:r>
          </w:p>
        </w:tc>
      </w:tr>
      <w:tr w:rsidR="00BE4EE8" w:rsidRPr="00FE5F4F" w14:paraId="5F834CD5" w14:textId="77777777" w:rsidTr="00863A9C">
        <w:trPr>
          <w:jc w:val="center"/>
        </w:trPr>
        <w:tc>
          <w:tcPr>
            <w:tcW w:w="1701" w:type="dxa"/>
          </w:tcPr>
          <w:p w14:paraId="3A52FCB9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P.841</w:t>
            </w:r>
            <w:proofErr w:type="spellEnd"/>
            <w:r w:rsidRPr="00FE5F4F">
              <w:t>-7</w:t>
            </w:r>
          </w:p>
        </w:tc>
        <w:tc>
          <w:tcPr>
            <w:tcW w:w="5953" w:type="dxa"/>
          </w:tcPr>
          <w:p w14:paraId="1CB6104A" w14:textId="5842E356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Conversión de las estadísticas anuales en estadísticas del mes más desfavorable</w:t>
            </w:r>
          </w:p>
        </w:tc>
        <w:tc>
          <w:tcPr>
            <w:tcW w:w="1701" w:type="dxa"/>
          </w:tcPr>
          <w:p w14:paraId="0F9B9A83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3/75(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E4EE8" w:rsidRPr="00FE5F4F" w14:paraId="6D19F1FD" w14:textId="77777777" w:rsidTr="00863A9C">
        <w:trPr>
          <w:jc w:val="center"/>
        </w:trPr>
        <w:tc>
          <w:tcPr>
            <w:tcW w:w="1701" w:type="dxa"/>
          </w:tcPr>
          <w:p w14:paraId="4B277EE4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P.1057</w:t>
            </w:r>
            <w:proofErr w:type="spellEnd"/>
            <w:r w:rsidRPr="00FE5F4F">
              <w:t>-7</w:t>
            </w:r>
          </w:p>
        </w:tc>
        <w:tc>
          <w:tcPr>
            <w:tcW w:w="5953" w:type="dxa"/>
          </w:tcPr>
          <w:p w14:paraId="453BBFCD" w14:textId="7B2B9DD7" w:rsidR="00BE4EE8" w:rsidRPr="00FE5F4F" w:rsidRDefault="00BE4EE8" w:rsidP="003F3385">
            <w:pPr>
              <w:pStyle w:val="Tabletext"/>
            </w:pPr>
            <w:bookmarkStart w:id="1" w:name="Pre_title"/>
            <w:r w:rsidRPr="00B07799">
              <w:rPr>
                <w:bCs/>
                <w:szCs w:val="24"/>
                <w:lang w:val="es-ES_tradnl"/>
              </w:rPr>
              <w:t>Distribuciones de probabilidad para establecer modelos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de propagación de las ondas radioeléctricas</w:t>
            </w:r>
            <w:bookmarkEnd w:id="1"/>
          </w:p>
        </w:tc>
        <w:tc>
          <w:tcPr>
            <w:tcW w:w="1701" w:type="dxa"/>
          </w:tcPr>
          <w:p w14:paraId="203A068C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3/76</w:t>
            </w:r>
          </w:p>
        </w:tc>
      </w:tr>
      <w:tr w:rsidR="00BE4EE8" w:rsidRPr="00FE5F4F" w14:paraId="49B15670" w14:textId="77777777" w:rsidTr="00863A9C">
        <w:trPr>
          <w:jc w:val="center"/>
        </w:trPr>
        <w:tc>
          <w:tcPr>
            <w:tcW w:w="1701" w:type="dxa"/>
          </w:tcPr>
          <w:p w14:paraId="17655B8B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P.676</w:t>
            </w:r>
            <w:proofErr w:type="spellEnd"/>
            <w:r w:rsidRPr="00FE5F4F">
              <w:t>-13</w:t>
            </w:r>
          </w:p>
        </w:tc>
        <w:tc>
          <w:tcPr>
            <w:tcW w:w="5953" w:type="dxa"/>
          </w:tcPr>
          <w:p w14:paraId="267594E0" w14:textId="2C6BC3EA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Atenuación debida a los gases atmosféricos y efectos conexos</w:t>
            </w:r>
          </w:p>
        </w:tc>
        <w:tc>
          <w:tcPr>
            <w:tcW w:w="1701" w:type="dxa"/>
          </w:tcPr>
          <w:p w14:paraId="07DD23C1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3/77(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E4EE8" w:rsidRPr="00FE5F4F" w14:paraId="5D11123C" w14:textId="77777777" w:rsidTr="00863A9C">
        <w:trPr>
          <w:jc w:val="center"/>
        </w:trPr>
        <w:tc>
          <w:tcPr>
            <w:tcW w:w="1701" w:type="dxa"/>
          </w:tcPr>
          <w:p w14:paraId="334DF0C9" w14:textId="13B03599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</w:t>
            </w:r>
            <w:r w:rsidR="00C57C82" w:rsidRPr="00C57C82">
              <w:t>2145</w:t>
            </w:r>
            <w:proofErr w:type="spellEnd"/>
            <w:r w:rsidRPr="00FE5F4F">
              <w:t>-0</w:t>
            </w:r>
          </w:p>
        </w:tc>
        <w:tc>
          <w:tcPr>
            <w:tcW w:w="5953" w:type="dxa"/>
          </w:tcPr>
          <w:p w14:paraId="501B30A7" w14:textId="6FA41B77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Mapas digitales relacionados con el cálculo de la atenuación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producida por los gases y los efectos conexos</w:t>
            </w:r>
          </w:p>
        </w:tc>
        <w:tc>
          <w:tcPr>
            <w:tcW w:w="1701" w:type="dxa"/>
          </w:tcPr>
          <w:p w14:paraId="3E264425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3/78</w:t>
            </w:r>
          </w:p>
        </w:tc>
      </w:tr>
      <w:tr w:rsidR="00BE4EE8" w:rsidRPr="00FE5F4F" w14:paraId="1A69B5AB" w14:textId="77777777" w:rsidTr="00863A9C">
        <w:trPr>
          <w:jc w:val="center"/>
        </w:trPr>
        <w:tc>
          <w:tcPr>
            <w:tcW w:w="1701" w:type="dxa"/>
          </w:tcPr>
          <w:p w14:paraId="72F57CFB" w14:textId="6A04F1B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</w:t>
            </w:r>
            <w:r w:rsidR="00CD2E3E" w:rsidRPr="00CD2E3E">
              <w:t>214</w:t>
            </w:r>
            <w:r w:rsidR="00CD2E3E">
              <w:t>6</w:t>
            </w:r>
            <w:proofErr w:type="spellEnd"/>
            <w:r w:rsidRPr="00FE5F4F">
              <w:t>-0</w:t>
            </w:r>
          </w:p>
        </w:tc>
        <w:tc>
          <w:tcPr>
            <w:tcW w:w="5953" w:type="dxa"/>
          </w:tcPr>
          <w:p w14:paraId="4EC8ACAF" w14:textId="4785E696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 xml:space="preserve">Dispersión </w:t>
            </w:r>
            <w:proofErr w:type="spellStart"/>
            <w:r w:rsidRPr="00B07799">
              <w:rPr>
                <w:bCs/>
                <w:szCs w:val="24"/>
                <w:lang w:val="es-ES_tradnl"/>
              </w:rPr>
              <w:t>biestática</w:t>
            </w:r>
            <w:proofErr w:type="spellEnd"/>
            <w:r w:rsidRPr="00B07799">
              <w:rPr>
                <w:bCs/>
                <w:szCs w:val="24"/>
                <w:lang w:val="es-ES_tradnl"/>
              </w:rPr>
              <w:t xml:space="preserve"> en la superficie del mar</w:t>
            </w:r>
          </w:p>
        </w:tc>
        <w:tc>
          <w:tcPr>
            <w:tcW w:w="1701" w:type="dxa"/>
          </w:tcPr>
          <w:p w14:paraId="03958706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3/79(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E4EE8" w:rsidRPr="00FE5F4F" w14:paraId="3B724CB1" w14:textId="77777777" w:rsidTr="00863A9C">
        <w:trPr>
          <w:jc w:val="center"/>
        </w:trPr>
        <w:tc>
          <w:tcPr>
            <w:tcW w:w="1701" w:type="dxa"/>
          </w:tcPr>
          <w:p w14:paraId="646B1558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P.680</w:t>
            </w:r>
            <w:proofErr w:type="spellEnd"/>
            <w:r w:rsidRPr="00FE5F4F">
              <w:t>-4</w:t>
            </w:r>
          </w:p>
        </w:tc>
        <w:tc>
          <w:tcPr>
            <w:tcW w:w="5953" w:type="dxa"/>
          </w:tcPr>
          <w:p w14:paraId="7B1EC1F5" w14:textId="3AD650A5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Datos de propagación necesarios para el diseño de sistemas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de telecomunicación móviles marítimos Tierra-espacio</w:t>
            </w:r>
          </w:p>
        </w:tc>
        <w:tc>
          <w:tcPr>
            <w:tcW w:w="1701" w:type="dxa"/>
          </w:tcPr>
          <w:p w14:paraId="6603D0E8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3/83(</w:t>
            </w:r>
            <w:proofErr w:type="spellStart"/>
            <w:r w:rsidRPr="00FE5F4F">
              <w:t>Rev.1</w:t>
            </w:r>
            <w:proofErr w:type="spellEnd"/>
            <w:r w:rsidRPr="00FE5F4F">
              <w:t>)</w:t>
            </w:r>
          </w:p>
        </w:tc>
      </w:tr>
      <w:tr w:rsidR="00BE4EE8" w:rsidRPr="00FE5F4F" w14:paraId="64D1AD8E" w14:textId="77777777" w:rsidTr="00863A9C">
        <w:trPr>
          <w:jc w:val="center"/>
        </w:trPr>
        <w:tc>
          <w:tcPr>
            <w:tcW w:w="1701" w:type="dxa"/>
          </w:tcPr>
          <w:p w14:paraId="2AF4F82C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P.682</w:t>
            </w:r>
            <w:proofErr w:type="spellEnd"/>
            <w:r w:rsidRPr="00FE5F4F">
              <w:t>-4</w:t>
            </w:r>
          </w:p>
        </w:tc>
        <w:tc>
          <w:tcPr>
            <w:tcW w:w="5953" w:type="dxa"/>
          </w:tcPr>
          <w:p w14:paraId="12E1699B" w14:textId="5838FD20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Datos de propagación necesarios para el diseño de sistemas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de telecomunicación móviles aeronáuticos Tierra-espacio</w:t>
            </w:r>
          </w:p>
        </w:tc>
        <w:tc>
          <w:tcPr>
            <w:tcW w:w="1701" w:type="dxa"/>
          </w:tcPr>
          <w:p w14:paraId="6C9D2CEF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3/84</w:t>
            </w:r>
          </w:p>
        </w:tc>
      </w:tr>
      <w:tr w:rsidR="00BE4EE8" w:rsidRPr="00FE5F4F" w14:paraId="48E57BA3" w14:textId="77777777" w:rsidTr="00863A9C">
        <w:trPr>
          <w:jc w:val="center"/>
        </w:trPr>
        <w:tc>
          <w:tcPr>
            <w:tcW w:w="1701" w:type="dxa"/>
          </w:tcPr>
          <w:p w14:paraId="5AFC0D9B" w14:textId="77777777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P.1622</w:t>
            </w:r>
            <w:proofErr w:type="spellEnd"/>
            <w:r w:rsidRPr="00FE5F4F">
              <w:t>-1</w:t>
            </w:r>
          </w:p>
        </w:tc>
        <w:tc>
          <w:tcPr>
            <w:tcW w:w="5953" w:type="dxa"/>
          </w:tcPr>
          <w:p w14:paraId="12A2D82A" w14:textId="77FD72CA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Métodos de predicción requeridos para el diseño de sistemas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Tierra-espacio que funcionan entre 20 THz y 375 THz</w:t>
            </w:r>
          </w:p>
        </w:tc>
        <w:tc>
          <w:tcPr>
            <w:tcW w:w="1701" w:type="dxa"/>
          </w:tcPr>
          <w:p w14:paraId="0C4B8978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3/85</w:t>
            </w:r>
          </w:p>
        </w:tc>
      </w:tr>
      <w:tr w:rsidR="00BE4EE8" w:rsidRPr="00FE5F4F" w14:paraId="4E1047BC" w14:textId="77777777" w:rsidTr="00863A9C">
        <w:trPr>
          <w:jc w:val="center"/>
        </w:trPr>
        <w:tc>
          <w:tcPr>
            <w:tcW w:w="1701" w:type="dxa"/>
          </w:tcPr>
          <w:p w14:paraId="26C4FB27" w14:textId="2A3C90CD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</w:t>
            </w:r>
            <w:r w:rsidR="008D27FB" w:rsidRPr="008D27FB">
              <w:t>214</w:t>
            </w:r>
            <w:r w:rsidR="008D27FB">
              <w:t>7</w:t>
            </w:r>
            <w:proofErr w:type="spellEnd"/>
            <w:r w:rsidRPr="00FE5F4F">
              <w:t>-0</w:t>
            </w:r>
          </w:p>
        </w:tc>
        <w:tc>
          <w:tcPr>
            <w:tcW w:w="5953" w:type="dxa"/>
          </w:tcPr>
          <w:p w14:paraId="6DE3BFF6" w14:textId="5ED9A47C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Recopilación, presentación, análisis y utilización de productos digitales en los estudios relativos a la propagación de las ondas radioeléctricas</w:t>
            </w:r>
          </w:p>
        </w:tc>
        <w:tc>
          <w:tcPr>
            <w:tcW w:w="1701" w:type="dxa"/>
          </w:tcPr>
          <w:p w14:paraId="5548346E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3/87</w:t>
            </w:r>
          </w:p>
        </w:tc>
      </w:tr>
      <w:tr w:rsidR="00BE4EE8" w:rsidRPr="00FE5F4F" w14:paraId="0BD174B3" w14:textId="77777777" w:rsidTr="00863A9C">
        <w:trPr>
          <w:jc w:val="center"/>
        </w:trPr>
        <w:tc>
          <w:tcPr>
            <w:tcW w:w="1701" w:type="dxa"/>
          </w:tcPr>
          <w:p w14:paraId="619CE717" w14:textId="708BD845" w:rsidR="00BE4EE8" w:rsidRPr="00FE5F4F" w:rsidRDefault="00BE4EE8" w:rsidP="003F3385">
            <w:pPr>
              <w:pStyle w:val="Tabletext"/>
              <w:jc w:val="center"/>
            </w:pPr>
            <w:proofErr w:type="spellStart"/>
            <w:r w:rsidRPr="00FE5F4F">
              <w:t>P.</w:t>
            </w:r>
            <w:r w:rsidR="008D27FB">
              <w:t>2148</w:t>
            </w:r>
            <w:proofErr w:type="spellEnd"/>
            <w:r w:rsidRPr="00FE5F4F">
              <w:t>-0</w:t>
            </w:r>
          </w:p>
        </w:tc>
        <w:tc>
          <w:tcPr>
            <w:tcW w:w="5953" w:type="dxa"/>
          </w:tcPr>
          <w:p w14:paraId="5B5A377E" w14:textId="3C3B22C4" w:rsidR="00BE4EE8" w:rsidRPr="00FE5F4F" w:rsidRDefault="00BE4EE8" w:rsidP="003F3385">
            <w:pPr>
              <w:pStyle w:val="Tabletext"/>
            </w:pPr>
            <w:r w:rsidRPr="00B07799">
              <w:rPr>
                <w:bCs/>
                <w:szCs w:val="24"/>
                <w:lang w:val="es-ES_tradnl"/>
              </w:rPr>
              <w:t>Mapas digitales relacionados con las estadísticas sobre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Pr="00B07799">
              <w:rPr>
                <w:bCs/>
                <w:szCs w:val="24"/>
                <w:lang w:val="es-ES_tradnl"/>
              </w:rPr>
              <w:t>la velocidad del viento en la superficie</w:t>
            </w:r>
          </w:p>
        </w:tc>
        <w:tc>
          <w:tcPr>
            <w:tcW w:w="1701" w:type="dxa"/>
          </w:tcPr>
          <w:p w14:paraId="2F0FCA52" w14:textId="77777777" w:rsidR="00BE4EE8" w:rsidRPr="00FE5F4F" w:rsidRDefault="00BE4EE8" w:rsidP="003F3385">
            <w:pPr>
              <w:pStyle w:val="Tabletext"/>
              <w:jc w:val="center"/>
            </w:pPr>
            <w:r w:rsidRPr="00FE5F4F">
              <w:t>3/88</w:t>
            </w:r>
          </w:p>
        </w:tc>
      </w:tr>
    </w:tbl>
    <w:p w14:paraId="00B09778" w14:textId="77777777" w:rsidR="00BE4EE8" w:rsidRPr="00BE4EE8" w:rsidRDefault="00BE4EE8" w:rsidP="005F5351">
      <w:pPr>
        <w:rPr>
          <w:b/>
          <w:bCs/>
          <w:lang w:val="es-ES_tradnl"/>
          <w:rPrChange w:id="2" w:author="ITU -LRT-" w:date="2022-06-27T08:52:00Z">
            <w:rPr>
              <w:lang w:val="es-ES_tradnl"/>
            </w:rPr>
          </w:rPrChange>
        </w:rPr>
      </w:pPr>
    </w:p>
    <w:p w14:paraId="60A92F01" w14:textId="77777777" w:rsidR="005F5351" w:rsidRPr="00D41B80" w:rsidRDefault="005F5351" w:rsidP="005F5351">
      <w:pPr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3F1C15BD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>1211 Ginebra 20, Suiza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5061C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95061C">
        <w:rPr>
          <w:rStyle w:val="Hyperlink"/>
          <w:sz w:val="19"/>
          <w:szCs w:val="19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 -LRT-">
    <w15:presenceInfo w15:providerId="None" w15:userId="ITU -LRT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303E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1F66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51B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B4E1D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63A9C"/>
    <w:rsid w:val="00875324"/>
    <w:rsid w:val="0087694B"/>
    <w:rsid w:val="00880F4D"/>
    <w:rsid w:val="008B35A3"/>
    <w:rsid w:val="008B37E1"/>
    <w:rsid w:val="008B45F8"/>
    <w:rsid w:val="008C2E74"/>
    <w:rsid w:val="008D27FB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4EE8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C8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E3E"/>
    <w:rsid w:val="00CE076A"/>
    <w:rsid w:val="00CE463D"/>
    <w:rsid w:val="00D05F30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0756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03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E4E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E4EE8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595E-BD29-4D1B-A1A8-1E2F0DDE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90</TotalTime>
  <Pages>2</Pages>
  <Words>405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I.T.U.</cp:lastModifiedBy>
  <cp:revision>8</cp:revision>
  <cp:lastPrinted>2020-02-03T09:15:00Z</cp:lastPrinted>
  <dcterms:created xsi:type="dcterms:W3CDTF">2022-06-27T06:48:00Z</dcterms:created>
  <dcterms:modified xsi:type="dcterms:W3CDTF">2022-08-25T06:32:00Z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