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4AF892BA" w14:textId="77777777" w:rsidTr="00153E23">
        <w:tc>
          <w:tcPr>
            <w:tcW w:w="5000" w:type="pct"/>
            <w:gridSpan w:val="3"/>
            <w:shd w:val="clear" w:color="auto" w:fill="auto"/>
          </w:tcPr>
          <w:p w14:paraId="28F2CE53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05E20578" w14:textId="77777777" w:rsidR="000F7BBE" w:rsidRPr="000F7BBE" w:rsidRDefault="000F7BBE" w:rsidP="0076159F">
            <w:pPr>
              <w:spacing w:line="280" w:lineRule="exact"/>
              <w:rPr>
                <w:b/>
                <w:bCs/>
                <w:rtl/>
                <w:lang w:bidi="ar-EG"/>
              </w:rPr>
            </w:pPr>
          </w:p>
        </w:tc>
      </w:tr>
      <w:tr w:rsidR="0070381F" w:rsidRPr="00F36590" w14:paraId="46BC17B1" w14:textId="77777777" w:rsidTr="002A393E">
        <w:tc>
          <w:tcPr>
            <w:tcW w:w="2707" w:type="pct"/>
            <w:gridSpan w:val="2"/>
            <w:shd w:val="clear" w:color="auto" w:fill="auto"/>
          </w:tcPr>
          <w:p w14:paraId="1425CB5E" w14:textId="77777777" w:rsidR="0070381F" w:rsidRPr="00F36590" w:rsidRDefault="0070381F" w:rsidP="0070381F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 xml:space="preserve">الرسالة الإدارية </w:t>
            </w:r>
            <w:r>
              <w:rPr>
                <w:rFonts w:hint="cs"/>
                <w:rtl/>
                <w:lang w:bidi="ar-AE"/>
              </w:rPr>
              <w:t>المعممة</w:t>
            </w:r>
          </w:p>
          <w:p w14:paraId="08F79584" w14:textId="5BD171B8" w:rsidR="0070381F" w:rsidRPr="00F36590" w:rsidRDefault="0070381F" w:rsidP="0070381F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Pr="00F36590">
              <w:rPr>
                <w:b/>
                <w:bCs/>
                <w:lang w:val="en-GB" w:bidi="ar-SY"/>
              </w:rPr>
              <w:t>/</w:t>
            </w:r>
            <w:r w:rsidR="002D79F3">
              <w:rPr>
                <w:b/>
                <w:bCs/>
                <w:lang w:bidi="ar-SY"/>
              </w:rPr>
              <w:t>1034</w:t>
            </w:r>
          </w:p>
        </w:tc>
        <w:tc>
          <w:tcPr>
            <w:tcW w:w="2293" w:type="pct"/>
            <w:shd w:val="clear" w:color="auto" w:fill="auto"/>
          </w:tcPr>
          <w:p w14:paraId="1D2F9D8E" w14:textId="6D7A12C6" w:rsidR="0070381F" w:rsidRPr="005E6175" w:rsidRDefault="002D79F3" w:rsidP="0070381F">
            <w:pPr>
              <w:spacing w:before="60" w:after="60" w:line="260" w:lineRule="exact"/>
              <w:jc w:val="right"/>
              <w:rPr>
                <w:lang w:bidi="ar-EG"/>
              </w:rPr>
            </w:pPr>
            <w:r>
              <w:rPr>
                <w:lang w:bidi="ar-EG"/>
              </w:rPr>
              <w:t>20</w:t>
            </w:r>
            <w:r w:rsidR="0070381F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يوليو</w:t>
            </w:r>
            <w:r w:rsidR="0070381F">
              <w:rPr>
                <w:rFonts w:hint="cs"/>
                <w:rtl/>
                <w:lang w:bidi="ar-EG"/>
              </w:rPr>
              <w:t xml:space="preserve"> </w:t>
            </w:r>
            <w:r w:rsidR="0070381F">
              <w:rPr>
                <w:lang w:bidi="ar-EG"/>
              </w:rPr>
              <w:t>2022</w:t>
            </w:r>
          </w:p>
        </w:tc>
      </w:tr>
      <w:tr w:rsidR="0070381F" w:rsidRPr="00F36590" w14:paraId="6273ECCA" w14:textId="77777777" w:rsidTr="002A393E">
        <w:tc>
          <w:tcPr>
            <w:tcW w:w="5000" w:type="pct"/>
            <w:gridSpan w:val="3"/>
            <w:shd w:val="clear" w:color="auto" w:fill="auto"/>
          </w:tcPr>
          <w:p w14:paraId="38E5C99A" w14:textId="77777777" w:rsidR="0070381F" w:rsidRPr="00241274" w:rsidRDefault="0070381F" w:rsidP="001928BA">
            <w:pPr>
              <w:spacing w:before="0" w:line="240" w:lineRule="exact"/>
              <w:rPr>
                <w:rtl/>
                <w:lang w:bidi="ar-SY"/>
              </w:rPr>
            </w:pPr>
          </w:p>
        </w:tc>
      </w:tr>
      <w:tr w:rsidR="0070381F" w:rsidRPr="00F36590" w14:paraId="58127A70" w14:textId="77777777" w:rsidTr="002A393E">
        <w:tc>
          <w:tcPr>
            <w:tcW w:w="5000" w:type="pct"/>
            <w:gridSpan w:val="3"/>
            <w:shd w:val="clear" w:color="auto" w:fill="auto"/>
          </w:tcPr>
          <w:p w14:paraId="144FE50A" w14:textId="77777777" w:rsidR="0070381F" w:rsidRPr="00241274" w:rsidRDefault="0070381F" w:rsidP="001928BA">
            <w:pPr>
              <w:spacing w:before="0" w:line="240" w:lineRule="exact"/>
              <w:rPr>
                <w:rtl/>
                <w:lang w:bidi="ar-SY"/>
              </w:rPr>
            </w:pPr>
          </w:p>
        </w:tc>
      </w:tr>
      <w:tr w:rsidR="0070381F" w:rsidRPr="00F36590" w14:paraId="2B091647" w14:textId="77777777" w:rsidTr="002A393E">
        <w:tc>
          <w:tcPr>
            <w:tcW w:w="5000" w:type="pct"/>
            <w:gridSpan w:val="3"/>
            <w:shd w:val="clear" w:color="auto" w:fill="auto"/>
          </w:tcPr>
          <w:p w14:paraId="57EFF14E" w14:textId="4D2BF6EA" w:rsidR="0070381F" w:rsidRPr="00F36590" w:rsidRDefault="0070381F" w:rsidP="0070381F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47431A">
              <w:rPr>
                <w:b/>
                <w:bCs/>
                <w:w w:val="115"/>
                <w:rtl/>
              </w:rPr>
              <w:t xml:space="preserve">إلى إدارات الدول الأعضاء في </w:t>
            </w:r>
            <w:r w:rsidRPr="0047431A">
              <w:rPr>
                <w:rFonts w:hint="cs"/>
                <w:b/>
                <w:bCs/>
                <w:w w:val="115"/>
                <w:rtl/>
              </w:rPr>
              <w:t>الاتحاد</w:t>
            </w:r>
            <w:r w:rsidRPr="0047431A">
              <w:rPr>
                <w:b/>
                <w:bCs/>
                <w:w w:val="115"/>
                <w:rtl/>
              </w:rPr>
              <w:t xml:space="preserve"> وأعضاء قطاع الاتصالات الراديوية</w:t>
            </w:r>
            <w:r w:rsidRPr="0047431A">
              <w:rPr>
                <w:rFonts w:hint="cs"/>
                <w:b/>
                <w:bCs/>
                <w:w w:val="115"/>
                <w:rtl/>
              </w:rPr>
              <w:t xml:space="preserve"> والمنتسبين</w:t>
            </w:r>
            <w:r w:rsidRPr="0047431A">
              <w:rPr>
                <w:b/>
                <w:bCs/>
                <w:w w:val="115"/>
                <w:rtl/>
              </w:rPr>
              <w:t xml:space="preserve"> إليه</w:t>
            </w:r>
            <w:r w:rsidR="00710832">
              <w:rPr>
                <w:rFonts w:hint="cs"/>
                <w:b/>
                <w:bCs/>
                <w:spacing w:val="6"/>
                <w:w w:val="115"/>
                <w:rtl/>
              </w:rPr>
              <w:t xml:space="preserve"> 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2D79F3">
              <w:rPr>
                <w:rFonts w:hint="cs"/>
                <w:b/>
                <w:bCs/>
                <w:rtl/>
                <w:lang w:val="en-GB" w:bidi="ar-SY"/>
              </w:rPr>
              <w:t>1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70381F" w:rsidRPr="00241274" w14:paraId="565A0184" w14:textId="77777777" w:rsidTr="002A393E">
        <w:tc>
          <w:tcPr>
            <w:tcW w:w="5000" w:type="pct"/>
            <w:gridSpan w:val="3"/>
            <w:shd w:val="clear" w:color="auto" w:fill="auto"/>
          </w:tcPr>
          <w:p w14:paraId="16A86C93" w14:textId="77777777" w:rsidR="0070381F" w:rsidRPr="00241274" w:rsidRDefault="0070381F" w:rsidP="0070381F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70381F" w:rsidRPr="00F36590" w14:paraId="63F2D9C9" w14:textId="77777777" w:rsidTr="002A393E">
        <w:trPr>
          <w:trHeight w:val="452"/>
        </w:trPr>
        <w:tc>
          <w:tcPr>
            <w:tcW w:w="699" w:type="pct"/>
            <w:shd w:val="clear" w:color="auto" w:fill="auto"/>
          </w:tcPr>
          <w:p w14:paraId="55F9150B" w14:textId="77777777" w:rsidR="0070381F" w:rsidRPr="00F36590" w:rsidRDefault="0070381F" w:rsidP="0070381F">
            <w:pPr>
              <w:spacing w:before="60" w:after="60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FA93D02" w14:textId="26C63D4C" w:rsidR="0070381F" w:rsidRPr="002D79F3" w:rsidRDefault="0070381F" w:rsidP="0070381F">
            <w:pPr>
              <w:spacing w:before="60" w:after="60"/>
              <w:rPr>
                <w:b/>
                <w:bCs/>
                <w:rtl/>
                <w:lang w:bidi="ar-EG"/>
              </w:rPr>
            </w:pPr>
            <w:r w:rsidRPr="002D79F3">
              <w:rPr>
                <w:b/>
                <w:bCs/>
                <w:rtl/>
                <w:lang w:bidi="ar-EG"/>
              </w:rPr>
              <w:t>لجنة الدراسات</w:t>
            </w:r>
            <w:r w:rsidRPr="002D79F3">
              <w:rPr>
                <w:rFonts w:hint="cs"/>
                <w:b/>
                <w:bCs/>
                <w:rtl/>
                <w:lang w:bidi="ar-EG"/>
              </w:rPr>
              <w:t> </w:t>
            </w:r>
            <w:r w:rsidR="002D79F3" w:rsidRPr="002D79F3">
              <w:rPr>
                <w:rFonts w:hint="cs"/>
                <w:b/>
                <w:bCs/>
                <w:rtl/>
                <w:lang w:bidi="ar-SY"/>
              </w:rPr>
              <w:t>1</w:t>
            </w:r>
            <w:r w:rsidRPr="002D79F3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2D79F3">
              <w:rPr>
                <w:rFonts w:hint="cs"/>
                <w:b/>
                <w:bCs/>
                <w:rtl/>
                <w:lang w:bidi="ar-EG"/>
              </w:rPr>
              <w:t xml:space="preserve">ة </w:t>
            </w:r>
            <w:r w:rsidRPr="002D79F3">
              <w:rPr>
                <w:rFonts w:hint="cs"/>
                <w:b/>
                <w:bCs/>
                <w:sz w:val="30"/>
                <w:rtl/>
                <w:lang w:bidi="ar-EG"/>
              </w:rPr>
              <w:t>(</w:t>
            </w:r>
            <w:r w:rsidR="002D79F3" w:rsidRPr="002D79F3">
              <w:rPr>
                <w:rFonts w:ascii="Traditional Arabic" w:hAnsi="Traditional Arabic" w:hint="cs"/>
                <w:b/>
                <w:bCs/>
                <w:sz w:val="30"/>
                <w:rtl/>
                <w:lang w:eastAsia="ja-JP"/>
              </w:rPr>
              <w:t>إدارة الطيف</w:t>
            </w:r>
            <w:r w:rsidRPr="002D79F3">
              <w:rPr>
                <w:rFonts w:hint="cs"/>
                <w:b/>
                <w:bCs/>
                <w:sz w:val="30"/>
                <w:rtl/>
                <w:lang w:bidi="ar-EG"/>
              </w:rPr>
              <w:t>)</w:t>
            </w:r>
          </w:p>
          <w:p w14:paraId="2A9652CA" w14:textId="6E4A5699" w:rsidR="0070381F" w:rsidRPr="002D79F3" w:rsidRDefault="0070381F" w:rsidP="001928BA">
            <w:pPr>
              <w:tabs>
                <w:tab w:val="clear" w:pos="794"/>
                <w:tab w:val="left" w:pos="386"/>
              </w:tabs>
              <w:spacing w:before="60" w:after="60"/>
              <w:ind w:left="386" w:hanging="386"/>
              <w:rPr>
                <w:b/>
                <w:bCs/>
                <w:lang w:bidi="ar-EG"/>
              </w:rPr>
            </w:pPr>
            <w:r w:rsidRPr="002D79F3">
              <w:rPr>
                <w:rFonts w:hint="cs"/>
                <w:b/>
                <w:bCs/>
                <w:rtl/>
                <w:lang w:bidi="ar-EG"/>
              </w:rPr>
              <w:t>-</w:t>
            </w:r>
            <w:r w:rsidRPr="002D79F3">
              <w:rPr>
                <w:b/>
                <w:bCs/>
                <w:rtl/>
                <w:lang w:bidi="ar-EG"/>
              </w:rPr>
              <w:tab/>
            </w:r>
            <w:r w:rsidR="0076582D" w:rsidRPr="002D79F3">
              <w:rPr>
                <w:rFonts w:hint="cs"/>
                <w:b/>
                <w:bCs/>
                <w:rtl/>
                <w:lang w:bidi="ar-EG"/>
              </w:rPr>
              <w:t xml:space="preserve">اقتراح </w:t>
            </w:r>
            <w:r w:rsidR="001928BA" w:rsidRPr="002D79F3">
              <w:rPr>
                <w:rFonts w:hint="cs"/>
                <w:b/>
                <w:bCs/>
                <w:rtl/>
                <w:lang w:bidi="ar-EG"/>
              </w:rPr>
              <w:t>اعتماد</w:t>
            </w:r>
            <w:r w:rsidR="00204892" w:rsidRPr="002D79F3">
              <w:rPr>
                <w:rFonts w:hint="cs"/>
                <w:b/>
                <w:bCs/>
                <w:rtl/>
              </w:rPr>
              <w:t xml:space="preserve"> </w:t>
            </w:r>
            <w:r w:rsidR="002D79F3" w:rsidRPr="002D79F3">
              <w:rPr>
                <w:rFonts w:hint="cs"/>
                <w:b/>
                <w:bCs/>
                <w:rtl/>
              </w:rPr>
              <w:t>مشروعي توصيتين جديدتين</w:t>
            </w:r>
            <w:r w:rsidR="001928BA" w:rsidRPr="002D79F3"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 والموافقة عليه</w:t>
            </w:r>
            <w:r w:rsidR="002D79F3" w:rsidRPr="002D79F3">
              <w:rPr>
                <w:rFonts w:hint="cs"/>
                <w:b/>
                <w:bCs/>
                <w:rtl/>
                <w:lang w:bidi="ar-EG"/>
              </w:rPr>
              <w:t>م</w:t>
            </w:r>
            <w:r w:rsidR="001928BA" w:rsidRPr="002D79F3">
              <w:rPr>
                <w:rFonts w:hint="cs"/>
                <w:b/>
                <w:bCs/>
                <w:rtl/>
                <w:lang w:bidi="ar-EG"/>
              </w:rPr>
              <w:t>ا في</w:t>
            </w:r>
            <w:r w:rsidR="001928BA" w:rsidRPr="002D79F3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1928BA" w:rsidRPr="002D79F3"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r w:rsidR="001928BA" w:rsidRPr="002D79F3">
              <w:rPr>
                <w:b/>
                <w:bCs/>
                <w:lang w:bidi="ar-EG"/>
              </w:rPr>
              <w:t>4.2.6.A2</w:t>
            </w:r>
            <w:r w:rsidR="001928BA" w:rsidRPr="002D79F3"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 w:rsidR="001928BA" w:rsidRPr="002D79F3">
              <w:rPr>
                <w:b/>
                <w:bCs/>
                <w:lang w:bidi="ar-EG"/>
              </w:rPr>
              <w:t>ITU</w:t>
            </w:r>
            <w:r w:rsidR="001928BA" w:rsidRPr="002D79F3">
              <w:rPr>
                <w:b/>
                <w:bCs/>
                <w:lang w:bidi="ar-EG"/>
              </w:rPr>
              <w:noBreakHyphen/>
              <w:t>R 1</w:t>
            </w:r>
            <w:r w:rsidR="001928BA" w:rsidRPr="002D79F3">
              <w:rPr>
                <w:b/>
                <w:bCs/>
                <w:lang w:bidi="ar-EG"/>
              </w:rPr>
              <w:noBreakHyphen/>
            </w:r>
            <w:r w:rsidR="00C24EB0" w:rsidRPr="002D79F3">
              <w:rPr>
                <w:b/>
                <w:bCs/>
                <w:lang w:bidi="ar-EG"/>
              </w:rPr>
              <w:t>8</w:t>
            </w:r>
            <w:r w:rsidR="001928BA" w:rsidRPr="002D79F3"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="001928BA" w:rsidRPr="002D79F3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1928BA" w:rsidRPr="002D79F3"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</w:tc>
      </w:tr>
    </w:tbl>
    <w:p w14:paraId="20B19A8B" w14:textId="77777777" w:rsidR="00766BF5" w:rsidRDefault="00766BF5" w:rsidP="008D5ACE">
      <w:pPr>
        <w:pStyle w:val="Normalaftertitle"/>
        <w:spacing w:before="720"/>
        <w:rPr>
          <w:rtl/>
        </w:rPr>
      </w:pPr>
      <w:r>
        <w:rPr>
          <w:rFonts w:hint="cs"/>
          <w:rtl/>
        </w:rPr>
        <w:t>تحية طيبة وبعد،</w:t>
      </w:r>
    </w:p>
    <w:p w14:paraId="2A80B91C" w14:textId="54A38852" w:rsidR="001928BA" w:rsidRPr="00D505D1" w:rsidRDefault="001928BA" w:rsidP="00EC4093">
      <w:pPr>
        <w:pStyle w:val="Normalaftertitle"/>
        <w:keepNext w:val="0"/>
        <w:spacing w:before="120"/>
        <w:rPr>
          <w:rtl/>
        </w:rPr>
      </w:pPr>
      <w:r w:rsidRPr="00D505D1">
        <w:rPr>
          <w:rtl/>
        </w:rPr>
        <w:t xml:space="preserve">قررت </w:t>
      </w:r>
      <w:r w:rsidRPr="00D505D1">
        <w:rPr>
          <w:rFonts w:hint="cs"/>
          <w:rtl/>
        </w:rPr>
        <w:t>لجنة</w:t>
      </w:r>
      <w:r w:rsidRPr="00D505D1">
        <w:rPr>
          <w:rtl/>
        </w:rPr>
        <w:t xml:space="preserve"> الدراسات</w:t>
      </w:r>
      <w:r w:rsidRPr="00D505D1">
        <w:rPr>
          <w:rFonts w:hint="cs"/>
          <w:rtl/>
        </w:rPr>
        <w:t> </w:t>
      </w:r>
      <w:r w:rsidR="002D79F3">
        <w:rPr>
          <w:rFonts w:hint="cs"/>
          <w:rtl/>
          <w:lang w:val="en-GB"/>
        </w:rPr>
        <w:t>1</w:t>
      </w:r>
      <w:r w:rsidRPr="00D505D1">
        <w:rPr>
          <w:rtl/>
        </w:rPr>
        <w:t xml:space="preserve"> للاتصالات الراديوية في اجتماعها </w:t>
      </w:r>
      <w:r w:rsidR="00523C73">
        <w:rPr>
          <w:rFonts w:hint="cs"/>
          <w:rtl/>
        </w:rPr>
        <w:t>الذي عُقد</w:t>
      </w:r>
      <w:r w:rsidRPr="00D505D1">
        <w:rPr>
          <w:rtl/>
        </w:rPr>
        <w:t xml:space="preserve"> </w:t>
      </w:r>
      <w:r w:rsidRPr="00D505D1">
        <w:rPr>
          <w:rFonts w:hint="cs"/>
          <w:rtl/>
        </w:rPr>
        <w:t xml:space="preserve">في </w:t>
      </w:r>
      <w:r w:rsidR="002D79F3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2D79F3">
        <w:rPr>
          <w:rFonts w:hint="cs"/>
          <w:rtl/>
        </w:rPr>
        <w:t>يوليو</w:t>
      </w:r>
      <w:r>
        <w:rPr>
          <w:rFonts w:hint="cs"/>
          <w:rtl/>
        </w:rPr>
        <w:t xml:space="preserve"> </w:t>
      </w:r>
      <w:r>
        <w:t>2022</w:t>
      </w:r>
      <w:r>
        <w:rPr>
          <w:rFonts w:hint="cs"/>
          <w:rtl/>
        </w:rPr>
        <w:t xml:space="preserve"> </w:t>
      </w:r>
      <w:r w:rsidRPr="00D505D1">
        <w:rPr>
          <w:rtl/>
        </w:rPr>
        <w:t>أن تلتمس اعتماد</w:t>
      </w:r>
      <w:r w:rsidR="00204892">
        <w:rPr>
          <w:rFonts w:hint="cs"/>
          <w:rtl/>
        </w:rPr>
        <w:t xml:space="preserve"> </w:t>
      </w:r>
      <w:r w:rsidR="002D79F3">
        <w:rPr>
          <w:rFonts w:hint="cs"/>
          <w:rtl/>
        </w:rPr>
        <w:t>مشروعَي توصيتين جديدتين</w:t>
      </w:r>
      <w:r w:rsidRPr="00D505D1">
        <w:rPr>
          <w:rFonts w:hint="cs"/>
          <w:rtl/>
        </w:rPr>
        <w:t xml:space="preserve"> </w:t>
      </w:r>
      <w:r w:rsidR="002D79F3">
        <w:rPr>
          <w:rFonts w:hint="cs"/>
          <w:rtl/>
        </w:rPr>
        <w:t xml:space="preserve">لقطاع الاتصالات الراديوية </w:t>
      </w:r>
      <w:r w:rsidRPr="00D505D1">
        <w:rPr>
          <w:rFonts w:hint="cs"/>
          <w:rtl/>
        </w:rPr>
        <w:t>عن طريق المراسلة (الفقرة</w:t>
      </w:r>
      <w:r w:rsidRPr="00D505D1">
        <w:rPr>
          <w:rFonts w:hint="eastAsia"/>
          <w:rtl/>
        </w:rPr>
        <w:t> </w:t>
      </w:r>
      <w:r w:rsidRPr="00D505D1">
        <w:t>2.6.A2</w:t>
      </w:r>
      <w:r w:rsidRPr="00D505D1">
        <w:rPr>
          <w:rFonts w:hint="cs"/>
          <w:rtl/>
        </w:rPr>
        <w:t xml:space="preserve"> من القرار </w:t>
      </w:r>
      <w:r w:rsidRPr="00D505D1">
        <w:t>ITU</w:t>
      </w:r>
      <w:r w:rsidRPr="00D505D1">
        <w:noBreakHyphen/>
        <w:t>R 1</w:t>
      </w:r>
      <w:r w:rsidRPr="00D505D1">
        <w:noBreakHyphen/>
      </w:r>
      <w:r>
        <w:t>8</w:t>
      </w:r>
      <w:r w:rsidRPr="00D505D1">
        <w:rPr>
          <w:rFonts w:hint="cs"/>
          <w:rtl/>
        </w:rPr>
        <w:t xml:space="preserve">) وقررت كذلك تطبيق إجراء </w:t>
      </w:r>
      <w:r>
        <w:rPr>
          <w:rFonts w:hint="cs"/>
          <w:rtl/>
        </w:rPr>
        <w:t>الاعتماد</w:t>
      </w:r>
      <w:r w:rsidRPr="00D505D1">
        <w:rPr>
          <w:rFonts w:hint="cs"/>
          <w:rtl/>
        </w:rPr>
        <w:t xml:space="preserve"> والموافَقة في نفس الوقت عن طريق المراسلة</w:t>
      </w:r>
      <w:r w:rsidRPr="00D505D1">
        <w:rPr>
          <w:rFonts w:hint="eastAsia"/>
          <w:rtl/>
        </w:rPr>
        <w:t> </w:t>
      </w:r>
      <w:r w:rsidRPr="00D505D1">
        <w:t>(PSAA)</w:t>
      </w:r>
      <w:r w:rsidRPr="00D505D1">
        <w:rPr>
          <w:rFonts w:hint="cs"/>
          <w:rtl/>
        </w:rPr>
        <w:t xml:space="preserve"> (الفقرة </w:t>
      </w:r>
      <w:r w:rsidRPr="00D505D1">
        <w:t>4.2.6.A2</w:t>
      </w:r>
      <w:r w:rsidRPr="00D505D1">
        <w:rPr>
          <w:rFonts w:hint="cs"/>
          <w:rtl/>
        </w:rPr>
        <w:t xml:space="preserve"> من القرار </w:t>
      </w:r>
      <w:r w:rsidRPr="00D505D1">
        <w:t>ITU</w:t>
      </w:r>
      <w:r w:rsidRPr="00D505D1">
        <w:noBreakHyphen/>
        <w:t>R 1</w:t>
      </w:r>
      <w:r w:rsidRPr="00D505D1">
        <w:noBreakHyphen/>
      </w:r>
      <w:r>
        <w:t>8</w:t>
      </w:r>
      <w:r w:rsidRPr="00D505D1">
        <w:rPr>
          <w:rFonts w:hint="cs"/>
          <w:rtl/>
        </w:rPr>
        <w:t xml:space="preserve">). </w:t>
      </w:r>
      <w:r w:rsidRPr="001F2358">
        <w:rPr>
          <w:rFonts w:hint="cs"/>
          <w:rtl/>
        </w:rPr>
        <w:t>ويرد</w:t>
      </w:r>
      <w:r w:rsidRPr="001F2358">
        <w:rPr>
          <w:rFonts w:hint="eastAsia"/>
          <w:rtl/>
        </w:rPr>
        <w:t> </w:t>
      </w:r>
      <w:r w:rsidRPr="001F2358">
        <w:rPr>
          <w:rFonts w:hint="cs"/>
          <w:rtl/>
        </w:rPr>
        <w:t>في</w:t>
      </w:r>
      <w:r w:rsidRPr="001F2358">
        <w:rPr>
          <w:rFonts w:hint="eastAsia"/>
          <w:rtl/>
        </w:rPr>
        <w:t> </w:t>
      </w:r>
      <w:r w:rsidRPr="001F2358">
        <w:rPr>
          <w:rFonts w:hint="cs"/>
          <w:rtl/>
        </w:rPr>
        <w:t>الملحق</w:t>
      </w:r>
      <w:r w:rsidRPr="001F2358">
        <w:rPr>
          <w:rFonts w:hint="eastAsia"/>
          <w:rtl/>
        </w:rPr>
        <w:t> </w:t>
      </w:r>
      <w:r w:rsidR="001F2358" w:rsidRPr="001F2358">
        <w:rPr>
          <w:rFonts w:hint="cs"/>
          <w:rtl/>
        </w:rPr>
        <w:t>بهذه الرسالة</w:t>
      </w:r>
      <w:r w:rsidRPr="001F2358">
        <w:rPr>
          <w:rFonts w:hint="cs"/>
          <w:rtl/>
        </w:rPr>
        <w:t xml:space="preserve"> </w:t>
      </w:r>
      <w:r w:rsidR="002D79F3">
        <w:rPr>
          <w:rFonts w:hint="cs"/>
          <w:rtl/>
        </w:rPr>
        <w:t>عنوان وملخص كل من مشروعَي التوصيتين</w:t>
      </w:r>
      <w:r w:rsidRPr="001F2358">
        <w:rPr>
          <w:rFonts w:hint="cs"/>
          <w:rtl/>
        </w:rPr>
        <w:t>. ويرجى من أي دولة عضو تعترض على اعتماد مشروع توصية أن تخبر المدير ورئيس لجنة الدراسات بأسباب</w:t>
      </w:r>
      <w:r w:rsidRPr="001F2358">
        <w:rPr>
          <w:rFonts w:hint="eastAsia"/>
          <w:rtl/>
        </w:rPr>
        <w:t> </w:t>
      </w:r>
      <w:r w:rsidRPr="001F2358">
        <w:rPr>
          <w:rFonts w:hint="cs"/>
          <w:rtl/>
        </w:rPr>
        <w:t>اعتراضها.</w:t>
      </w:r>
    </w:p>
    <w:p w14:paraId="7809EAFB" w14:textId="1809E3BE" w:rsidR="00686585" w:rsidRPr="00D505D1" w:rsidRDefault="00686585" w:rsidP="007060A5">
      <w:pPr>
        <w:rPr>
          <w:rtl/>
          <w:lang w:bidi="ar-EG"/>
        </w:rPr>
      </w:pPr>
      <w:r w:rsidRPr="00D505D1">
        <w:rPr>
          <w:rFonts w:hint="cs"/>
          <w:rtl/>
          <w:lang w:bidi="ar-EG"/>
        </w:rPr>
        <w:t>وتمتد</w:t>
      </w:r>
      <w:r w:rsidRPr="00D505D1">
        <w:rPr>
          <w:rtl/>
          <w:lang w:bidi="ar-EG"/>
        </w:rPr>
        <w:t xml:space="preserve"> فترة النظر </w:t>
      </w:r>
      <w:r w:rsidRPr="00D505D1">
        <w:rPr>
          <w:rFonts w:hint="cs"/>
          <w:rtl/>
          <w:lang w:bidi="ar-EG"/>
        </w:rPr>
        <w:t xml:space="preserve">لمدة شهرين </w:t>
      </w:r>
      <w:r w:rsidRPr="00D505D1">
        <w:rPr>
          <w:rtl/>
          <w:lang w:bidi="ar-EG"/>
        </w:rPr>
        <w:t>تنتهي في</w:t>
      </w:r>
      <w:r w:rsidRPr="00D505D1">
        <w:rPr>
          <w:rFonts w:hint="cs"/>
          <w:rtl/>
          <w:lang w:bidi="ar-EG"/>
        </w:rPr>
        <w:t xml:space="preserve"> </w:t>
      </w:r>
      <w:r w:rsidR="002D79F3">
        <w:rPr>
          <w:rFonts w:hint="cs"/>
          <w:u w:val="single"/>
          <w:rtl/>
          <w:lang w:bidi="ar-EG"/>
        </w:rPr>
        <w:t>20</w:t>
      </w:r>
      <w:r>
        <w:rPr>
          <w:rFonts w:hint="cs"/>
          <w:u w:val="single"/>
          <w:rtl/>
          <w:lang w:bidi="ar-EG"/>
        </w:rPr>
        <w:t xml:space="preserve"> </w:t>
      </w:r>
      <w:r w:rsidR="002D79F3">
        <w:rPr>
          <w:rFonts w:hint="cs"/>
          <w:u w:val="single"/>
          <w:rtl/>
          <w:lang w:bidi="ar-EG"/>
        </w:rPr>
        <w:t>سبتمبر</w:t>
      </w:r>
      <w:r>
        <w:rPr>
          <w:rFonts w:hint="cs"/>
          <w:u w:val="single"/>
          <w:rtl/>
          <w:lang w:bidi="ar-EG"/>
        </w:rPr>
        <w:t xml:space="preserve"> </w:t>
      </w:r>
      <w:r>
        <w:rPr>
          <w:u w:val="single"/>
          <w:lang w:bidi="ar-EG"/>
        </w:rPr>
        <w:t>2022</w:t>
      </w:r>
      <w:r w:rsidRPr="00686585">
        <w:rPr>
          <w:rFonts w:hint="cs"/>
          <w:rtl/>
          <w:lang w:bidi="ar-EG"/>
        </w:rPr>
        <w:t>.</w:t>
      </w:r>
      <w:r w:rsidRPr="00D505D1">
        <w:rPr>
          <w:rtl/>
          <w:lang w:bidi="ar-EG"/>
        </w:rPr>
        <w:t xml:space="preserve"> وإذا </w:t>
      </w:r>
      <w:r w:rsidRPr="00D505D1">
        <w:rPr>
          <w:rFonts w:hint="cs"/>
          <w:rtl/>
          <w:lang w:bidi="ar-EG"/>
        </w:rPr>
        <w:t>لم</w:t>
      </w:r>
      <w:r w:rsidRPr="00D505D1">
        <w:rPr>
          <w:rtl/>
          <w:lang w:bidi="ar-EG"/>
        </w:rPr>
        <w:t xml:space="preserve"> ترد أي اعتراضات من الدول الأعضاء خلال هذه الفترة </w:t>
      </w:r>
      <w:r w:rsidR="00685F1D">
        <w:rPr>
          <w:rFonts w:hint="cs"/>
          <w:rtl/>
          <w:lang w:bidi="ar-EG"/>
        </w:rPr>
        <w:t>فسيُعتبر أن</w:t>
      </w:r>
      <w:r w:rsidRPr="00D505D1">
        <w:rPr>
          <w:rFonts w:hint="cs"/>
          <w:rtl/>
          <w:lang w:bidi="ar-EG"/>
        </w:rPr>
        <w:t> </w:t>
      </w:r>
      <w:r w:rsidR="002D79F3">
        <w:rPr>
          <w:rFonts w:hint="cs"/>
          <w:rtl/>
          <w:lang w:bidi="ar-EG"/>
        </w:rPr>
        <w:t>مشروعي التوصيتين</w:t>
      </w:r>
      <w:r w:rsidRPr="00D505D1">
        <w:rPr>
          <w:rFonts w:hint="cs"/>
          <w:rtl/>
          <w:lang w:bidi="ar-EG"/>
        </w:rPr>
        <w:t xml:space="preserve"> قد اعتمدته</w:t>
      </w:r>
      <w:r w:rsidR="00685F1D">
        <w:rPr>
          <w:rFonts w:hint="cs"/>
          <w:rtl/>
          <w:lang w:bidi="ar-EG"/>
        </w:rPr>
        <w:t>م</w:t>
      </w:r>
      <w:r w:rsidRPr="00D505D1">
        <w:rPr>
          <w:rFonts w:hint="cs"/>
          <w:rtl/>
          <w:lang w:bidi="ar-EG"/>
        </w:rPr>
        <w:t>ا</w:t>
      </w:r>
      <w:r w:rsidRPr="00D505D1">
        <w:rPr>
          <w:rtl/>
          <w:lang w:bidi="ar-EG"/>
        </w:rPr>
        <w:t xml:space="preserve"> </w:t>
      </w:r>
      <w:r w:rsidRPr="00D505D1">
        <w:rPr>
          <w:rFonts w:hint="cs"/>
          <w:rtl/>
          <w:lang w:bidi="ar-EG"/>
        </w:rPr>
        <w:t>لجنة</w:t>
      </w:r>
      <w:r w:rsidRPr="00D505D1">
        <w:rPr>
          <w:rtl/>
          <w:lang w:bidi="ar-EG"/>
        </w:rPr>
        <w:t xml:space="preserve"> الدراسات</w:t>
      </w:r>
      <w:r w:rsidRPr="00D505D1">
        <w:rPr>
          <w:rFonts w:hint="eastAsia"/>
          <w:rtl/>
          <w:lang w:bidi="ar-EG"/>
        </w:rPr>
        <w:t> </w:t>
      </w:r>
      <w:r w:rsidR="00685F1D">
        <w:rPr>
          <w:rFonts w:hint="cs"/>
          <w:rtl/>
        </w:rPr>
        <w:t>1</w:t>
      </w:r>
      <w:r w:rsidRPr="00D505D1">
        <w:rPr>
          <w:rtl/>
          <w:lang w:bidi="ar-EG"/>
        </w:rPr>
        <w:t xml:space="preserve">. </w:t>
      </w:r>
      <w:r w:rsidRPr="00D505D1">
        <w:rPr>
          <w:rFonts w:hint="cs"/>
          <w:rtl/>
          <w:lang w:bidi="ar-EG"/>
        </w:rPr>
        <w:t>وعلاوةً على</w:t>
      </w:r>
      <w:r w:rsidRPr="00D505D1">
        <w:rPr>
          <w:rtl/>
          <w:lang w:bidi="ar-EG"/>
        </w:rPr>
        <w:t xml:space="preserve"> ذلك، </w:t>
      </w:r>
      <w:r w:rsidRPr="00D505D1">
        <w:rPr>
          <w:rFonts w:hint="cs"/>
          <w:rtl/>
          <w:lang w:bidi="ar-EG"/>
        </w:rPr>
        <w:t>ولما</w:t>
      </w:r>
      <w:r w:rsidRPr="00D505D1">
        <w:rPr>
          <w:rtl/>
          <w:lang w:bidi="ar-EG"/>
        </w:rPr>
        <w:t xml:space="preserve"> كان قد</w:t>
      </w:r>
      <w:r w:rsidRPr="00D505D1">
        <w:rPr>
          <w:rFonts w:hint="cs"/>
          <w:rtl/>
          <w:lang w:bidi="ar-EG"/>
        </w:rPr>
        <w:t xml:space="preserve"> تم</w:t>
      </w:r>
      <w:r w:rsidRPr="00D505D1">
        <w:rPr>
          <w:rtl/>
          <w:lang w:bidi="ar-EG"/>
        </w:rPr>
        <w:t xml:space="preserve"> اتباع إجراء الاعتماد </w:t>
      </w:r>
      <w:r w:rsidRPr="00D505D1">
        <w:rPr>
          <w:rFonts w:hint="cs"/>
          <w:rtl/>
          <w:lang w:bidi="ar-EG"/>
        </w:rPr>
        <w:t>والموافقة</w:t>
      </w:r>
      <w:r w:rsidRPr="00D505D1">
        <w:rPr>
          <w:rtl/>
          <w:lang w:bidi="ar-EG"/>
        </w:rPr>
        <w:t xml:space="preserve"> في</w:t>
      </w:r>
      <w:r w:rsidRPr="00D505D1">
        <w:rPr>
          <w:rFonts w:hint="cs"/>
          <w:rtl/>
          <w:lang w:bidi="ar-EG"/>
        </w:rPr>
        <w:t> </w:t>
      </w:r>
      <w:r w:rsidRPr="00D505D1">
        <w:rPr>
          <w:rtl/>
          <w:lang w:bidi="ar-EG"/>
        </w:rPr>
        <w:t>نفس الوقت عن طريق</w:t>
      </w:r>
      <w:r w:rsidRPr="00D505D1">
        <w:rPr>
          <w:rFonts w:hint="cs"/>
          <w:rtl/>
          <w:lang w:bidi="ar-EG"/>
        </w:rPr>
        <w:t xml:space="preserve"> المراسلة</w:t>
      </w:r>
      <w:r w:rsidRPr="00D505D1">
        <w:rPr>
          <w:rtl/>
          <w:lang w:bidi="ar-EG"/>
        </w:rPr>
        <w:t xml:space="preserve">، </w:t>
      </w:r>
      <w:r w:rsidR="00685F1D">
        <w:rPr>
          <w:rFonts w:hint="cs"/>
          <w:rtl/>
          <w:lang w:bidi="ar-EG"/>
        </w:rPr>
        <w:t>فسيُعتبر</w:t>
      </w:r>
      <w:r w:rsidR="00685F1D" w:rsidRPr="00685F1D">
        <w:rPr>
          <w:rtl/>
          <w:lang w:bidi="ar-EG"/>
        </w:rPr>
        <w:t xml:space="preserve"> </w:t>
      </w:r>
      <w:r w:rsidR="00685F1D" w:rsidRPr="00D505D1">
        <w:rPr>
          <w:rtl/>
          <w:lang w:bidi="ar-EG"/>
        </w:rPr>
        <w:t>أيضاً</w:t>
      </w:r>
      <w:r w:rsidR="00685F1D">
        <w:rPr>
          <w:rFonts w:hint="cs"/>
          <w:rtl/>
          <w:lang w:bidi="ar-EG"/>
        </w:rPr>
        <w:t xml:space="preserve"> أن</w:t>
      </w:r>
      <w:r w:rsidR="00685F1D" w:rsidRPr="00D505D1">
        <w:rPr>
          <w:rFonts w:hint="cs"/>
          <w:rtl/>
          <w:lang w:bidi="ar-EG"/>
        </w:rPr>
        <w:t> </w:t>
      </w:r>
      <w:r w:rsidR="00685F1D">
        <w:rPr>
          <w:rFonts w:hint="cs"/>
          <w:rtl/>
          <w:lang w:bidi="ar-EG"/>
        </w:rPr>
        <w:t>مشروعي التوصيتين</w:t>
      </w:r>
      <w:r w:rsidR="00685F1D" w:rsidRPr="00D505D1">
        <w:rPr>
          <w:rFonts w:hint="cs"/>
          <w:rtl/>
          <w:lang w:bidi="ar-EG"/>
        </w:rPr>
        <w:t xml:space="preserve"> </w:t>
      </w:r>
      <w:r w:rsidRPr="00D505D1">
        <w:rPr>
          <w:rFonts w:hint="cs"/>
          <w:rtl/>
          <w:lang w:bidi="ar-EG"/>
        </w:rPr>
        <w:t>بحكم</w:t>
      </w:r>
      <w:r w:rsidRPr="00D505D1">
        <w:rPr>
          <w:rtl/>
          <w:lang w:bidi="ar-EG"/>
        </w:rPr>
        <w:t xml:space="preserve"> </w:t>
      </w:r>
      <w:r w:rsidRPr="00D505D1">
        <w:rPr>
          <w:rFonts w:hint="cs"/>
          <w:rtl/>
          <w:lang w:bidi="ar-EG"/>
        </w:rPr>
        <w:t>الموافَق</w:t>
      </w:r>
      <w:r w:rsidRPr="00D505D1">
        <w:rPr>
          <w:rtl/>
          <w:lang w:bidi="ar-EG"/>
        </w:rPr>
        <w:t xml:space="preserve"> </w:t>
      </w:r>
      <w:r w:rsidRPr="00D505D1">
        <w:rPr>
          <w:rFonts w:hint="cs"/>
          <w:rtl/>
          <w:lang w:bidi="ar-EG"/>
        </w:rPr>
        <w:t>عليه</w:t>
      </w:r>
      <w:r w:rsidR="00685F1D">
        <w:rPr>
          <w:rFonts w:hint="cs"/>
          <w:rtl/>
          <w:lang w:bidi="ar-EG"/>
        </w:rPr>
        <w:t>م</w:t>
      </w:r>
      <w:r w:rsidRPr="00D505D1">
        <w:rPr>
          <w:rFonts w:hint="cs"/>
          <w:rtl/>
          <w:lang w:bidi="ar-EG"/>
        </w:rPr>
        <w:t>ا</w:t>
      </w:r>
      <w:r w:rsidRPr="00D505D1">
        <w:rPr>
          <w:rtl/>
          <w:lang w:bidi="ar-EG"/>
        </w:rPr>
        <w:t>.</w:t>
      </w:r>
    </w:p>
    <w:p w14:paraId="6FC04767" w14:textId="50AC46A8" w:rsidR="00686585" w:rsidRPr="00D505D1" w:rsidRDefault="00686585" w:rsidP="00686585">
      <w:pPr>
        <w:rPr>
          <w:rtl/>
        </w:rPr>
      </w:pPr>
      <w:r w:rsidRPr="00D505D1">
        <w:rPr>
          <w:rtl/>
          <w:lang w:bidi="ar-EG"/>
        </w:rPr>
        <w:t xml:space="preserve">وبعد </w:t>
      </w:r>
      <w:r w:rsidRPr="00D505D1">
        <w:rPr>
          <w:rFonts w:hint="cs"/>
          <w:rtl/>
          <w:lang w:bidi="ar-EG"/>
        </w:rPr>
        <w:t>المهلة</w:t>
      </w:r>
      <w:r w:rsidRPr="00D505D1">
        <w:rPr>
          <w:rtl/>
          <w:lang w:bidi="ar-EG"/>
        </w:rPr>
        <w:t xml:space="preserve"> </w:t>
      </w:r>
      <w:r w:rsidRPr="00D505D1">
        <w:rPr>
          <w:rFonts w:hint="cs"/>
          <w:rtl/>
          <w:lang w:bidi="ar-EG"/>
        </w:rPr>
        <w:t>المحددة</w:t>
      </w:r>
      <w:r w:rsidRPr="00D505D1">
        <w:rPr>
          <w:rtl/>
          <w:lang w:bidi="ar-EG"/>
        </w:rPr>
        <w:t xml:space="preserve"> أعلاه</w:t>
      </w:r>
      <w:r w:rsidRPr="00D505D1">
        <w:rPr>
          <w:rFonts w:hint="cs"/>
          <w:rtl/>
          <w:lang w:bidi="ar-EG"/>
        </w:rPr>
        <w:t>،</w:t>
      </w:r>
      <w:r w:rsidRPr="00D505D1">
        <w:rPr>
          <w:rtl/>
          <w:lang w:bidi="ar-EG"/>
        </w:rPr>
        <w:t xml:space="preserve"> ستعلن نتائج </w:t>
      </w:r>
      <w:r w:rsidRPr="00D505D1">
        <w:rPr>
          <w:rFonts w:hint="cs"/>
          <w:rtl/>
          <w:lang w:bidi="ar-EG"/>
        </w:rPr>
        <w:t>الإجراءات المذكورة أعلاه</w:t>
      </w:r>
      <w:r w:rsidRPr="00D505D1">
        <w:rPr>
          <w:rtl/>
          <w:lang w:bidi="ar-EG"/>
        </w:rPr>
        <w:t xml:space="preserve"> في </w:t>
      </w:r>
      <w:r w:rsidRPr="00D505D1">
        <w:rPr>
          <w:rFonts w:hint="cs"/>
          <w:rtl/>
          <w:lang w:bidi="ar-EG"/>
        </w:rPr>
        <w:t>رسالة</w:t>
      </w:r>
      <w:r w:rsidRPr="00D505D1">
        <w:rPr>
          <w:rtl/>
          <w:lang w:bidi="ar-EG"/>
        </w:rPr>
        <w:t xml:space="preserve"> إدارية</w:t>
      </w:r>
      <w:r w:rsidRPr="00D505D1">
        <w:rPr>
          <w:rFonts w:hint="cs"/>
          <w:rtl/>
          <w:lang w:bidi="ar-EG"/>
        </w:rPr>
        <w:t xml:space="preserve"> معممة</w:t>
      </w:r>
      <w:r w:rsidRPr="00D505D1">
        <w:rPr>
          <w:rtl/>
          <w:lang w:bidi="ar-EG"/>
        </w:rPr>
        <w:t xml:space="preserve"> وستنشر </w:t>
      </w:r>
      <w:r w:rsidR="00685F1D">
        <w:rPr>
          <w:rFonts w:hint="cs"/>
          <w:rtl/>
          <w:lang w:bidi="ar-EG"/>
        </w:rPr>
        <w:t>التوصيتان</w:t>
      </w:r>
      <w:r w:rsidRPr="00D505D1">
        <w:rPr>
          <w:rtl/>
          <w:lang w:bidi="ar-EG"/>
        </w:rPr>
        <w:t xml:space="preserve"> </w:t>
      </w:r>
      <w:r w:rsidRPr="00D505D1">
        <w:rPr>
          <w:rFonts w:hint="cs"/>
          <w:rtl/>
          <w:lang w:bidi="ar-EG"/>
        </w:rPr>
        <w:t>الموافَق</w:t>
      </w:r>
      <w:r w:rsidRPr="00D505D1">
        <w:rPr>
          <w:rtl/>
          <w:lang w:bidi="ar-EG"/>
        </w:rPr>
        <w:t xml:space="preserve"> عليه</w:t>
      </w:r>
      <w:r w:rsidR="00685F1D">
        <w:rPr>
          <w:rFonts w:hint="cs"/>
          <w:rtl/>
          <w:lang w:bidi="ar-EG"/>
        </w:rPr>
        <w:t>م</w:t>
      </w:r>
      <w:r w:rsidRPr="00D505D1">
        <w:rPr>
          <w:rtl/>
          <w:lang w:bidi="ar-EG"/>
        </w:rPr>
        <w:t>ا في</w:t>
      </w:r>
      <w:r w:rsidRPr="00D505D1">
        <w:rPr>
          <w:rFonts w:hint="cs"/>
          <w:rtl/>
          <w:lang w:bidi="ar-EG"/>
        </w:rPr>
        <w:t> </w:t>
      </w:r>
      <w:r w:rsidRPr="00D505D1">
        <w:rPr>
          <w:rtl/>
          <w:lang w:bidi="ar-EG"/>
        </w:rPr>
        <w:t>أقرب وقت</w:t>
      </w:r>
      <w:r w:rsidRPr="00D505D1">
        <w:rPr>
          <w:rFonts w:hint="cs"/>
          <w:rtl/>
          <w:lang w:bidi="ar-EG"/>
        </w:rPr>
        <w:t xml:space="preserve"> ممكن (انظر </w:t>
      </w:r>
      <w:hyperlink r:id="rId8" w:history="1">
        <w:r w:rsidRPr="00E57011">
          <w:rPr>
            <w:rStyle w:val="Hyperlink"/>
            <w:szCs w:val="24"/>
          </w:rPr>
          <w:t>http://www.itu.int/pub/R-REC</w:t>
        </w:r>
      </w:hyperlink>
      <w:r w:rsidRPr="00D505D1">
        <w:rPr>
          <w:rFonts w:hint="cs"/>
          <w:rtl/>
          <w:lang w:bidi="ar-EG"/>
        </w:rPr>
        <w:t>).</w:t>
      </w:r>
    </w:p>
    <w:p w14:paraId="3E8022CB" w14:textId="08723E02" w:rsidR="00686585" w:rsidRDefault="00686585" w:rsidP="00686585">
      <w:pPr>
        <w:pageBreakBefore/>
        <w:rPr>
          <w:rtl/>
          <w:lang w:bidi="ar-EG"/>
        </w:rPr>
      </w:pPr>
      <w:r>
        <w:rPr>
          <w:rtl/>
          <w:lang w:bidi="ar-EG"/>
        </w:rPr>
        <w:lastRenderedPageBreak/>
        <w:t>ويرجى من أي منظمة عضو في</w:t>
      </w:r>
      <w:r>
        <w:rPr>
          <w:rFonts w:hint="cs"/>
          <w:rtl/>
          <w:lang w:bidi="ar-EG"/>
        </w:rPr>
        <w:t xml:space="preserve"> الاتحاد </w:t>
      </w:r>
      <w:r w:rsidRPr="008D3F8E">
        <w:rPr>
          <w:rtl/>
          <w:lang w:bidi="ar-EG"/>
        </w:rPr>
        <w:t xml:space="preserve">تعلم بوجود براءة اختراع لديها أو لدى غيرها تغطي كلياً </w:t>
      </w:r>
      <w:r>
        <w:rPr>
          <w:rtl/>
          <w:lang w:bidi="ar-EG"/>
        </w:rPr>
        <w:t xml:space="preserve">أو جزئياً عناصر </w:t>
      </w:r>
      <w:r w:rsidR="00685F1D">
        <w:rPr>
          <w:rFonts w:hint="cs"/>
          <w:rtl/>
          <w:lang w:bidi="ar-EG"/>
        </w:rPr>
        <w:t>من مشروعي التوصيتين المذكورين</w:t>
      </w:r>
      <w:r>
        <w:rPr>
          <w:rtl/>
          <w:lang w:bidi="ar-EG"/>
        </w:rPr>
        <w:t xml:space="preserve"> </w:t>
      </w:r>
      <w:r w:rsidRPr="008D3F8E">
        <w:rPr>
          <w:rtl/>
          <w:lang w:bidi="ar-EG"/>
        </w:rPr>
        <w:t>في هذه الرسالة</w:t>
      </w:r>
      <w:r>
        <w:rPr>
          <w:rtl/>
          <w:lang w:bidi="ar-EG"/>
        </w:rPr>
        <w:t xml:space="preserve"> أن تبلغ الأمانة بهذه</w:t>
      </w:r>
      <w:r>
        <w:rPr>
          <w:rFonts w:hint="cs"/>
          <w:rtl/>
          <w:lang w:bidi="ar-EG"/>
        </w:rPr>
        <w:t xml:space="preserve"> المعلومات </w:t>
      </w:r>
      <w:r w:rsidRPr="008D3F8E">
        <w:rPr>
          <w:rtl/>
          <w:lang w:bidi="ar-EG"/>
        </w:rPr>
        <w:t>بأسرع ما</w:t>
      </w:r>
      <w:r>
        <w:rPr>
          <w:rFonts w:hint="cs"/>
          <w:rtl/>
          <w:lang w:bidi="ar-EG"/>
        </w:rPr>
        <w:t xml:space="preserve"> يمكن</w:t>
      </w:r>
      <w:r>
        <w:rPr>
          <w:rtl/>
          <w:lang w:bidi="ar-EG"/>
        </w:rPr>
        <w:t>.</w:t>
      </w:r>
      <w:r>
        <w:rPr>
          <w:rFonts w:hint="cs"/>
          <w:rtl/>
          <w:lang w:bidi="ar-EG"/>
        </w:rPr>
        <w:t xml:space="preserve"> ويمكن </w:t>
      </w:r>
      <w:r>
        <w:rPr>
          <w:rtl/>
          <w:lang w:bidi="ar-EG"/>
        </w:rPr>
        <w:t>الاطلاع على السياسة</w:t>
      </w:r>
      <w:r>
        <w:rPr>
          <w:rFonts w:hint="cs"/>
          <w:rtl/>
          <w:lang w:bidi="ar-EG"/>
        </w:rPr>
        <w:t xml:space="preserve"> المشتركة </w:t>
      </w:r>
      <w:r w:rsidRPr="008D3F8E">
        <w:rPr>
          <w:rtl/>
          <w:lang w:bidi="ar-EG"/>
        </w:rPr>
        <w:t>للبراءات</w:t>
      </w:r>
      <w:r>
        <w:rPr>
          <w:rFonts w:hint="cs"/>
          <w:rtl/>
          <w:lang w:bidi="ar-EG"/>
        </w:rPr>
        <w:t> </w:t>
      </w:r>
      <w:r w:rsidRPr="008D3F8E">
        <w:t>"ITU</w:t>
      </w:r>
      <w:r w:rsidRPr="008D3F8E">
        <w:noBreakHyphen/>
        <w:t>T/ITU</w:t>
      </w:r>
      <w:r w:rsidRPr="008D3F8E">
        <w:noBreakHyphen/>
        <w:t>R/ISO/IEC"</w:t>
      </w:r>
      <w:r>
        <w:rPr>
          <w:rtl/>
          <w:lang w:bidi="ar-EG"/>
        </w:rPr>
        <w:t xml:space="preserve"> في</w:t>
      </w:r>
      <w:r>
        <w:rPr>
          <w:rFonts w:hint="cs"/>
          <w:rtl/>
          <w:lang w:bidi="ar-EG"/>
        </w:rPr>
        <w:t xml:space="preserve"> الموقع </w:t>
      </w:r>
      <w:r w:rsidRPr="008D3F8E">
        <w:rPr>
          <w:rtl/>
          <w:lang w:bidi="ar-EG"/>
        </w:rPr>
        <w:t>الإلكتروني</w:t>
      </w:r>
      <w:r w:rsidRPr="008D3F8E">
        <w:rPr>
          <w:rFonts w:hint="cs"/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hyperlink r:id="rId9" w:history="1">
        <w:r w:rsidRPr="00E45690">
          <w:rPr>
            <w:rStyle w:val="Hyperlink"/>
            <w:lang w:bidi="ar-EG"/>
          </w:rPr>
          <w:t>http://www.itu.int/en/ITU-T/ipr/Pages/policy.aspx</w:t>
        </w:r>
      </w:hyperlink>
      <w:r w:rsidRPr="008D3F8E">
        <w:rPr>
          <w:rtl/>
          <w:lang w:bidi="ar-EG"/>
        </w:rPr>
        <w:t>.</w:t>
      </w:r>
    </w:p>
    <w:p w14:paraId="21C1854E" w14:textId="2CF52239" w:rsidR="00766BF5" w:rsidRDefault="00766BF5" w:rsidP="00D0670F">
      <w:pPr>
        <w:spacing w:before="240"/>
        <w:rPr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723E4DEF" w14:textId="0637B227" w:rsidR="0070381F" w:rsidRDefault="00686585" w:rsidP="00AD4715">
      <w:pPr>
        <w:keepNext/>
        <w:spacing w:before="1200"/>
        <w:jc w:val="left"/>
        <w:rPr>
          <w:rtl/>
        </w:rPr>
      </w:pPr>
      <w:r w:rsidRPr="001B2082">
        <w:rPr>
          <w:rFonts w:hint="cs"/>
          <w:rtl/>
        </w:rPr>
        <w:t>ما</w:t>
      </w:r>
      <w:r w:rsidR="00523C73" w:rsidRPr="001B2082">
        <w:rPr>
          <w:rFonts w:hint="cs"/>
          <w:rtl/>
        </w:rPr>
        <w:t>ر</w:t>
      </w:r>
      <w:r w:rsidRPr="001B2082">
        <w:rPr>
          <w:rFonts w:hint="cs"/>
          <w:rtl/>
        </w:rPr>
        <w:t xml:space="preserve">يو </w:t>
      </w:r>
      <w:proofErr w:type="spellStart"/>
      <w:r w:rsidRPr="001B2082">
        <w:rPr>
          <w:rFonts w:hint="cs"/>
          <w:rtl/>
        </w:rPr>
        <w:t>مانيفيتش</w:t>
      </w:r>
      <w:proofErr w:type="spellEnd"/>
      <w:r w:rsidR="0070381F" w:rsidRPr="001B2082">
        <w:rPr>
          <w:rtl/>
        </w:rPr>
        <w:br/>
      </w:r>
      <w:r w:rsidR="0070381F" w:rsidRPr="001B2082">
        <w:rPr>
          <w:rFonts w:hint="cs"/>
          <w:rtl/>
        </w:rPr>
        <w:t>المدير</w:t>
      </w:r>
    </w:p>
    <w:p w14:paraId="5B40CF32" w14:textId="047F28AE" w:rsidR="0070381F" w:rsidRDefault="0070381F" w:rsidP="00AD4715">
      <w:pPr>
        <w:spacing w:before="2640"/>
        <w:jc w:val="left"/>
        <w:rPr>
          <w:rtl/>
          <w:lang w:bidi="ar-EG"/>
        </w:rPr>
      </w:pPr>
      <w:bookmarkStart w:id="0" w:name="_GoBack"/>
      <w:r w:rsidRPr="008D3F8E">
        <w:rPr>
          <w:b/>
          <w:bCs/>
          <w:rtl/>
          <w:lang w:bidi="ar-EG"/>
        </w:rPr>
        <w:t>الملحق:</w:t>
      </w:r>
      <w:r w:rsidRPr="008D3F8E">
        <w:rPr>
          <w:rFonts w:hint="cs"/>
          <w:rtl/>
          <w:lang w:bidi="ar-EG"/>
        </w:rPr>
        <w:tab/>
      </w:r>
      <w:r w:rsidR="00685F1D">
        <w:rPr>
          <w:rFonts w:hint="cs"/>
          <w:rtl/>
          <w:lang w:bidi="ar-EG"/>
        </w:rPr>
        <w:t>عنوان</w:t>
      </w:r>
      <w:r w:rsidRPr="008D3F8E">
        <w:rPr>
          <w:rFonts w:hint="cs"/>
          <w:rtl/>
          <w:lang w:bidi="ar-EG"/>
        </w:rPr>
        <w:t xml:space="preserve"> وملخص </w:t>
      </w:r>
      <w:r w:rsidR="00685F1D">
        <w:rPr>
          <w:rFonts w:hint="cs"/>
          <w:rtl/>
          <w:lang w:bidi="ar-EG"/>
        </w:rPr>
        <w:t>كل من مشروعي التوصيتين</w:t>
      </w:r>
    </w:p>
    <w:bookmarkEnd w:id="0"/>
    <w:p w14:paraId="6059974A" w14:textId="479EE4E1" w:rsidR="0070381F" w:rsidRPr="00686585" w:rsidRDefault="0070381F" w:rsidP="00AD4715">
      <w:pPr>
        <w:spacing w:before="1320"/>
        <w:rPr>
          <w:rtl/>
          <w:lang w:bidi="ar-EG"/>
        </w:rPr>
      </w:pPr>
      <w:r w:rsidRPr="008D3F8E">
        <w:rPr>
          <w:rFonts w:hint="cs"/>
          <w:b/>
          <w:bCs/>
          <w:rtl/>
          <w:lang w:bidi="ar-EG"/>
        </w:rPr>
        <w:t>الوثائق</w:t>
      </w:r>
      <w:r w:rsidRPr="008D3F8E">
        <w:rPr>
          <w:b/>
          <w:bCs/>
          <w:rtl/>
          <w:lang w:bidi="ar-EG"/>
        </w:rPr>
        <w:t>:</w:t>
      </w:r>
      <w:r>
        <w:rPr>
          <w:rFonts w:hint="cs"/>
          <w:rtl/>
          <w:lang w:bidi="ar-EG"/>
        </w:rPr>
        <w:tab/>
      </w:r>
      <w:r w:rsidR="00685F1D">
        <w:rPr>
          <w:lang w:val="fr-CH"/>
        </w:rPr>
        <w:t>1</w:t>
      </w:r>
      <w:r w:rsidRPr="0078144F">
        <w:rPr>
          <w:lang w:val="fr-CH"/>
        </w:rPr>
        <w:t>/</w:t>
      </w:r>
      <w:r w:rsidR="00685F1D">
        <w:rPr>
          <w:lang w:val="fr-CH"/>
        </w:rPr>
        <w:t>98</w:t>
      </w:r>
      <w:r w:rsidRPr="0078144F">
        <w:rPr>
          <w:lang w:val="fr-CH"/>
        </w:rPr>
        <w:t>(Rev.1)</w:t>
      </w:r>
      <w:r w:rsidR="00686585">
        <w:rPr>
          <w:rFonts w:hint="cs"/>
          <w:rtl/>
          <w:lang w:val="fr-CH"/>
        </w:rPr>
        <w:t xml:space="preserve"> و</w:t>
      </w:r>
      <w:r w:rsidR="00686585">
        <w:t>3/70</w:t>
      </w:r>
      <w:r w:rsidR="00686585">
        <w:rPr>
          <w:rFonts w:hint="cs"/>
          <w:rtl/>
          <w:lang w:bidi="ar-EG"/>
        </w:rPr>
        <w:t xml:space="preserve"> و</w:t>
      </w:r>
      <w:r w:rsidR="00685F1D">
        <w:rPr>
          <w:lang w:bidi="ar-EG"/>
        </w:rPr>
        <w:t>1</w:t>
      </w:r>
      <w:r w:rsidR="00686585">
        <w:rPr>
          <w:lang w:bidi="ar-EG"/>
        </w:rPr>
        <w:t>/</w:t>
      </w:r>
      <w:r w:rsidR="00685F1D">
        <w:rPr>
          <w:lang w:bidi="ar-EG"/>
        </w:rPr>
        <w:t>108</w:t>
      </w:r>
      <w:r w:rsidR="00686585">
        <w:rPr>
          <w:lang w:bidi="ar-EG"/>
        </w:rPr>
        <w:t>(Rev.</w:t>
      </w:r>
      <w:r w:rsidR="00685F1D">
        <w:rPr>
          <w:lang w:bidi="ar-EG"/>
        </w:rPr>
        <w:t>2</w:t>
      </w:r>
      <w:r w:rsidR="00686585">
        <w:rPr>
          <w:lang w:bidi="ar-EG"/>
        </w:rPr>
        <w:t>)</w:t>
      </w:r>
      <w:r w:rsidR="00686585">
        <w:rPr>
          <w:rFonts w:hint="cs"/>
          <w:rtl/>
          <w:lang w:bidi="ar-EG"/>
        </w:rPr>
        <w:t xml:space="preserve"> </w:t>
      </w:r>
    </w:p>
    <w:p w14:paraId="4A857EE1" w14:textId="128E37EA" w:rsidR="00F16820" w:rsidRDefault="0070381F" w:rsidP="001B2082">
      <w:pPr>
        <w:rPr>
          <w:rtl/>
          <w:lang w:bidi="ar-EG"/>
        </w:rPr>
      </w:pPr>
      <w:r>
        <w:rPr>
          <w:rFonts w:hint="cs"/>
          <w:rtl/>
        </w:rPr>
        <w:t>وتتاح هذه الوثائق في نسق إلكتروني في:</w:t>
      </w:r>
      <w:r w:rsidR="00686585">
        <w:rPr>
          <w:rFonts w:hint="cs"/>
          <w:rtl/>
        </w:rPr>
        <w:t xml:space="preserve"> </w:t>
      </w:r>
      <w:hyperlink r:id="rId10" w:history="1">
        <w:r w:rsidR="007768C8" w:rsidRPr="00C95EC4">
          <w:rPr>
            <w:rStyle w:val="Hyperlink"/>
            <w:szCs w:val="24"/>
            <w:lang w:val="en-GB"/>
          </w:rPr>
          <w:t>https://www.itu.int/md/R19-SG1-C/en</w:t>
        </w:r>
      </w:hyperlink>
    </w:p>
    <w:p w14:paraId="404535FF" w14:textId="77777777" w:rsidR="00F16820" w:rsidRDefault="00F16820" w:rsidP="001B2082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09105F04" w14:textId="6042E52E" w:rsidR="0070381F" w:rsidRDefault="0070381F" w:rsidP="00686585">
      <w:pPr>
        <w:pStyle w:val="Annextitle"/>
        <w:rPr>
          <w:rtl/>
          <w:lang w:bidi="ar-EG"/>
        </w:rPr>
      </w:pPr>
      <w:r w:rsidRPr="00F927B5">
        <w:rPr>
          <w:rFonts w:hint="cs"/>
          <w:rtl/>
        </w:rPr>
        <w:lastRenderedPageBreak/>
        <w:t>الملحق</w:t>
      </w:r>
      <w:r>
        <w:rPr>
          <w:lang w:val="en-GB"/>
        </w:rPr>
        <w:br/>
      </w:r>
      <w:r>
        <w:rPr>
          <w:lang w:val="en-GB"/>
        </w:rPr>
        <w:br/>
      </w:r>
      <w:r w:rsidR="00DC3BE3">
        <w:rPr>
          <w:rFonts w:hint="cs"/>
          <w:rtl/>
        </w:rPr>
        <w:t>عنوان وملخص كل من مشروعَي</w:t>
      </w:r>
      <w:r w:rsidRPr="001F2358">
        <w:rPr>
          <w:rFonts w:hint="cs"/>
          <w:rtl/>
        </w:rPr>
        <w:t xml:space="preserve"> </w:t>
      </w:r>
      <w:r w:rsidR="00DC3BE3">
        <w:rPr>
          <w:rFonts w:hint="cs"/>
          <w:rtl/>
        </w:rPr>
        <w:t>توصيتي</w:t>
      </w:r>
      <w:r w:rsidR="00686585" w:rsidRPr="001F2358">
        <w:rPr>
          <w:rFonts w:hint="cs"/>
          <w:rtl/>
        </w:rPr>
        <w:t xml:space="preserve"> قطاع الاتصالات الراديوية</w:t>
      </w:r>
    </w:p>
    <w:p w14:paraId="73C6B562" w14:textId="34F4F3FD" w:rsidR="00686585" w:rsidRDefault="00686585" w:rsidP="00686585">
      <w:pPr>
        <w:tabs>
          <w:tab w:val="right" w:pos="9639"/>
        </w:tabs>
        <w:rPr>
          <w:rtl/>
          <w:lang w:bidi="ar-EG"/>
        </w:rPr>
      </w:pPr>
      <w:r w:rsidRPr="00686585">
        <w:rPr>
          <w:rFonts w:hint="cs"/>
          <w:u w:val="single"/>
          <w:rtl/>
          <w:lang w:bidi="ar-EG"/>
        </w:rPr>
        <w:t>مشروع التوصية</w:t>
      </w:r>
      <w:r w:rsidR="007768C8">
        <w:rPr>
          <w:rFonts w:hint="cs"/>
          <w:u w:val="single"/>
          <w:rtl/>
        </w:rPr>
        <w:t xml:space="preserve"> الجديدة</w:t>
      </w:r>
      <w:r w:rsidRPr="00686585">
        <w:rPr>
          <w:rFonts w:hint="cs"/>
          <w:u w:val="single"/>
          <w:rtl/>
          <w:lang w:bidi="ar-EG"/>
        </w:rPr>
        <w:t xml:space="preserve"> </w:t>
      </w:r>
      <w:r w:rsidR="007768C8" w:rsidRPr="00C95EC4">
        <w:rPr>
          <w:rFonts w:asciiTheme="minorHAnsi" w:hAnsiTheme="minorHAnsi" w:cstheme="minorHAnsi"/>
          <w:szCs w:val="24"/>
          <w:u w:val="single"/>
          <w:lang w:val="en-GB"/>
        </w:rPr>
        <w:t xml:space="preserve">ITU-R </w:t>
      </w:r>
      <w:proofErr w:type="gramStart"/>
      <w:r w:rsidR="007768C8" w:rsidRPr="00C95EC4">
        <w:rPr>
          <w:rFonts w:asciiTheme="minorHAnsi" w:hAnsiTheme="minorHAnsi" w:cstheme="minorHAnsi"/>
          <w:szCs w:val="24"/>
          <w:u w:val="single"/>
          <w:lang w:val="en-GB"/>
        </w:rPr>
        <w:t>SM.[</w:t>
      </w:r>
      <w:proofErr w:type="gramEnd"/>
      <w:r w:rsidR="007768C8" w:rsidRPr="00C95EC4">
        <w:rPr>
          <w:rFonts w:asciiTheme="minorHAnsi" w:hAnsiTheme="minorHAnsi" w:cstheme="minorHAnsi"/>
          <w:szCs w:val="24"/>
          <w:u w:val="single"/>
          <w:lang w:val="en-GB"/>
        </w:rPr>
        <w:t>OPTICAL WIRELESS]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الوثيقة </w:t>
      </w:r>
      <w:r w:rsidR="007768C8">
        <w:rPr>
          <w:lang w:bidi="ar-EG"/>
        </w:rPr>
        <w:t>1</w:t>
      </w:r>
      <w:r>
        <w:rPr>
          <w:lang w:bidi="ar-EG"/>
        </w:rPr>
        <w:t>/</w:t>
      </w:r>
      <w:r w:rsidR="007768C8">
        <w:rPr>
          <w:lang w:bidi="ar-EG"/>
        </w:rPr>
        <w:t>98</w:t>
      </w:r>
      <w:r>
        <w:rPr>
          <w:lang w:bidi="ar-EG"/>
        </w:rPr>
        <w:t>(Rev.1)</w:t>
      </w:r>
    </w:p>
    <w:p w14:paraId="001C2EAD" w14:textId="7520DC34" w:rsidR="0070381F" w:rsidRPr="005537B5" w:rsidRDefault="007768C8" w:rsidP="0070381F">
      <w:pPr>
        <w:pStyle w:val="Rectitle"/>
        <w:spacing w:before="240" w:after="240"/>
        <w:rPr>
          <w:sz w:val="26"/>
          <w:szCs w:val="26"/>
          <w:rtl/>
          <w:lang w:bidi="ar-EG"/>
        </w:rPr>
      </w:pPr>
      <w:r w:rsidRPr="005537B5">
        <w:rPr>
          <w:rFonts w:hint="cs"/>
          <w:sz w:val="26"/>
          <w:szCs w:val="26"/>
          <w:rtl/>
          <w:lang w:bidi="ar-EG"/>
        </w:rPr>
        <w:t>استكمال الآليات الحالية لتوصيل الترددات الراديوية</w:t>
      </w:r>
      <w:r w:rsidR="008C2ED5">
        <w:rPr>
          <w:sz w:val="26"/>
          <w:szCs w:val="26"/>
          <w:rtl/>
          <w:lang w:bidi="ar-EG"/>
        </w:rPr>
        <w:br/>
      </w:r>
      <w:r w:rsidRPr="005537B5">
        <w:rPr>
          <w:rFonts w:hint="cs"/>
          <w:sz w:val="26"/>
          <w:szCs w:val="26"/>
          <w:rtl/>
          <w:lang w:bidi="ar-EG"/>
        </w:rPr>
        <w:t>باستعمال الاتصالات البصرية اللاسلكية</w:t>
      </w:r>
    </w:p>
    <w:p w14:paraId="66365365" w14:textId="216F8E40" w:rsidR="005537B5" w:rsidRDefault="005537B5" w:rsidP="000621C2">
      <w:pPr>
        <w:tabs>
          <w:tab w:val="clear" w:pos="794"/>
          <w:tab w:val="right" w:pos="9497"/>
        </w:tabs>
        <w:spacing w:before="360"/>
      </w:pPr>
      <w:r>
        <w:rPr>
          <w:rFonts w:hint="cs"/>
          <w:rtl/>
        </w:rPr>
        <w:t xml:space="preserve">تتضمن هذه التوصية عناصر يجب أخذها في الاعتبار عند تنفيذ الاتصالات البصرية اللاسلكية </w:t>
      </w:r>
      <w:r w:rsidRPr="00C95EC4">
        <w:rPr>
          <w:rFonts w:asciiTheme="minorHAnsi" w:hAnsiTheme="minorHAnsi" w:cstheme="minorHAnsi"/>
          <w:szCs w:val="24"/>
          <w:lang w:val="en-GB"/>
        </w:rPr>
        <w:t>(OWC)</w:t>
      </w:r>
      <w:r>
        <w:rPr>
          <w:rFonts w:hint="cs"/>
          <w:rtl/>
        </w:rPr>
        <w:t xml:space="preserve"> من أجل اتصالات النطاق العريض. ويمكن تمييز أربعة </w:t>
      </w:r>
      <w:r w:rsidR="005D1DAC">
        <w:rPr>
          <w:rFonts w:hint="cs"/>
          <w:rtl/>
        </w:rPr>
        <w:t>أشكال رئيسية للاتصالات البصرية اللاسلكية: الاتصالات البصرية في الفضاء الحر (طويلة المدى</w:t>
      </w:r>
      <w:r w:rsidR="00321395">
        <w:rPr>
          <w:rFonts w:hint="cs"/>
          <w:rtl/>
        </w:rPr>
        <w:t>،</w:t>
      </w:r>
      <w:r w:rsidR="005D1DAC">
        <w:rPr>
          <w:rFonts w:hint="cs"/>
          <w:rtl/>
        </w:rPr>
        <w:t xml:space="preserve"> من نقطة إلى نقطة)، والاتصالات المحلية اللاسلكية التي تستخدم الضوء (قصيرة المدى، متعددة النفاذ)، </w:t>
      </w:r>
      <w:r w:rsidR="00321395">
        <w:rPr>
          <w:rFonts w:hint="cs"/>
          <w:rtl/>
        </w:rPr>
        <w:t xml:space="preserve">واتصالات الكاميرا البصرية (معدل بيانات منخفض أحادي الاتجاه)، واتصالات الأشعة فوق البنفسجية </w:t>
      </w:r>
      <w:r w:rsidR="00321395" w:rsidRPr="00C95EC4">
        <w:rPr>
          <w:rFonts w:asciiTheme="minorHAnsi" w:hAnsiTheme="minorHAnsi" w:cstheme="minorHAnsi"/>
          <w:szCs w:val="24"/>
          <w:lang w:val="en-GB"/>
        </w:rPr>
        <w:t>(UV)</w:t>
      </w:r>
      <w:r w:rsidR="00321395">
        <w:rPr>
          <w:rFonts w:asciiTheme="minorHAnsi" w:hAnsiTheme="minorHAnsi" w:cstheme="minorHAnsi" w:hint="cs"/>
          <w:szCs w:val="24"/>
          <w:rtl/>
          <w:lang w:val="en-GB"/>
        </w:rPr>
        <w:t>.</w:t>
      </w:r>
    </w:p>
    <w:p w14:paraId="5DD64081" w14:textId="553D7890" w:rsidR="0070381F" w:rsidRPr="004C7DFE" w:rsidRDefault="0070381F" w:rsidP="009A1F18">
      <w:pPr>
        <w:tabs>
          <w:tab w:val="clear" w:pos="794"/>
          <w:tab w:val="right" w:pos="9497"/>
        </w:tabs>
        <w:spacing w:before="360"/>
        <w:ind w:right="426"/>
        <w:rPr>
          <w:rtl/>
          <w:lang w:bidi="ar-EG"/>
        </w:rPr>
      </w:pPr>
      <w:r w:rsidRPr="0037323D">
        <w:rPr>
          <w:rFonts w:hint="cs"/>
          <w:u w:val="single"/>
          <w:rtl/>
        </w:rPr>
        <w:t>مشروع التوصية</w:t>
      </w:r>
      <w:r w:rsidR="009F42B5">
        <w:rPr>
          <w:rFonts w:hint="cs"/>
          <w:u w:val="single"/>
          <w:rtl/>
        </w:rPr>
        <w:t xml:space="preserve"> الجديدة</w:t>
      </w:r>
      <w:r w:rsidRPr="0037323D">
        <w:rPr>
          <w:rFonts w:hint="cs"/>
          <w:u w:val="single"/>
          <w:rtl/>
        </w:rPr>
        <w:t xml:space="preserve"> </w:t>
      </w:r>
      <w:r w:rsidR="008D6DCD" w:rsidRPr="00C95EC4">
        <w:rPr>
          <w:rFonts w:asciiTheme="minorHAnsi" w:hAnsiTheme="minorHAnsi" w:cstheme="minorHAnsi"/>
          <w:szCs w:val="24"/>
          <w:u w:val="single"/>
          <w:lang w:val="en-GB"/>
        </w:rPr>
        <w:t>ITU-R SM.[WPT.BEAM.FRQ]</w:t>
      </w:r>
      <w:r w:rsidRPr="00290670">
        <w:rPr>
          <w:bCs/>
          <w:sz w:val="30"/>
          <w:szCs w:val="30"/>
          <w:rtl/>
        </w:rPr>
        <w:tab/>
      </w:r>
      <w:r w:rsidRPr="004C7DFE">
        <w:rPr>
          <w:rFonts w:hint="cs"/>
          <w:rtl/>
          <w:lang w:bidi="ar-EG"/>
        </w:rPr>
        <w:t xml:space="preserve">الوثيقة </w:t>
      </w:r>
      <w:r w:rsidR="008D6DCD">
        <w:rPr>
          <w:bCs/>
        </w:rPr>
        <w:t>1</w:t>
      </w:r>
      <w:r w:rsidRPr="004C7DFE">
        <w:rPr>
          <w:bCs/>
        </w:rPr>
        <w:t>/</w:t>
      </w:r>
      <w:r w:rsidR="008D6DCD">
        <w:rPr>
          <w:bCs/>
        </w:rPr>
        <w:t>108(Rev.2)</w:t>
      </w:r>
    </w:p>
    <w:p w14:paraId="7F75790A" w14:textId="4FB4CD96" w:rsidR="0070381F" w:rsidRPr="005537B5" w:rsidRDefault="002337BF" w:rsidP="0070381F">
      <w:pPr>
        <w:pStyle w:val="Rectitle"/>
        <w:spacing w:before="240" w:after="240"/>
        <w:rPr>
          <w:sz w:val="26"/>
          <w:szCs w:val="26"/>
          <w:rtl/>
          <w:lang w:bidi="ar-EG"/>
        </w:rPr>
      </w:pPr>
      <w:r w:rsidRPr="005537B5">
        <w:rPr>
          <w:rFonts w:hint="cs"/>
          <w:sz w:val="26"/>
          <w:szCs w:val="26"/>
          <w:rtl/>
        </w:rPr>
        <w:t>توجيهات بشأن مديات التردد من أجل تشغيل</w:t>
      </w:r>
      <w:r w:rsidR="009F42B5">
        <w:rPr>
          <w:rFonts w:hint="cs"/>
          <w:sz w:val="26"/>
          <w:szCs w:val="26"/>
          <w:rtl/>
        </w:rPr>
        <w:t xml:space="preserve"> أنظمة</w:t>
      </w:r>
      <w:r w:rsidRPr="005537B5">
        <w:rPr>
          <w:rFonts w:hint="cs"/>
          <w:sz w:val="26"/>
          <w:szCs w:val="26"/>
          <w:rtl/>
        </w:rPr>
        <w:t xml:space="preserve"> إرسال </w:t>
      </w:r>
      <w:r w:rsidR="009F42B5">
        <w:rPr>
          <w:rFonts w:hint="cs"/>
          <w:sz w:val="26"/>
          <w:szCs w:val="26"/>
          <w:rtl/>
        </w:rPr>
        <w:t>الطاقة</w:t>
      </w:r>
      <w:r w:rsidRPr="005537B5">
        <w:rPr>
          <w:rFonts w:hint="cs"/>
          <w:sz w:val="26"/>
          <w:szCs w:val="26"/>
          <w:rtl/>
        </w:rPr>
        <w:t xml:space="preserve"> لاسلكياً</w:t>
      </w:r>
      <w:r w:rsidRPr="005537B5">
        <w:rPr>
          <w:sz w:val="26"/>
          <w:szCs w:val="26"/>
          <w:rtl/>
        </w:rPr>
        <w:t xml:space="preserve"> </w:t>
      </w:r>
      <w:r w:rsidRPr="005537B5">
        <w:rPr>
          <w:sz w:val="26"/>
          <w:szCs w:val="26"/>
        </w:rPr>
        <w:t>(WPT)</w:t>
      </w:r>
      <w:r w:rsidR="00AF1B90">
        <w:rPr>
          <w:sz w:val="26"/>
          <w:szCs w:val="26"/>
          <w:rtl/>
        </w:rPr>
        <w:br/>
      </w:r>
      <w:r w:rsidRPr="005537B5">
        <w:rPr>
          <w:rFonts w:hint="cs"/>
          <w:sz w:val="26"/>
          <w:szCs w:val="26"/>
          <w:rtl/>
        </w:rPr>
        <w:t xml:space="preserve">عبر حزم التردد الراديوي </w:t>
      </w:r>
      <w:r w:rsidRPr="005537B5">
        <w:rPr>
          <w:sz w:val="26"/>
          <w:szCs w:val="26"/>
          <w:rtl/>
        </w:rPr>
        <w:t xml:space="preserve">للأجهزة </w:t>
      </w:r>
      <w:r w:rsidRPr="005537B5">
        <w:rPr>
          <w:rFonts w:hint="cs"/>
          <w:sz w:val="26"/>
          <w:szCs w:val="26"/>
          <w:rtl/>
        </w:rPr>
        <w:t>المتنقلة</w:t>
      </w:r>
      <w:r w:rsidRPr="005537B5">
        <w:rPr>
          <w:sz w:val="26"/>
          <w:szCs w:val="26"/>
          <w:rtl/>
        </w:rPr>
        <w:t xml:space="preserve">/المحمولة وشبكات الاستشعار </w:t>
      </w:r>
    </w:p>
    <w:p w14:paraId="20EBEDCE" w14:textId="1B1000A4" w:rsidR="0076159F" w:rsidRPr="00A2546F" w:rsidRDefault="00DC3BE3" w:rsidP="009F42B5">
      <w:pPr>
        <w:rPr>
          <w:rtl/>
        </w:rPr>
      </w:pPr>
      <w:r w:rsidRPr="00A2546F">
        <w:rPr>
          <w:rFonts w:hint="cs"/>
          <w:rtl/>
        </w:rPr>
        <w:t>تقدم هذه التوصية توجيهات بشأن مديات التردد من أجل تشغيل أنظمة إرسال الطاقة لاسلكياً</w:t>
      </w:r>
      <w:r w:rsidRPr="00A2546F">
        <w:rPr>
          <w:rtl/>
        </w:rPr>
        <w:t xml:space="preserve"> </w:t>
      </w:r>
      <w:r w:rsidRPr="00A2546F">
        <w:t>(WPT)</w:t>
      </w:r>
      <w:r w:rsidRPr="00A2546F">
        <w:rPr>
          <w:rFonts w:hint="cs"/>
          <w:rtl/>
        </w:rPr>
        <w:t xml:space="preserve"> عبر حزم التردد الراديوي (حزم </w:t>
      </w:r>
      <w:r w:rsidR="00A2546F" w:rsidRPr="00A2546F">
        <w:t>WPT</w:t>
      </w:r>
      <w:r w:rsidR="00A2546F">
        <w:rPr>
          <w:rFonts w:hint="cs"/>
          <w:rtl/>
        </w:rPr>
        <w:t xml:space="preserve">)، </w:t>
      </w:r>
      <w:r w:rsidR="00A2546F" w:rsidRPr="00A2546F">
        <w:rPr>
          <w:rFonts w:hint="cs"/>
          <w:rtl/>
        </w:rPr>
        <w:t xml:space="preserve">بما في ذلك </w:t>
      </w:r>
      <w:r w:rsidR="00A2546F">
        <w:rPr>
          <w:rFonts w:hint="cs"/>
          <w:rtl/>
        </w:rPr>
        <w:t xml:space="preserve">الشحن اللاسلكي للأجهزة المتنقلة/المحمولة وشبكات الاستشعار المزودة بالطاقة لاسلكياً </w:t>
      </w:r>
      <w:r w:rsidR="001D6CDF">
        <w:rPr>
          <w:rFonts w:hint="cs"/>
          <w:rtl/>
        </w:rPr>
        <w:t xml:space="preserve">والشحن اللاسلكي، ولكن دون أن يشمل ذلك إرسال الطاقة لاسلكياً للمركبات الكهربائية. </w:t>
      </w:r>
    </w:p>
    <w:p w14:paraId="1DF6BDDE" w14:textId="051AA33E" w:rsidR="003A3BB1" w:rsidRPr="0076159F" w:rsidRDefault="003A3BB1" w:rsidP="003F3BA1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  <w:r w:rsidR="001665F5">
        <w:rPr>
          <w:rFonts w:hint="cs"/>
          <w:rtl/>
          <w:lang w:bidi="ar-EG"/>
        </w:rPr>
        <w:t>ــــــــ</w:t>
      </w:r>
    </w:p>
    <w:sectPr w:rsidR="003A3BB1" w:rsidRPr="0076159F" w:rsidSect="006C3242">
      <w:headerReference w:type="default" r:id="rId11"/>
      <w:headerReference w:type="first" r:id="rId12"/>
      <w:footerReference w:type="first" r:id="rId13"/>
      <w:footnotePr>
        <w:numStart w:val="2"/>
      </w:footnotePr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AEF42" w14:textId="77777777" w:rsidR="0070381F" w:rsidRDefault="0070381F" w:rsidP="006C3242">
      <w:pPr>
        <w:spacing w:before="0" w:line="240" w:lineRule="auto"/>
      </w:pPr>
      <w:r>
        <w:separator/>
      </w:r>
    </w:p>
  </w:endnote>
  <w:endnote w:type="continuationSeparator" w:id="0">
    <w:p w14:paraId="0D59ADA7" w14:textId="77777777" w:rsidR="0070381F" w:rsidRDefault="0070381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FE0AB" w14:textId="5683EB56" w:rsidR="00873048" w:rsidRPr="00314B8A" w:rsidRDefault="00314B8A" w:rsidP="00314B8A">
    <w:pPr>
      <w:pStyle w:val="FirstFooter"/>
      <w:spacing w:before="120" w:line="180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en-GB"/>
      </w:rPr>
    </w:pPr>
    <w:r w:rsidRPr="00314B8A">
      <w:rPr>
        <w:rFonts w:ascii="Dubai" w:hAnsi="Dubai" w:cs="Dubai"/>
        <w:color w:val="4F81BD"/>
        <w:sz w:val="19"/>
        <w:szCs w:val="19"/>
        <w:lang w:val="en-GB"/>
      </w:rPr>
      <w:t>International Telecommunication Union • Place des Nations, CH</w:t>
    </w:r>
    <w:r w:rsidRPr="00314B8A">
      <w:rPr>
        <w:rFonts w:ascii="Dubai" w:hAnsi="Dubai" w:cs="Dubai"/>
        <w:color w:val="4F81BD"/>
        <w:sz w:val="19"/>
        <w:szCs w:val="19"/>
        <w:lang w:val="en-GB"/>
      </w:rPr>
      <w:noBreakHyphen/>
      <w:t xml:space="preserve">1211 Geneva 20, Switzerland • </w:t>
    </w:r>
    <w:r w:rsidRPr="00314B8A">
      <w:rPr>
        <w:rFonts w:ascii="Dubai" w:hAnsi="Dubai" w:cs="Dubai"/>
        <w:color w:val="4F81BD"/>
        <w:sz w:val="19"/>
        <w:szCs w:val="19"/>
        <w:lang w:val="en-GB"/>
      </w:rPr>
      <w:br/>
    </w:r>
    <w:r w:rsidRPr="00314B8A">
      <w:rPr>
        <w:rFonts w:ascii="Dubai" w:hAnsi="Dubai" w:cs="Dubai"/>
        <w:color w:val="5B9BD5" w:themeColor="accent1"/>
        <w:sz w:val="19"/>
        <w:szCs w:val="19"/>
        <w:lang w:val="en-GB"/>
      </w:rPr>
      <w:t xml:space="preserve">Tel: +41 22 730 5111 • E-mail: </w:t>
    </w:r>
    <w:hyperlink r:id="rId1" w:history="1">
      <w:r w:rsidRPr="00314B8A">
        <w:rPr>
          <w:rStyle w:val="Hyperlink"/>
          <w:sz w:val="19"/>
          <w:szCs w:val="19"/>
          <w:lang w:val="en-GB"/>
        </w:rPr>
        <w:t>itumail@itu.int</w:t>
      </w:r>
    </w:hyperlink>
    <w:r w:rsidRPr="00314B8A">
      <w:rPr>
        <w:rFonts w:ascii="Dubai" w:hAnsi="Dubai" w:cs="Dubai"/>
        <w:color w:val="5B9BD5" w:themeColor="accent1"/>
        <w:sz w:val="19"/>
        <w:szCs w:val="19"/>
        <w:lang w:val="en-GB"/>
      </w:rPr>
      <w:t xml:space="preserve"> • Fax: +41 22 733 7256 • </w:t>
    </w:r>
    <w:hyperlink r:id="rId2" w:history="1">
      <w:r w:rsidRPr="00314B8A">
        <w:rPr>
          <w:rStyle w:val="Hyperlink"/>
          <w:sz w:val="19"/>
          <w:szCs w:val="19"/>
          <w:lang w:val="en-GB"/>
        </w:rPr>
        <w:t>www.itu.int</w:t>
      </w:r>
    </w:hyperlink>
    <w:r w:rsidRPr="00314B8A">
      <w:rPr>
        <w:rFonts w:ascii="Dubai" w:hAnsi="Dubai" w:cs="Dubai"/>
        <w:color w:val="5B9BD5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80AEB" w14:textId="77777777" w:rsidR="0070381F" w:rsidRDefault="0070381F" w:rsidP="006C3242">
      <w:pPr>
        <w:spacing w:before="0" w:line="240" w:lineRule="auto"/>
      </w:pPr>
      <w:r>
        <w:separator/>
      </w:r>
    </w:p>
  </w:footnote>
  <w:footnote w:type="continuationSeparator" w:id="0">
    <w:p w14:paraId="35D4EA28" w14:textId="77777777" w:rsidR="0070381F" w:rsidRDefault="0070381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C102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AA003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2B28B620" wp14:editId="53DFB7C6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1F"/>
    <w:rsid w:val="000621C2"/>
    <w:rsid w:val="0006468A"/>
    <w:rsid w:val="00065054"/>
    <w:rsid w:val="0008438C"/>
    <w:rsid w:val="00090574"/>
    <w:rsid w:val="000B5AA4"/>
    <w:rsid w:val="000C1C0E"/>
    <w:rsid w:val="000C548A"/>
    <w:rsid w:val="000F7BBE"/>
    <w:rsid w:val="00107E03"/>
    <w:rsid w:val="00142BF4"/>
    <w:rsid w:val="0015071F"/>
    <w:rsid w:val="00150DB9"/>
    <w:rsid w:val="00160BE3"/>
    <w:rsid w:val="001665F5"/>
    <w:rsid w:val="00167E40"/>
    <w:rsid w:val="001835EE"/>
    <w:rsid w:val="001928BA"/>
    <w:rsid w:val="00192DD7"/>
    <w:rsid w:val="001A2573"/>
    <w:rsid w:val="001A2AB1"/>
    <w:rsid w:val="001A4D21"/>
    <w:rsid w:val="001B2082"/>
    <w:rsid w:val="001B5F08"/>
    <w:rsid w:val="001C0169"/>
    <w:rsid w:val="001D1D50"/>
    <w:rsid w:val="001D6745"/>
    <w:rsid w:val="001D6CDF"/>
    <w:rsid w:val="001E446E"/>
    <w:rsid w:val="001E4C82"/>
    <w:rsid w:val="001F2358"/>
    <w:rsid w:val="00204892"/>
    <w:rsid w:val="002076CF"/>
    <w:rsid w:val="002108B5"/>
    <w:rsid w:val="002154EE"/>
    <w:rsid w:val="002178D1"/>
    <w:rsid w:val="00225845"/>
    <w:rsid w:val="002276D2"/>
    <w:rsid w:val="0023283D"/>
    <w:rsid w:val="002337BF"/>
    <w:rsid w:val="00233C1A"/>
    <w:rsid w:val="00246C3F"/>
    <w:rsid w:val="00250817"/>
    <w:rsid w:val="0026373E"/>
    <w:rsid w:val="00271C43"/>
    <w:rsid w:val="00290728"/>
    <w:rsid w:val="002978F4"/>
    <w:rsid w:val="002B028D"/>
    <w:rsid w:val="002C0079"/>
    <w:rsid w:val="002C2C46"/>
    <w:rsid w:val="002D4E67"/>
    <w:rsid w:val="002D79F3"/>
    <w:rsid w:val="002E6541"/>
    <w:rsid w:val="002E6D93"/>
    <w:rsid w:val="002F482E"/>
    <w:rsid w:val="00314B8A"/>
    <w:rsid w:val="00321395"/>
    <w:rsid w:val="00323D90"/>
    <w:rsid w:val="00327A5B"/>
    <w:rsid w:val="00334924"/>
    <w:rsid w:val="003409BC"/>
    <w:rsid w:val="00340F5C"/>
    <w:rsid w:val="00357185"/>
    <w:rsid w:val="0037419E"/>
    <w:rsid w:val="00374E35"/>
    <w:rsid w:val="00383829"/>
    <w:rsid w:val="003A3BB1"/>
    <w:rsid w:val="003C0887"/>
    <w:rsid w:val="003F3BA1"/>
    <w:rsid w:val="003F4B29"/>
    <w:rsid w:val="00406F77"/>
    <w:rsid w:val="0042686F"/>
    <w:rsid w:val="004317D8"/>
    <w:rsid w:val="00434183"/>
    <w:rsid w:val="004346DE"/>
    <w:rsid w:val="00443869"/>
    <w:rsid w:val="00447F32"/>
    <w:rsid w:val="0046142A"/>
    <w:rsid w:val="0047346A"/>
    <w:rsid w:val="0047431A"/>
    <w:rsid w:val="004A650C"/>
    <w:rsid w:val="004D25D7"/>
    <w:rsid w:val="004D2A40"/>
    <w:rsid w:val="004E11DC"/>
    <w:rsid w:val="004E239D"/>
    <w:rsid w:val="004E6898"/>
    <w:rsid w:val="00502E24"/>
    <w:rsid w:val="00517819"/>
    <w:rsid w:val="00522870"/>
    <w:rsid w:val="00523C73"/>
    <w:rsid w:val="00525DDD"/>
    <w:rsid w:val="005409AC"/>
    <w:rsid w:val="00541022"/>
    <w:rsid w:val="005444DB"/>
    <w:rsid w:val="005537B5"/>
    <w:rsid w:val="0055516A"/>
    <w:rsid w:val="0058171A"/>
    <w:rsid w:val="00582AE6"/>
    <w:rsid w:val="0058491B"/>
    <w:rsid w:val="005854E2"/>
    <w:rsid w:val="00592EA5"/>
    <w:rsid w:val="005A3170"/>
    <w:rsid w:val="005C55D9"/>
    <w:rsid w:val="005D1DAC"/>
    <w:rsid w:val="005F3AC4"/>
    <w:rsid w:val="00621CC4"/>
    <w:rsid w:val="00632D2B"/>
    <w:rsid w:val="006515C3"/>
    <w:rsid w:val="00653A60"/>
    <w:rsid w:val="00655178"/>
    <w:rsid w:val="00661CC4"/>
    <w:rsid w:val="00671955"/>
    <w:rsid w:val="00677396"/>
    <w:rsid w:val="00681621"/>
    <w:rsid w:val="00685F1D"/>
    <w:rsid w:val="00686585"/>
    <w:rsid w:val="0069120A"/>
    <w:rsid w:val="0069200F"/>
    <w:rsid w:val="006A65CB"/>
    <w:rsid w:val="006B734A"/>
    <w:rsid w:val="006C3242"/>
    <w:rsid w:val="006C7CC0"/>
    <w:rsid w:val="006D39AA"/>
    <w:rsid w:val="006E4370"/>
    <w:rsid w:val="006F0A9E"/>
    <w:rsid w:val="006F63F7"/>
    <w:rsid w:val="007025C7"/>
    <w:rsid w:val="0070381F"/>
    <w:rsid w:val="007060A5"/>
    <w:rsid w:val="00706D7A"/>
    <w:rsid w:val="00710832"/>
    <w:rsid w:val="007212E2"/>
    <w:rsid w:val="00722F0D"/>
    <w:rsid w:val="00733F00"/>
    <w:rsid w:val="0074420E"/>
    <w:rsid w:val="0076159F"/>
    <w:rsid w:val="0076582D"/>
    <w:rsid w:val="00766810"/>
    <w:rsid w:val="00766BF5"/>
    <w:rsid w:val="007712AF"/>
    <w:rsid w:val="007768C8"/>
    <w:rsid w:val="00783E26"/>
    <w:rsid w:val="00785D9F"/>
    <w:rsid w:val="007973CE"/>
    <w:rsid w:val="007B5BC0"/>
    <w:rsid w:val="007B69FD"/>
    <w:rsid w:val="007B6B30"/>
    <w:rsid w:val="007C146B"/>
    <w:rsid w:val="007C3BC7"/>
    <w:rsid w:val="007C3BCD"/>
    <w:rsid w:val="007D4ACF"/>
    <w:rsid w:val="007F0787"/>
    <w:rsid w:val="00802FB8"/>
    <w:rsid w:val="00807289"/>
    <w:rsid w:val="0081012C"/>
    <w:rsid w:val="00810B7B"/>
    <w:rsid w:val="00815085"/>
    <w:rsid w:val="0082358A"/>
    <w:rsid w:val="008235CD"/>
    <w:rsid w:val="008247DE"/>
    <w:rsid w:val="00835138"/>
    <w:rsid w:val="00836509"/>
    <w:rsid w:val="00840B10"/>
    <w:rsid w:val="00850987"/>
    <w:rsid w:val="008513CB"/>
    <w:rsid w:val="0085424D"/>
    <w:rsid w:val="00864513"/>
    <w:rsid w:val="00867A06"/>
    <w:rsid w:val="008707A7"/>
    <w:rsid w:val="00873048"/>
    <w:rsid w:val="0087383D"/>
    <w:rsid w:val="0089148B"/>
    <w:rsid w:val="00897507"/>
    <w:rsid w:val="008A7F84"/>
    <w:rsid w:val="008B1C5B"/>
    <w:rsid w:val="008C2ED5"/>
    <w:rsid w:val="008D5ACE"/>
    <w:rsid w:val="008D6DCD"/>
    <w:rsid w:val="008D7AFA"/>
    <w:rsid w:val="008D7F67"/>
    <w:rsid w:val="008F6E4F"/>
    <w:rsid w:val="00906E67"/>
    <w:rsid w:val="0091702E"/>
    <w:rsid w:val="00923B0C"/>
    <w:rsid w:val="00932548"/>
    <w:rsid w:val="0094021C"/>
    <w:rsid w:val="00951558"/>
    <w:rsid w:val="00952F86"/>
    <w:rsid w:val="00954B60"/>
    <w:rsid w:val="00971237"/>
    <w:rsid w:val="00982B28"/>
    <w:rsid w:val="009A1F18"/>
    <w:rsid w:val="009C6A8D"/>
    <w:rsid w:val="009C7C2A"/>
    <w:rsid w:val="009D313F"/>
    <w:rsid w:val="009F42B5"/>
    <w:rsid w:val="00A1185E"/>
    <w:rsid w:val="00A14FD6"/>
    <w:rsid w:val="00A20E96"/>
    <w:rsid w:val="00A22F87"/>
    <w:rsid w:val="00A2546F"/>
    <w:rsid w:val="00A44F8C"/>
    <w:rsid w:val="00A47A5A"/>
    <w:rsid w:val="00A511A6"/>
    <w:rsid w:val="00A6683B"/>
    <w:rsid w:val="00A67F4E"/>
    <w:rsid w:val="00A97F94"/>
    <w:rsid w:val="00AA7EA2"/>
    <w:rsid w:val="00AB25E0"/>
    <w:rsid w:val="00AC1A8C"/>
    <w:rsid w:val="00AC2052"/>
    <w:rsid w:val="00AD4715"/>
    <w:rsid w:val="00AF1B90"/>
    <w:rsid w:val="00B03099"/>
    <w:rsid w:val="00B05BC8"/>
    <w:rsid w:val="00B20C86"/>
    <w:rsid w:val="00B3122E"/>
    <w:rsid w:val="00B5698E"/>
    <w:rsid w:val="00B64B47"/>
    <w:rsid w:val="00B77943"/>
    <w:rsid w:val="00BE30F4"/>
    <w:rsid w:val="00BF4038"/>
    <w:rsid w:val="00BF6EAA"/>
    <w:rsid w:val="00C00291"/>
    <w:rsid w:val="00C002DE"/>
    <w:rsid w:val="00C07558"/>
    <w:rsid w:val="00C11B62"/>
    <w:rsid w:val="00C24EB0"/>
    <w:rsid w:val="00C53BF8"/>
    <w:rsid w:val="00C644D5"/>
    <w:rsid w:val="00C66157"/>
    <w:rsid w:val="00C674FE"/>
    <w:rsid w:val="00C67501"/>
    <w:rsid w:val="00C75633"/>
    <w:rsid w:val="00C97C45"/>
    <w:rsid w:val="00CB10B9"/>
    <w:rsid w:val="00CC6A27"/>
    <w:rsid w:val="00CE2EE1"/>
    <w:rsid w:val="00CE331F"/>
    <w:rsid w:val="00CE3349"/>
    <w:rsid w:val="00CE36E5"/>
    <w:rsid w:val="00CF27F5"/>
    <w:rsid w:val="00CF3DD0"/>
    <w:rsid w:val="00CF3FFD"/>
    <w:rsid w:val="00D0670F"/>
    <w:rsid w:val="00D10CCF"/>
    <w:rsid w:val="00D302D1"/>
    <w:rsid w:val="00D769E7"/>
    <w:rsid w:val="00D77D0F"/>
    <w:rsid w:val="00D94E9C"/>
    <w:rsid w:val="00DA1CF0"/>
    <w:rsid w:val="00DC1E02"/>
    <w:rsid w:val="00DC24B4"/>
    <w:rsid w:val="00DC3BE3"/>
    <w:rsid w:val="00DC5FB0"/>
    <w:rsid w:val="00DE40AD"/>
    <w:rsid w:val="00DF086D"/>
    <w:rsid w:val="00DF16DC"/>
    <w:rsid w:val="00DF5CD8"/>
    <w:rsid w:val="00E14F91"/>
    <w:rsid w:val="00E45211"/>
    <w:rsid w:val="00E473C5"/>
    <w:rsid w:val="00E73407"/>
    <w:rsid w:val="00E763EE"/>
    <w:rsid w:val="00E842FB"/>
    <w:rsid w:val="00E92863"/>
    <w:rsid w:val="00E95CE9"/>
    <w:rsid w:val="00EB2B67"/>
    <w:rsid w:val="00EB796D"/>
    <w:rsid w:val="00EC4093"/>
    <w:rsid w:val="00EF0410"/>
    <w:rsid w:val="00EF2D0B"/>
    <w:rsid w:val="00EF68A6"/>
    <w:rsid w:val="00F02AD9"/>
    <w:rsid w:val="00F058DC"/>
    <w:rsid w:val="00F16820"/>
    <w:rsid w:val="00F24FC4"/>
    <w:rsid w:val="00F2676C"/>
    <w:rsid w:val="00F60D03"/>
    <w:rsid w:val="00F725D8"/>
    <w:rsid w:val="00F84366"/>
    <w:rsid w:val="00F85089"/>
    <w:rsid w:val="00F974C5"/>
    <w:rsid w:val="00FA6F46"/>
    <w:rsid w:val="00FB6FAA"/>
    <w:rsid w:val="00FC4F3F"/>
    <w:rsid w:val="00FD65BD"/>
    <w:rsid w:val="00FE013F"/>
    <w:rsid w:val="00FE5872"/>
    <w:rsid w:val="00FE6F71"/>
    <w:rsid w:val="00FE7FCA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4595D"/>
  <w15:chartTrackingRefBased/>
  <w15:docId w15:val="{BE2C10D3-0334-4419-B30E-1971524C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link w:val="RectitleChar"/>
    <w:uiPriority w:val="99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character" w:customStyle="1" w:styleId="RectitleChar">
    <w:name w:val="Rec_title Char"/>
    <w:link w:val="Rectitle"/>
    <w:uiPriority w:val="99"/>
    <w:rsid w:val="0070381F"/>
    <w:rPr>
      <w:rFonts w:ascii="Dubai" w:hAnsi="Dubai" w:cs="Dubai"/>
      <w:b/>
      <w:bCs/>
      <w:sz w:val="28"/>
      <w:szCs w:val="28"/>
    </w:rPr>
  </w:style>
  <w:style w:type="paragraph" w:customStyle="1" w:styleId="AnnexNo0">
    <w:name w:val="Annex No&amp;"/>
    <w:basedOn w:val="AnnexNo"/>
    <w:rsid w:val="0070381F"/>
    <w:pPr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</w:pPr>
    <w:rPr>
      <w:rFonts w:ascii="Calibri" w:hAnsi="Calibri" w:cs="Traditional Arabic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120A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120A"/>
    <w:rPr>
      <w:rFonts w:ascii="Dubai" w:hAnsi="Dubai" w:cs="Duba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912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R19-SG1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4D114-BC50-4CD8-B3FD-0124149D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Elkenany, Hagar</dc:creator>
  <cp:keywords/>
  <dc:description/>
  <cp:lastModifiedBy>Panoussopoulos, Sonia</cp:lastModifiedBy>
  <cp:revision>21</cp:revision>
  <dcterms:created xsi:type="dcterms:W3CDTF">2022-07-18T15:13:00Z</dcterms:created>
  <dcterms:modified xsi:type="dcterms:W3CDTF">2022-07-19T12:16:00Z</dcterms:modified>
</cp:coreProperties>
</file>