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4AF892BA" w14:textId="77777777" w:rsidTr="00153E23">
        <w:tc>
          <w:tcPr>
            <w:tcW w:w="5000" w:type="pct"/>
            <w:gridSpan w:val="3"/>
            <w:shd w:val="clear" w:color="auto" w:fill="auto"/>
          </w:tcPr>
          <w:p w14:paraId="28F2CE53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05E20578" w14:textId="77777777" w:rsidR="000F7BBE" w:rsidRPr="000F7BBE" w:rsidRDefault="000F7BBE" w:rsidP="0076159F">
            <w:pPr>
              <w:spacing w:line="280" w:lineRule="exact"/>
              <w:rPr>
                <w:b/>
                <w:bCs/>
                <w:rtl/>
                <w:lang w:bidi="ar-EG"/>
              </w:rPr>
            </w:pPr>
          </w:p>
        </w:tc>
      </w:tr>
      <w:tr w:rsidR="0070381F" w:rsidRPr="00F36590" w14:paraId="46BC17B1" w14:textId="77777777" w:rsidTr="002A393E">
        <w:tc>
          <w:tcPr>
            <w:tcW w:w="2707" w:type="pct"/>
            <w:gridSpan w:val="2"/>
            <w:shd w:val="clear" w:color="auto" w:fill="auto"/>
          </w:tcPr>
          <w:p w14:paraId="1425CB5E" w14:textId="77777777" w:rsidR="0070381F" w:rsidRPr="00F36590" w:rsidRDefault="0070381F" w:rsidP="0070381F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 xml:space="preserve">الرسالة الإدارية </w:t>
            </w:r>
            <w:r>
              <w:rPr>
                <w:rFonts w:hint="cs"/>
                <w:rtl/>
                <w:lang w:bidi="ar-AE"/>
              </w:rPr>
              <w:t>المعممة</w:t>
            </w:r>
          </w:p>
          <w:p w14:paraId="08F79584" w14:textId="77777777" w:rsidR="0070381F" w:rsidRPr="00F36590" w:rsidRDefault="0070381F" w:rsidP="0070381F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proofErr w:type="spellStart"/>
            <w:r>
              <w:rPr>
                <w:b/>
                <w:bCs/>
                <w:lang w:val="en-GB" w:bidi="ar-SY"/>
              </w:rPr>
              <w:t>CACE</w:t>
            </w:r>
            <w:proofErr w:type="spellEnd"/>
            <w:r w:rsidRPr="00F36590">
              <w:rPr>
                <w:b/>
                <w:bCs/>
                <w:lang w:val="en-GB" w:bidi="ar-SY"/>
              </w:rPr>
              <w:t>/</w:t>
            </w:r>
            <w:r>
              <w:rPr>
                <w:b/>
                <w:bCs/>
                <w:lang w:bidi="ar-SY"/>
              </w:rPr>
              <w:t>1031</w:t>
            </w:r>
          </w:p>
        </w:tc>
        <w:tc>
          <w:tcPr>
            <w:tcW w:w="2293" w:type="pct"/>
            <w:shd w:val="clear" w:color="auto" w:fill="auto"/>
          </w:tcPr>
          <w:p w14:paraId="1D2F9D8E" w14:textId="77777777" w:rsidR="0070381F" w:rsidRPr="005E6175" w:rsidRDefault="0070381F" w:rsidP="0070381F">
            <w:pPr>
              <w:spacing w:before="60" w:after="60" w:line="260" w:lineRule="exact"/>
              <w:jc w:val="right"/>
              <w:rPr>
                <w:lang w:bidi="ar-EG"/>
              </w:rPr>
            </w:pPr>
            <w:r>
              <w:rPr>
                <w:lang w:bidi="ar-EG"/>
              </w:rPr>
              <w:t>24</w:t>
            </w:r>
            <w:r>
              <w:rPr>
                <w:rFonts w:hint="cs"/>
                <w:rtl/>
                <w:lang w:bidi="ar-EG"/>
              </w:rPr>
              <w:t xml:space="preserve"> يونيو </w:t>
            </w:r>
            <w:r>
              <w:rPr>
                <w:lang w:bidi="ar-EG"/>
              </w:rPr>
              <w:t>2022</w:t>
            </w:r>
          </w:p>
        </w:tc>
      </w:tr>
      <w:tr w:rsidR="0070381F" w:rsidRPr="00F36590" w14:paraId="6273ECCA" w14:textId="77777777" w:rsidTr="002A393E">
        <w:tc>
          <w:tcPr>
            <w:tcW w:w="5000" w:type="pct"/>
            <w:gridSpan w:val="3"/>
            <w:shd w:val="clear" w:color="auto" w:fill="auto"/>
          </w:tcPr>
          <w:p w14:paraId="38E5C99A" w14:textId="77777777" w:rsidR="0070381F" w:rsidRPr="00241274" w:rsidRDefault="0070381F" w:rsidP="001928BA">
            <w:pPr>
              <w:spacing w:before="0" w:line="240" w:lineRule="exact"/>
              <w:rPr>
                <w:rtl/>
                <w:lang w:bidi="ar-SY"/>
              </w:rPr>
            </w:pPr>
          </w:p>
        </w:tc>
      </w:tr>
      <w:tr w:rsidR="0070381F" w:rsidRPr="00F36590" w14:paraId="58127A70" w14:textId="77777777" w:rsidTr="002A393E">
        <w:tc>
          <w:tcPr>
            <w:tcW w:w="5000" w:type="pct"/>
            <w:gridSpan w:val="3"/>
            <w:shd w:val="clear" w:color="auto" w:fill="auto"/>
          </w:tcPr>
          <w:p w14:paraId="144FE50A" w14:textId="77777777" w:rsidR="0070381F" w:rsidRPr="00241274" w:rsidRDefault="0070381F" w:rsidP="001928BA">
            <w:pPr>
              <w:spacing w:before="0" w:line="240" w:lineRule="exact"/>
              <w:rPr>
                <w:rtl/>
                <w:lang w:bidi="ar-SY"/>
              </w:rPr>
            </w:pPr>
          </w:p>
        </w:tc>
      </w:tr>
      <w:tr w:rsidR="0070381F" w:rsidRPr="00F36590" w14:paraId="2B091647" w14:textId="77777777" w:rsidTr="002A393E">
        <w:tc>
          <w:tcPr>
            <w:tcW w:w="5000" w:type="pct"/>
            <w:gridSpan w:val="3"/>
            <w:shd w:val="clear" w:color="auto" w:fill="auto"/>
          </w:tcPr>
          <w:p w14:paraId="57EFF14E" w14:textId="59E22141" w:rsidR="0070381F" w:rsidRPr="00F36590" w:rsidRDefault="0070381F" w:rsidP="0070381F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47431A">
              <w:rPr>
                <w:b/>
                <w:bCs/>
                <w:w w:val="115"/>
                <w:rtl/>
              </w:rPr>
              <w:t xml:space="preserve">إلى إدارات الدول الأعضاء في </w:t>
            </w:r>
            <w:r w:rsidRPr="0047431A">
              <w:rPr>
                <w:rFonts w:hint="cs"/>
                <w:b/>
                <w:bCs/>
                <w:w w:val="115"/>
                <w:rtl/>
              </w:rPr>
              <w:t>الاتحاد</w:t>
            </w:r>
            <w:r w:rsidRPr="0047431A">
              <w:rPr>
                <w:b/>
                <w:bCs/>
                <w:w w:val="115"/>
                <w:rtl/>
              </w:rPr>
              <w:t xml:space="preserve"> وأعضاء قطاع الاتصالات الراديوية</w:t>
            </w:r>
            <w:r w:rsidRPr="0047431A">
              <w:rPr>
                <w:rFonts w:hint="cs"/>
                <w:b/>
                <w:bCs/>
                <w:w w:val="115"/>
                <w:rtl/>
              </w:rPr>
              <w:t xml:space="preserve"> والمنتسبين</w:t>
            </w:r>
            <w:r w:rsidRPr="0047431A">
              <w:rPr>
                <w:b/>
                <w:bCs/>
                <w:w w:val="115"/>
                <w:rtl/>
              </w:rPr>
              <w:t xml:space="preserve"> إليه</w:t>
            </w:r>
            <w:r w:rsidR="00710832">
              <w:rPr>
                <w:rFonts w:hint="cs"/>
                <w:b/>
                <w:bCs/>
                <w:spacing w:val="6"/>
                <w:w w:val="115"/>
                <w:rtl/>
              </w:rPr>
              <w:t xml:space="preserve"> </w:t>
            </w:r>
            <w:r w:rsidRPr="00F36590">
              <w:rPr>
                <w:b/>
                <w:bCs/>
                <w:rtl/>
              </w:rPr>
              <w:br/>
            </w:r>
            <w:r w:rsidRPr="00F36590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>
              <w:rPr>
                <w:b/>
                <w:bCs/>
                <w:lang w:val="en-GB" w:bidi="ar-SY"/>
              </w:rPr>
              <w:t>3</w:t>
            </w:r>
            <w:r w:rsidRPr="00F36590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70381F" w:rsidRPr="00241274" w14:paraId="565A0184" w14:textId="77777777" w:rsidTr="002A393E">
        <w:tc>
          <w:tcPr>
            <w:tcW w:w="5000" w:type="pct"/>
            <w:gridSpan w:val="3"/>
            <w:shd w:val="clear" w:color="auto" w:fill="auto"/>
          </w:tcPr>
          <w:p w14:paraId="16A86C93" w14:textId="77777777" w:rsidR="0070381F" w:rsidRPr="00241274" w:rsidRDefault="0070381F" w:rsidP="0070381F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70381F" w:rsidRPr="00F36590" w14:paraId="63F2D9C9" w14:textId="77777777" w:rsidTr="002A393E">
        <w:trPr>
          <w:trHeight w:val="452"/>
        </w:trPr>
        <w:tc>
          <w:tcPr>
            <w:tcW w:w="699" w:type="pct"/>
            <w:shd w:val="clear" w:color="auto" w:fill="auto"/>
          </w:tcPr>
          <w:p w14:paraId="55F9150B" w14:textId="77777777" w:rsidR="0070381F" w:rsidRPr="00F36590" w:rsidRDefault="0070381F" w:rsidP="0070381F">
            <w:pPr>
              <w:spacing w:before="60" w:after="60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4FA93D02" w14:textId="2D2EDEDF" w:rsidR="0070381F" w:rsidRPr="00710832" w:rsidRDefault="0070381F" w:rsidP="0070381F">
            <w:pPr>
              <w:spacing w:before="60" w:after="60"/>
              <w:rPr>
                <w:b/>
                <w:bCs/>
                <w:rtl/>
                <w:lang w:bidi="ar-EG"/>
              </w:rPr>
            </w:pPr>
            <w:r w:rsidRPr="00710832">
              <w:rPr>
                <w:b/>
                <w:bCs/>
                <w:rtl/>
                <w:lang w:bidi="ar-EG"/>
              </w:rPr>
              <w:t>لجنة الدراسات</w:t>
            </w:r>
            <w:r w:rsidRPr="00710832">
              <w:rPr>
                <w:rFonts w:hint="cs"/>
                <w:b/>
                <w:bCs/>
                <w:rtl/>
                <w:lang w:bidi="ar-EG"/>
              </w:rPr>
              <w:t> </w:t>
            </w:r>
            <w:r w:rsidR="001928BA" w:rsidRPr="00710832">
              <w:rPr>
                <w:b/>
                <w:bCs/>
                <w:lang w:bidi="ar-SY"/>
              </w:rPr>
              <w:t>3</w:t>
            </w:r>
            <w:r w:rsidRPr="00710832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710832">
              <w:rPr>
                <w:rFonts w:hint="cs"/>
                <w:b/>
                <w:bCs/>
                <w:rtl/>
                <w:lang w:bidi="ar-EG"/>
              </w:rPr>
              <w:t xml:space="preserve">ة </w:t>
            </w:r>
            <w:r w:rsidRPr="00710832">
              <w:rPr>
                <w:rFonts w:hint="cs"/>
                <w:b/>
                <w:bCs/>
                <w:sz w:val="30"/>
                <w:rtl/>
                <w:lang w:bidi="ar-EG"/>
              </w:rPr>
              <w:t>(</w:t>
            </w:r>
            <w:r w:rsidR="00BE30F4" w:rsidRPr="00710832">
              <w:rPr>
                <w:rFonts w:ascii="Traditional Arabic" w:hAnsi="Traditional Arabic" w:hint="cs"/>
                <w:b/>
                <w:bCs/>
                <w:sz w:val="30"/>
                <w:rtl/>
                <w:lang w:eastAsia="ja-JP"/>
              </w:rPr>
              <w:t>انتشار الموجات الراديوية</w:t>
            </w:r>
            <w:r w:rsidRPr="00710832">
              <w:rPr>
                <w:rFonts w:hint="cs"/>
                <w:b/>
                <w:bCs/>
                <w:sz w:val="30"/>
                <w:rtl/>
                <w:lang w:bidi="ar-EG"/>
              </w:rPr>
              <w:t>)</w:t>
            </w:r>
          </w:p>
          <w:p w14:paraId="2A9652CA" w14:textId="5704DDCB" w:rsidR="0070381F" w:rsidRPr="00710832" w:rsidRDefault="0070381F" w:rsidP="001928BA">
            <w:pPr>
              <w:tabs>
                <w:tab w:val="clear" w:pos="794"/>
                <w:tab w:val="left" w:pos="386"/>
              </w:tabs>
              <w:spacing w:before="60" w:after="60"/>
              <w:ind w:left="386" w:hanging="386"/>
              <w:rPr>
                <w:b/>
                <w:bCs/>
                <w:lang w:bidi="ar-EG"/>
              </w:rPr>
            </w:pPr>
            <w:r w:rsidRPr="001C453F">
              <w:rPr>
                <w:rFonts w:hint="cs"/>
                <w:b/>
                <w:bCs/>
                <w:rtl/>
                <w:lang w:bidi="ar-EG"/>
              </w:rPr>
              <w:t>-</w:t>
            </w:r>
            <w:r w:rsidRPr="001C453F">
              <w:rPr>
                <w:b/>
                <w:bCs/>
                <w:rtl/>
                <w:lang w:bidi="ar-EG"/>
              </w:rPr>
              <w:tab/>
            </w:r>
            <w:r w:rsidR="0076582D" w:rsidRPr="001C453F">
              <w:rPr>
                <w:rFonts w:hint="cs"/>
                <w:b/>
                <w:bCs/>
                <w:rtl/>
                <w:lang w:bidi="ar-EG"/>
              </w:rPr>
              <w:t xml:space="preserve">اقتراح </w:t>
            </w:r>
            <w:r w:rsidR="001928BA" w:rsidRPr="001C453F">
              <w:rPr>
                <w:rFonts w:hint="cs"/>
                <w:b/>
                <w:bCs/>
                <w:rtl/>
                <w:lang w:bidi="ar-EG"/>
              </w:rPr>
              <w:t>اعتماد</w:t>
            </w:r>
            <w:r w:rsidR="00204892" w:rsidRPr="001C453F">
              <w:rPr>
                <w:rFonts w:hint="cs"/>
                <w:b/>
                <w:bCs/>
                <w:rtl/>
              </w:rPr>
              <w:t xml:space="preserve"> مشاريع</w:t>
            </w:r>
            <w:r w:rsidR="001928BA" w:rsidRPr="001C453F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928BA" w:rsidRPr="001C453F">
              <w:rPr>
                <w:b/>
                <w:bCs/>
                <w:lang w:bidi="ar-EG"/>
              </w:rPr>
              <w:t>4</w:t>
            </w:r>
            <w:r w:rsidR="001928BA" w:rsidRPr="001C453F">
              <w:rPr>
                <w:rFonts w:hint="cs"/>
                <w:b/>
                <w:bCs/>
                <w:rtl/>
                <w:lang w:bidi="ar-EG"/>
              </w:rPr>
              <w:t xml:space="preserve"> توصيات جديدة و</w:t>
            </w:r>
            <w:r w:rsidR="00204892" w:rsidRPr="001C453F">
              <w:rPr>
                <w:rFonts w:hint="cs"/>
                <w:b/>
                <w:bCs/>
                <w:rtl/>
                <w:lang w:bidi="ar-EG"/>
              </w:rPr>
              <w:t xml:space="preserve">مشاريع </w:t>
            </w:r>
            <w:r w:rsidR="001928BA" w:rsidRPr="001C453F">
              <w:rPr>
                <w:rFonts w:hint="cs"/>
                <w:b/>
                <w:bCs/>
                <w:rtl/>
                <w:lang w:bidi="ar-EG"/>
              </w:rPr>
              <w:t xml:space="preserve">مراجعة </w:t>
            </w:r>
            <w:r w:rsidR="001928BA" w:rsidRPr="001C453F">
              <w:rPr>
                <w:b/>
                <w:bCs/>
                <w:lang w:bidi="ar-EG"/>
              </w:rPr>
              <w:t>10</w:t>
            </w:r>
            <w:r w:rsidR="001928BA" w:rsidRPr="001C453F">
              <w:rPr>
                <w:rFonts w:hint="cs"/>
                <w:b/>
                <w:bCs/>
                <w:rtl/>
                <w:lang w:bidi="ar-EG"/>
              </w:rPr>
              <w:t xml:space="preserve"> توصيات لقطاع الاتصالات الراديوية والموافقة عليها ف</w:t>
            </w:r>
            <w:r w:rsidR="001928BA" w:rsidRPr="00710832">
              <w:rPr>
                <w:rFonts w:hint="cs"/>
                <w:b/>
                <w:bCs/>
                <w:rtl/>
                <w:lang w:bidi="ar-EG"/>
              </w:rPr>
              <w:t>ي</w:t>
            </w:r>
            <w:r w:rsidR="001928BA" w:rsidRPr="00710832">
              <w:rPr>
                <w:rFonts w:hint="eastAsia"/>
                <w:b/>
                <w:bCs/>
                <w:rtl/>
                <w:lang w:bidi="ar-EG"/>
              </w:rPr>
              <w:t> </w:t>
            </w:r>
            <w:r w:rsidR="001928BA" w:rsidRPr="00710832">
              <w:rPr>
                <w:rFonts w:hint="cs"/>
                <w:b/>
                <w:bCs/>
                <w:rtl/>
                <w:lang w:bidi="ar-EG"/>
              </w:rPr>
              <w:t xml:space="preserve">نفس الوقت بالمراسلة وفقاً للفقرة </w:t>
            </w:r>
            <w:proofErr w:type="spellStart"/>
            <w:r w:rsidR="001928BA" w:rsidRPr="00710832">
              <w:rPr>
                <w:b/>
                <w:bCs/>
                <w:lang w:bidi="ar-EG"/>
              </w:rPr>
              <w:t>4.2.6.A2</w:t>
            </w:r>
            <w:proofErr w:type="spellEnd"/>
            <w:r w:rsidR="001928BA" w:rsidRPr="00710832">
              <w:rPr>
                <w:rFonts w:hint="cs"/>
                <w:b/>
                <w:bCs/>
                <w:rtl/>
                <w:lang w:bidi="ar-EG"/>
              </w:rPr>
              <w:t xml:space="preserve"> من القرار </w:t>
            </w:r>
            <w:r w:rsidR="001928BA" w:rsidRPr="00710832">
              <w:rPr>
                <w:b/>
                <w:bCs/>
                <w:lang w:bidi="ar-EG"/>
              </w:rPr>
              <w:t>ITU</w:t>
            </w:r>
            <w:r w:rsidR="001928BA" w:rsidRPr="00710832">
              <w:rPr>
                <w:b/>
                <w:bCs/>
                <w:lang w:bidi="ar-EG"/>
              </w:rPr>
              <w:noBreakHyphen/>
              <w:t>R 1</w:t>
            </w:r>
            <w:r w:rsidR="001928BA" w:rsidRPr="00710832">
              <w:rPr>
                <w:b/>
                <w:bCs/>
                <w:lang w:bidi="ar-EG"/>
              </w:rPr>
              <w:noBreakHyphen/>
            </w:r>
            <w:r w:rsidR="00C24EB0">
              <w:rPr>
                <w:b/>
                <w:bCs/>
                <w:lang w:bidi="ar-EG"/>
              </w:rPr>
              <w:t>8</w:t>
            </w:r>
            <w:r w:rsidR="001928BA" w:rsidRPr="00710832">
              <w:rPr>
                <w:rFonts w:hint="cs"/>
                <w:b/>
                <w:bCs/>
                <w:rtl/>
                <w:lang w:bidi="ar-EG"/>
              </w:rPr>
              <w:t xml:space="preserve"> (إجراء الاعتماد والموافقة في</w:t>
            </w:r>
            <w:r w:rsidR="001928BA" w:rsidRPr="00710832">
              <w:rPr>
                <w:rFonts w:hint="eastAsia"/>
                <w:b/>
                <w:bCs/>
                <w:rtl/>
                <w:lang w:bidi="ar-EG"/>
              </w:rPr>
              <w:t> </w:t>
            </w:r>
            <w:r w:rsidR="001928BA" w:rsidRPr="00710832">
              <w:rPr>
                <w:rFonts w:hint="cs"/>
                <w:b/>
                <w:bCs/>
                <w:rtl/>
                <w:lang w:bidi="ar-EG"/>
              </w:rPr>
              <w:t>نفس الوقت بالمراسلة)</w:t>
            </w:r>
          </w:p>
        </w:tc>
      </w:tr>
    </w:tbl>
    <w:p w14:paraId="2A80B91C" w14:textId="33315286" w:rsidR="001928BA" w:rsidRPr="00D505D1" w:rsidRDefault="001928BA" w:rsidP="00406F77">
      <w:pPr>
        <w:pStyle w:val="Normalaftertitle"/>
        <w:rPr>
          <w:rtl/>
        </w:rPr>
      </w:pPr>
      <w:r w:rsidRPr="00D505D1">
        <w:rPr>
          <w:rtl/>
        </w:rPr>
        <w:t xml:space="preserve">قررت </w:t>
      </w:r>
      <w:r w:rsidRPr="00D505D1">
        <w:rPr>
          <w:rFonts w:hint="cs"/>
          <w:rtl/>
        </w:rPr>
        <w:t>لجنة</w:t>
      </w:r>
      <w:r w:rsidRPr="00D505D1">
        <w:rPr>
          <w:rtl/>
        </w:rPr>
        <w:t xml:space="preserve"> الدراسات</w:t>
      </w:r>
      <w:r w:rsidRPr="00D505D1">
        <w:rPr>
          <w:rFonts w:hint="cs"/>
          <w:rtl/>
        </w:rPr>
        <w:t> </w:t>
      </w:r>
      <w:r>
        <w:rPr>
          <w:lang w:val="en-GB"/>
        </w:rPr>
        <w:t>3</w:t>
      </w:r>
      <w:r w:rsidRPr="00D505D1">
        <w:rPr>
          <w:rtl/>
        </w:rPr>
        <w:t xml:space="preserve"> للاتصالات الراديوية في اجتماعها </w:t>
      </w:r>
      <w:r w:rsidR="00523C73">
        <w:rPr>
          <w:rFonts w:hint="cs"/>
          <w:rtl/>
        </w:rPr>
        <w:t>الذي عُقد</w:t>
      </w:r>
      <w:r w:rsidRPr="00D505D1">
        <w:rPr>
          <w:rtl/>
        </w:rPr>
        <w:t xml:space="preserve"> </w:t>
      </w:r>
      <w:r w:rsidRPr="00D505D1">
        <w:rPr>
          <w:rFonts w:hint="cs"/>
          <w:rtl/>
        </w:rPr>
        <w:t xml:space="preserve">في </w:t>
      </w:r>
      <w:r>
        <w:t>13</w:t>
      </w:r>
      <w:r>
        <w:rPr>
          <w:rFonts w:hint="cs"/>
          <w:rtl/>
        </w:rPr>
        <w:t xml:space="preserve"> يونيو </w:t>
      </w:r>
      <w:r>
        <w:t>2022</w:t>
      </w:r>
      <w:r>
        <w:rPr>
          <w:rFonts w:hint="cs"/>
          <w:rtl/>
        </w:rPr>
        <w:t xml:space="preserve"> </w:t>
      </w:r>
      <w:r w:rsidRPr="00D505D1">
        <w:rPr>
          <w:rtl/>
        </w:rPr>
        <w:t>أن تلتمس اعتماد</w:t>
      </w:r>
      <w:r w:rsidR="00204892">
        <w:rPr>
          <w:rFonts w:hint="cs"/>
          <w:rtl/>
        </w:rPr>
        <w:t xml:space="preserve"> مشاريع</w:t>
      </w:r>
      <w:r w:rsidRPr="00D505D1">
        <w:rPr>
          <w:rtl/>
        </w:rPr>
        <w:t xml:space="preserve"> </w:t>
      </w:r>
      <w:r>
        <w:t>4</w:t>
      </w:r>
      <w:r>
        <w:rPr>
          <w:rFonts w:hint="cs"/>
          <w:rtl/>
        </w:rPr>
        <w:t xml:space="preserve"> توصيات</w:t>
      </w:r>
      <w:r w:rsidRPr="00D505D1">
        <w:rPr>
          <w:rFonts w:hint="cs"/>
          <w:rtl/>
        </w:rPr>
        <w:t xml:space="preserve"> جديدة </w:t>
      </w:r>
      <w:r>
        <w:rPr>
          <w:rFonts w:hint="cs"/>
          <w:rtl/>
        </w:rPr>
        <w:t xml:space="preserve">ومشاريع </w:t>
      </w:r>
      <w:r w:rsidRPr="00D505D1">
        <w:rPr>
          <w:rFonts w:hint="cs"/>
          <w:rtl/>
        </w:rPr>
        <w:t xml:space="preserve">مراجَعة </w:t>
      </w:r>
      <w:r w:rsidR="001F2358">
        <w:t>10</w:t>
      </w:r>
      <w:r>
        <w:rPr>
          <w:rFonts w:hint="cs"/>
          <w:rtl/>
        </w:rPr>
        <w:t xml:space="preserve"> توصيات </w:t>
      </w:r>
      <w:r w:rsidRPr="00D505D1">
        <w:rPr>
          <w:rFonts w:hint="cs"/>
          <w:rtl/>
        </w:rPr>
        <w:t>عن طريق المراسلة (الفقرة</w:t>
      </w:r>
      <w:r w:rsidRPr="00D505D1">
        <w:rPr>
          <w:rFonts w:hint="eastAsia"/>
          <w:rtl/>
        </w:rPr>
        <w:t> </w:t>
      </w:r>
      <w:proofErr w:type="spellStart"/>
      <w:r w:rsidRPr="00D505D1">
        <w:t>2.6.A2</w:t>
      </w:r>
      <w:proofErr w:type="spellEnd"/>
      <w:r w:rsidRPr="00D505D1">
        <w:rPr>
          <w:rFonts w:hint="cs"/>
          <w:rtl/>
        </w:rPr>
        <w:t xml:space="preserve"> من القرار </w:t>
      </w:r>
      <w:r w:rsidRPr="00D505D1">
        <w:t>ITU</w:t>
      </w:r>
      <w:r w:rsidRPr="00D505D1">
        <w:noBreakHyphen/>
        <w:t>R 1</w:t>
      </w:r>
      <w:r w:rsidRPr="00D505D1">
        <w:noBreakHyphen/>
      </w:r>
      <w:r>
        <w:t>8</w:t>
      </w:r>
      <w:r w:rsidRPr="00D505D1">
        <w:rPr>
          <w:rFonts w:hint="cs"/>
          <w:rtl/>
        </w:rPr>
        <w:t xml:space="preserve">) وقررت كذلك تطبيق إجراء </w:t>
      </w:r>
      <w:r>
        <w:rPr>
          <w:rFonts w:hint="cs"/>
          <w:rtl/>
        </w:rPr>
        <w:t>الاعتماد</w:t>
      </w:r>
      <w:r w:rsidRPr="00D505D1">
        <w:rPr>
          <w:rFonts w:hint="cs"/>
          <w:rtl/>
        </w:rPr>
        <w:t xml:space="preserve"> والموافَقة في نفس الوقت عن طريق المراسلة</w:t>
      </w:r>
      <w:r w:rsidRPr="00D505D1">
        <w:rPr>
          <w:rFonts w:hint="eastAsia"/>
          <w:rtl/>
        </w:rPr>
        <w:t> </w:t>
      </w:r>
      <w:r w:rsidRPr="00D505D1">
        <w:t>(</w:t>
      </w:r>
      <w:proofErr w:type="spellStart"/>
      <w:r w:rsidRPr="00D505D1">
        <w:t>PSAA</w:t>
      </w:r>
      <w:proofErr w:type="spellEnd"/>
      <w:r w:rsidRPr="00D505D1">
        <w:t>)</w:t>
      </w:r>
      <w:r w:rsidRPr="00D505D1">
        <w:rPr>
          <w:rFonts w:hint="cs"/>
          <w:rtl/>
        </w:rPr>
        <w:t xml:space="preserve"> (الفقرة </w:t>
      </w:r>
      <w:proofErr w:type="spellStart"/>
      <w:r w:rsidRPr="00D505D1">
        <w:t>4.2.6.A2</w:t>
      </w:r>
      <w:proofErr w:type="spellEnd"/>
      <w:r w:rsidRPr="00D505D1">
        <w:rPr>
          <w:rFonts w:hint="cs"/>
          <w:rtl/>
        </w:rPr>
        <w:t xml:space="preserve"> من القرار </w:t>
      </w:r>
      <w:r w:rsidRPr="00D505D1">
        <w:t>ITU</w:t>
      </w:r>
      <w:r w:rsidRPr="00D505D1">
        <w:noBreakHyphen/>
        <w:t>R 1</w:t>
      </w:r>
      <w:r w:rsidRPr="00D505D1">
        <w:noBreakHyphen/>
      </w:r>
      <w:r>
        <w:t>8</w:t>
      </w:r>
      <w:r w:rsidRPr="00D505D1">
        <w:rPr>
          <w:rFonts w:hint="cs"/>
          <w:rtl/>
        </w:rPr>
        <w:t xml:space="preserve">). </w:t>
      </w:r>
      <w:r w:rsidRPr="001F2358">
        <w:rPr>
          <w:rFonts w:hint="cs"/>
          <w:rtl/>
        </w:rPr>
        <w:t>ويرد</w:t>
      </w:r>
      <w:r w:rsidRPr="001F2358">
        <w:rPr>
          <w:rFonts w:hint="eastAsia"/>
          <w:rtl/>
        </w:rPr>
        <w:t> </w:t>
      </w:r>
      <w:r w:rsidRPr="001F2358">
        <w:rPr>
          <w:rFonts w:hint="cs"/>
          <w:rtl/>
        </w:rPr>
        <w:t>في</w:t>
      </w:r>
      <w:r w:rsidRPr="001F2358">
        <w:rPr>
          <w:rFonts w:hint="eastAsia"/>
          <w:rtl/>
        </w:rPr>
        <w:t> </w:t>
      </w:r>
      <w:r w:rsidRPr="001F2358">
        <w:rPr>
          <w:rFonts w:hint="cs"/>
          <w:rtl/>
        </w:rPr>
        <w:t>الملحق</w:t>
      </w:r>
      <w:r w:rsidRPr="001F2358">
        <w:rPr>
          <w:rFonts w:hint="eastAsia"/>
          <w:rtl/>
        </w:rPr>
        <w:t> </w:t>
      </w:r>
      <w:r w:rsidR="001F2358" w:rsidRPr="001F2358">
        <w:rPr>
          <w:rFonts w:hint="cs"/>
          <w:rtl/>
        </w:rPr>
        <w:t>بهذه الرسالة</w:t>
      </w:r>
      <w:r w:rsidRPr="001F2358">
        <w:rPr>
          <w:rFonts w:hint="cs"/>
          <w:rtl/>
        </w:rPr>
        <w:t xml:space="preserve"> عناوين وملخصات مشاريع التوصيات. ويرجى من أي دولة عضو تعترض على اعتماد مشروع توصية أن تخبر المدير ورئيس لجنة الدراسات بأسباب</w:t>
      </w:r>
      <w:r w:rsidRPr="001F2358">
        <w:rPr>
          <w:rFonts w:hint="eastAsia"/>
          <w:rtl/>
        </w:rPr>
        <w:t> </w:t>
      </w:r>
      <w:r w:rsidRPr="001F2358">
        <w:rPr>
          <w:rFonts w:hint="cs"/>
          <w:rtl/>
        </w:rPr>
        <w:t>اعتراضها.</w:t>
      </w:r>
    </w:p>
    <w:p w14:paraId="7809EAFB" w14:textId="263D581C" w:rsidR="00686585" w:rsidRPr="00D505D1" w:rsidRDefault="00686585" w:rsidP="00686585">
      <w:pPr>
        <w:rPr>
          <w:rtl/>
          <w:lang w:bidi="ar-EG"/>
        </w:rPr>
      </w:pPr>
      <w:r w:rsidRPr="00D505D1">
        <w:rPr>
          <w:rFonts w:hint="cs"/>
          <w:rtl/>
          <w:lang w:bidi="ar-EG"/>
        </w:rPr>
        <w:t>وتمتد</w:t>
      </w:r>
      <w:r w:rsidRPr="00D505D1">
        <w:rPr>
          <w:rtl/>
          <w:lang w:bidi="ar-EG"/>
        </w:rPr>
        <w:t xml:space="preserve"> فترة النظر </w:t>
      </w:r>
      <w:r w:rsidRPr="00D505D1">
        <w:rPr>
          <w:rFonts w:hint="cs"/>
          <w:rtl/>
          <w:lang w:bidi="ar-EG"/>
        </w:rPr>
        <w:t xml:space="preserve">لمدة شهرين </w:t>
      </w:r>
      <w:r w:rsidRPr="00D505D1">
        <w:rPr>
          <w:rtl/>
          <w:lang w:bidi="ar-EG"/>
        </w:rPr>
        <w:t>تنتهي في</w:t>
      </w:r>
      <w:r w:rsidRPr="00D505D1">
        <w:rPr>
          <w:rFonts w:hint="cs"/>
          <w:rtl/>
          <w:lang w:bidi="ar-EG"/>
        </w:rPr>
        <w:t xml:space="preserve"> </w:t>
      </w:r>
      <w:r>
        <w:rPr>
          <w:u w:val="single"/>
          <w:lang w:bidi="ar-EG"/>
        </w:rPr>
        <w:t>24</w:t>
      </w:r>
      <w:r>
        <w:rPr>
          <w:rFonts w:hint="cs"/>
          <w:u w:val="single"/>
          <w:rtl/>
          <w:lang w:bidi="ar-EG"/>
        </w:rPr>
        <w:t xml:space="preserve"> أغسطس </w:t>
      </w:r>
      <w:r>
        <w:rPr>
          <w:u w:val="single"/>
          <w:lang w:bidi="ar-EG"/>
        </w:rPr>
        <w:t>2022</w:t>
      </w:r>
      <w:r w:rsidRPr="00686585">
        <w:rPr>
          <w:rFonts w:hint="cs"/>
          <w:rtl/>
          <w:lang w:bidi="ar-EG"/>
        </w:rPr>
        <w:t>.</w:t>
      </w:r>
      <w:r w:rsidRPr="00D505D1">
        <w:rPr>
          <w:rtl/>
          <w:lang w:bidi="ar-EG"/>
        </w:rPr>
        <w:t xml:space="preserve"> وإذا </w:t>
      </w:r>
      <w:r w:rsidRPr="00D505D1">
        <w:rPr>
          <w:rFonts w:hint="cs"/>
          <w:rtl/>
          <w:lang w:bidi="ar-EG"/>
        </w:rPr>
        <w:t>لم</w:t>
      </w:r>
      <w:r w:rsidRPr="00D505D1">
        <w:rPr>
          <w:rtl/>
          <w:lang w:bidi="ar-EG"/>
        </w:rPr>
        <w:t xml:space="preserve"> ترد أي اعتراضات من الدول الأعضاء خلال هذه الفترة فإن</w:t>
      </w:r>
      <w:r w:rsidRPr="00D505D1">
        <w:rPr>
          <w:rFonts w:hint="cs"/>
          <w:rtl/>
          <w:lang w:bidi="ar-EG"/>
        </w:rPr>
        <w:t> مشاريع التوصيات تعتبر قد اعتمدتها</w:t>
      </w:r>
      <w:r w:rsidRPr="00D505D1">
        <w:rPr>
          <w:rtl/>
          <w:lang w:bidi="ar-EG"/>
        </w:rPr>
        <w:t xml:space="preserve"> </w:t>
      </w:r>
      <w:r w:rsidRPr="00D505D1">
        <w:rPr>
          <w:rFonts w:hint="cs"/>
          <w:rtl/>
          <w:lang w:bidi="ar-EG"/>
        </w:rPr>
        <w:t>لجنة</w:t>
      </w:r>
      <w:r w:rsidRPr="00D505D1">
        <w:rPr>
          <w:rtl/>
          <w:lang w:bidi="ar-EG"/>
        </w:rPr>
        <w:t xml:space="preserve"> الدراسات</w:t>
      </w:r>
      <w:r w:rsidRPr="00D505D1">
        <w:rPr>
          <w:rFonts w:hint="eastAsia"/>
          <w:rtl/>
          <w:lang w:bidi="ar-EG"/>
        </w:rPr>
        <w:t> </w:t>
      </w:r>
      <w:r>
        <w:t>3</w:t>
      </w:r>
      <w:r w:rsidRPr="00D505D1">
        <w:rPr>
          <w:rtl/>
          <w:lang w:bidi="ar-EG"/>
        </w:rPr>
        <w:t xml:space="preserve">. </w:t>
      </w:r>
      <w:r w:rsidRPr="00D505D1">
        <w:rPr>
          <w:rFonts w:hint="cs"/>
          <w:rtl/>
          <w:lang w:bidi="ar-EG"/>
        </w:rPr>
        <w:t>وعلاوةً على</w:t>
      </w:r>
      <w:r w:rsidRPr="00D505D1">
        <w:rPr>
          <w:rtl/>
          <w:lang w:bidi="ar-EG"/>
        </w:rPr>
        <w:t xml:space="preserve"> ذلك، </w:t>
      </w:r>
      <w:r w:rsidRPr="00D505D1">
        <w:rPr>
          <w:rFonts w:hint="cs"/>
          <w:rtl/>
          <w:lang w:bidi="ar-EG"/>
        </w:rPr>
        <w:t>ولما</w:t>
      </w:r>
      <w:r w:rsidRPr="00D505D1">
        <w:rPr>
          <w:rtl/>
          <w:lang w:bidi="ar-EG"/>
        </w:rPr>
        <w:t xml:space="preserve"> كان قد</w:t>
      </w:r>
      <w:r w:rsidRPr="00D505D1">
        <w:rPr>
          <w:rFonts w:hint="cs"/>
          <w:rtl/>
          <w:lang w:bidi="ar-EG"/>
        </w:rPr>
        <w:t xml:space="preserve"> تم</w:t>
      </w:r>
      <w:r w:rsidRPr="00D505D1">
        <w:rPr>
          <w:rtl/>
          <w:lang w:bidi="ar-EG"/>
        </w:rPr>
        <w:t xml:space="preserve"> اتباع إجراء الاعتماد </w:t>
      </w:r>
      <w:r w:rsidRPr="00D505D1">
        <w:rPr>
          <w:rFonts w:hint="cs"/>
          <w:rtl/>
          <w:lang w:bidi="ar-EG"/>
        </w:rPr>
        <w:t>والموافقة</w:t>
      </w:r>
      <w:r w:rsidRPr="00D505D1">
        <w:rPr>
          <w:rtl/>
          <w:lang w:bidi="ar-EG"/>
        </w:rPr>
        <w:t xml:space="preserve"> في</w:t>
      </w:r>
      <w:r w:rsidRPr="00D505D1">
        <w:rPr>
          <w:rFonts w:hint="cs"/>
          <w:rtl/>
          <w:lang w:bidi="ar-EG"/>
        </w:rPr>
        <w:t> </w:t>
      </w:r>
      <w:r w:rsidRPr="00D505D1">
        <w:rPr>
          <w:rtl/>
          <w:lang w:bidi="ar-EG"/>
        </w:rPr>
        <w:t>نفس الوقت عن طريق</w:t>
      </w:r>
      <w:r w:rsidRPr="00D505D1">
        <w:rPr>
          <w:rFonts w:hint="cs"/>
          <w:rtl/>
          <w:lang w:bidi="ar-EG"/>
        </w:rPr>
        <w:t xml:space="preserve"> المراسلة</w:t>
      </w:r>
      <w:r w:rsidRPr="00D505D1">
        <w:rPr>
          <w:rtl/>
          <w:lang w:bidi="ar-EG"/>
        </w:rPr>
        <w:t xml:space="preserve">، فإن </w:t>
      </w:r>
      <w:r w:rsidRPr="00D505D1">
        <w:rPr>
          <w:rFonts w:hint="cs"/>
          <w:rtl/>
          <w:lang w:bidi="ar-EG"/>
        </w:rPr>
        <w:t xml:space="preserve">مشاريع التوصيات ستعتبر </w:t>
      </w:r>
      <w:r w:rsidRPr="00D505D1">
        <w:rPr>
          <w:rtl/>
          <w:lang w:bidi="ar-EG"/>
        </w:rPr>
        <w:t xml:space="preserve">أيضاً </w:t>
      </w:r>
      <w:r w:rsidRPr="00D505D1">
        <w:rPr>
          <w:rFonts w:hint="cs"/>
          <w:rtl/>
          <w:lang w:bidi="ar-EG"/>
        </w:rPr>
        <w:t>بحكم</w:t>
      </w:r>
      <w:r w:rsidRPr="00D505D1">
        <w:rPr>
          <w:rtl/>
          <w:lang w:bidi="ar-EG"/>
        </w:rPr>
        <w:t xml:space="preserve"> </w:t>
      </w:r>
      <w:r w:rsidRPr="00D505D1">
        <w:rPr>
          <w:rFonts w:hint="cs"/>
          <w:rtl/>
          <w:lang w:bidi="ar-EG"/>
        </w:rPr>
        <w:t>الموافَق</w:t>
      </w:r>
      <w:r w:rsidRPr="00D505D1">
        <w:rPr>
          <w:rtl/>
          <w:lang w:bidi="ar-EG"/>
        </w:rPr>
        <w:t xml:space="preserve"> </w:t>
      </w:r>
      <w:r w:rsidRPr="00D505D1">
        <w:rPr>
          <w:rFonts w:hint="cs"/>
          <w:rtl/>
          <w:lang w:bidi="ar-EG"/>
        </w:rPr>
        <w:t>عليها</w:t>
      </w:r>
      <w:r w:rsidRPr="00D505D1">
        <w:rPr>
          <w:rtl/>
          <w:lang w:bidi="ar-EG"/>
        </w:rPr>
        <w:t>.</w:t>
      </w:r>
    </w:p>
    <w:p w14:paraId="6FC04767" w14:textId="114BC5EE" w:rsidR="00686585" w:rsidRPr="00D505D1" w:rsidRDefault="00686585" w:rsidP="00686585">
      <w:pPr>
        <w:rPr>
          <w:rtl/>
        </w:rPr>
      </w:pPr>
      <w:r w:rsidRPr="00D505D1">
        <w:rPr>
          <w:rtl/>
          <w:lang w:bidi="ar-EG"/>
        </w:rPr>
        <w:t xml:space="preserve">وبعد </w:t>
      </w:r>
      <w:r w:rsidRPr="00D505D1">
        <w:rPr>
          <w:rFonts w:hint="cs"/>
          <w:rtl/>
          <w:lang w:bidi="ar-EG"/>
        </w:rPr>
        <w:t>المهلة</w:t>
      </w:r>
      <w:r w:rsidRPr="00D505D1">
        <w:rPr>
          <w:rtl/>
          <w:lang w:bidi="ar-EG"/>
        </w:rPr>
        <w:t xml:space="preserve"> </w:t>
      </w:r>
      <w:r w:rsidRPr="00D505D1">
        <w:rPr>
          <w:rFonts w:hint="cs"/>
          <w:rtl/>
          <w:lang w:bidi="ar-EG"/>
        </w:rPr>
        <w:t>المحددة</w:t>
      </w:r>
      <w:r w:rsidRPr="00D505D1">
        <w:rPr>
          <w:rtl/>
          <w:lang w:bidi="ar-EG"/>
        </w:rPr>
        <w:t xml:space="preserve"> أعلاه</w:t>
      </w:r>
      <w:r w:rsidRPr="00D505D1">
        <w:rPr>
          <w:rFonts w:hint="cs"/>
          <w:rtl/>
          <w:lang w:bidi="ar-EG"/>
        </w:rPr>
        <w:t>،</w:t>
      </w:r>
      <w:r w:rsidRPr="00D505D1">
        <w:rPr>
          <w:rtl/>
          <w:lang w:bidi="ar-EG"/>
        </w:rPr>
        <w:t xml:space="preserve"> ستعلن نتائج </w:t>
      </w:r>
      <w:r w:rsidRPr="00D505D1">
        <w:rPr>
          <w:rFonts w:hint="cs"/>
          <w:rtl/>
          <w:lang w:bidi="ar-EG"/>
        </w:rPr>
        <w:t>الإجراءات المذكورة أعلاه</w:t>
      </w:r>
      <w:r w:rsidRPr="00D505D1">
        <w:rPr>
          <w:rtl/>
          <w:lang w:bidi="ar-EG"/>
        </w:rPr>
        <w:t xml:space="preserve"> في </w:t>
      </w:r>
      <w:r w:rsidRPr="00D505D1">
        <w:rPr>
          <w:rFonts w:hint="cs"/>
          <w:rtl/>
          <w:lang w:bidi="ar-EG"/>
        </w:rPr>
        <w:t>رسالة</w:t>
      </w:r>
      <w:r w:rsidRPr="00D505D1">
        <w:rPr>
          <w:rtl/>
          <w:lang w:bidi="ar-EG"/>
        </w:rPr>
        <w:t xml:space="preserve"> إدارية</w:t>
      </w:r>
      <w:r w:rsidRPr="00D505D1">
        <w:rPr>
          <w:rFonts w:hint="cs"/>
          <w:rtl/>
          <w:lang w:bidi="ar-EG"/>
        </w:rPr>
        <w:t xml:space="preserve"> معممة</w:t>
      </w:r>
      <w:r w:rsidRPr="00D505D1">
        <w:rPr>
          <w:rtl/>
          <w:lang w:bidi="ar-EG"/>
        </w:rPr>
        <w:t xml:space="preserve"> وستنشر التوص</w:t>
      </w:r>
      <w:r w:rsidRPr="00D505D1">
        <w:rPr>
          <w:rFonts w:hint="cs"/>
          <w:rtl/>
          <w:lang w:bidi="ar-EG"/>
        </w:rPr>
        <w:t>يات</w:t>
      </w:r>
      <w:r w:rsidRPr="00D505D1">
        <w:rPr>
          <w:rtl/>
          <w:lang w:bidi="ar-EG"/>
        </w:rPr>
        <w:t xml:space="preserve"> </w:t>
      </w:r>
      <w:r w:rsidRPr="00D505D1">
        <w:rPr>
          <w:rFonts w:hint="cs"/>
          <w:rtl/>
          <w:lang w:bidi="ar-EG"/>
        </w:rPr>
        <w:t>الموافَق</w:t>
      </w:r>
      <w:r w:rsidRPr="00D505D1">
        <w:rPr>
          <w:rtl/>
          <w:lang w:bidi="ar-EG"/>
        </w:rPr>
        <w:t xml:space="preserve"> عليها في</w:t>
      </w:r>
      <w:r w:rsidRPr="00D505D1">
        <w:rPr>
          <w:rFonts w:hint="cs"/>
          <w:rtl/>
          <w:lang w:bidi="ar-EG"/>
        </w:rPr>
        <w:t> </w:t>
      </w:r>
      <w:r w:rsidRPr="00D505D1">
        <w:rPr>
          <w:rtl/>
          <w:lang w:bidi="ar-EG"/>
        </w:rPr>
        <w:t>أقرب وقت</w:t>
      </w:r>
      <w:r w:rsidRPr="00D505D1">
        <w:rPr>
          <w:rFonts w:hint="cs"/>
          <w:rtl/>
          <w:lang w:bidi="ar-EG"/>
        </w:rPr>
        <w:t xml:space="preserve"> ممكن (انظر </w:t>
      </w:r>
      <w:r w:rsidR="001C453F">
        <w:fldChar w:fldCharType="begin"/>
      </w:r>
      <w:r w:rsidR="001C453F">
        <w:instrText>HYPERLINK "http://www.itu.int/pub/R-REC"</w:instrText>
      </w:r>
      <w:r w:rsidR="001C453F">
        <w:fldChar w:fldCharType="separate"/>
      </w:r>
      <w:r w:rsidRPr="00E57011">
        <w:rPr>
          <w:rStyle w:val="Hyperlink"/>
          <w:szCs w:val="24"/>
        </w:rPr>
        <w:t>http://</w:t>
      </w:r>
      <w:proofErr w:type="spellStart"/>
      <w:r w:rsidRPr="00E57011">
        <w:rPr>
          <w:rStyle w:val="Hyperlink"/>
          <w:szCs w:val="24"/>
        </w:rPr>
        <w:t>www.itu.int</w:t>
      </w:r>
      <w:proofErr w:type="spellEnd"/>
      <w:r w:rsidRPr="00E57011">
        <w:rPr>
          <w:rStyle w:val="Hyperlink"/>
          <w:szCs w:val="24"/>
        </w:rPr>
        <w:t>/pub/R-REC</w:t>
      </w:r>
      <w:r w:rsidR="001C453F">
        <w:rPr>
          <w:rStyle w:val="Hyperlink"/>
          <w:szCs w:val="24"/>
        </w:rPr>
        <w:fldChar w:fldCharType="end"/>
      </w:r>
      <w:r w:rsidRPr="00D505D1">
        <w:rPr>
          <w:rFonts w:hint="cs"/>
          <w:rtl/>
          <w:lang w:bidi="ar-EG"/>
        </w:rPr>
        <w:t>).</w:t>
      </w:r>
    </w:p>
    <w:p w14:paraId="3E8022CB" w14:textId="77777777" w:rsidR="00686585" w:rsidRDefault="00686585" w:rsidP="00686585">
      <w:pPr>
        <w:pageBreakBefore/>
        <w:rPr>
          <w:rtl/>
          <w:lang w:bidi="ar-EG"/>
        </w:rPr>
      </w:pPr>
      <w:r>
        <w:rPr>
          <w:rtl/>
          <w:lang w:bidi="ar-EG"/>
        </w:rPr>
        <w:lastRenderedPageBreak/>
        <w:t>ويرجى من أي منظمة عضو في</w:t>
      </w:r>
      <w:r>
        <w:rPr>
          <w:rFonts w:hint="cs"/>
          <w:rtl/>
          <w:lang w:bidi="ar-EG"/>
        </w:rPr>
        <w:t xml:space="preserve"> الاتحاد </w:t>
      </w:r>
      <w:r w:rsidRPr="008D3F8E">
        <w:rPr>
          <w:rtl/>
          <w:lang w:bidi="ar-EG"/>
        </w:rPr>
        <w:t xml:space="preserve">تعلم بوجود براءة اختراع لديها أو لدى غيرها تغطي كلياً </w:t>
      </w:r>
      <w:r>
        <w:rPr>
          <w:rtl/>
          <w:lang w:bidi="ar-EG"/>
        </w:rPr>
        <w:t>أو جزئياً عناصر مشاريع التوصيات</w:t>
      </w:r>
      <w:r>
        <w:rPr>
          <w:rFonts w:hint="cs"/>
          <w:rtl/>
          <w:lang w:bidi="ar-EG"/>
        </w:rPr>
        <w:t xml:space="preserve"> المذكورة </w:t>
      </w:r>
      <w:r w:rsidRPr="008D3F8E">
        <w:rPr>
          <w:rtl/>
          <w:lang w:bidi="ar-EG"/>
        </w:rPr>
        <w:t>في هذه الرسالة</w:t>
      </w:r>
      <w:r>
        <w:rPr>
          <w:rtl/>
          <w:lang w:bidi="ar-EG"/>
        </w:rPr>
        <w:t xml:space="preserve"> أن تبلغ الأمانة بهذه</w:t>
      </w:r>
      <w:r>
        <w:rPr>
          <w:rFonts w:hint="cs"/>
          <w:rtl/>
          <w:lang w:bidi="ar-EG"/>
        </w:rPr>
        <w:t xml:space="preserve"> المعلومات </w:t>
      </w:r>
      <w:r w:rsidRPr="008D3F8E">
        <w:rPr>
          <w:rtl/>
          <w:lang w:bidi="ar-EG"/>
        </w:rPr>
        <w:t>بأسرع ما</w:t>
      </w:r>
      <w:r>
        <w:rPr>
          <w:rFonts w:hint="cs"/>
          <w:rtl/>
          <w:lang w:bidi="ar-EG"/>
        </w:rPr>
        <w:t xml:space="preserve"> يمكن</w:t>
      </w:r>
      <w:r>
        <w:rPr>
          <w:rtl/>
          <w:lang w:bidi="ar-EG"/>
        </w:rPr>
        <w:t>.</w:t>
      </w:r>
      <w:r>
        <w:rPr>
          <w:rFonts w:hint="cs"/>
          <w:rtl/>
          <w:lang w:bidi="ar-EG"/>
        </w:rPr>
        <w:t xml:space="preserve"> ويمكن </w:t>
      </w:r>
      <w:r>
        <w:rPr>
          <w:rtl/>
          <w:lang w:bidi="ar-EG"/>
        </w:rPr>
        <w:t>الاطلاع على السياسة</w:t>
      </w:r>
      <w:r>
        <w:rPr>
          <w:rFonts w:hint="cs"/>
          <w:rtl/>
          <w:lang w:bidi="ar-EG"/>
        </w:rPr>
        <w:t xml:space="preserve"> المشتركة </w:t>
      </w:r>
      <w:r w:rsidRPr="008D3F8E">
        <w:rPr>
          <w:rtl/>
          <w:lang w:bidi="ar-EG"/>
        </w:rPr>
        <w:t>للبراءات</w:t>
      </w:r>
      <w:r>
        <w:rPr>
          <w:rFonts w:hint="cs"/>
          <w:rtl/>
          <w:lang w:bidi="ar-EG"/>
        </w:rPr>
        <w:t> </w:t>
      </w:r>
      <w:r w:rsidRPr="008D3F8E">
        <w:t>"ITU</w:t>
      </w:r>
      <w:r w:rsidRPr="008D3F8E">
        <w:noBreakHyphen/>
        <w:t>T/ITU</w:t>
      </w:r>
      <w:r w:rsidRPr="008D3F8E">
        <w:noBreakHyphen/>
        <w:t>R/ISO/IEC"</w:t>
      </w:r>
      <w:r>
        <w:rPr>
          <w:rtl/>
          <w:lang w:bidi="ar-EG"/>
        </w:rPr>
        <w:t xml:space="preserve"> في</w:t>
      </w:r>
      <w:r>
        <w:rPr>
          <w:rFonts w:hint="cs"/>
          <w:rtl/>
          <w:lang w:bidi="ar-EG"/>
        </w:rPr>
        <w:t xml:space="preserve"> الموقع </w:t>
      </w:r>
      <w:r w:rsidRPr="008D3F8E">
        <w:rPr>
          <w:rtl/>
          <w:lang w:bidi="ar-EG"/>
        </w:rPr>
        <w:t>الإلكتروني</w:t>
      </w:r>
      <w:r w:rsidRPr="008D3F8E">
        <w:rPr>
          <w:rFonts w:hint="cs"/>
          <w:rtl/>
          <w:lang w:bidi="ar-EG"/>
        </w:rPr>
        <w:t>:</w:t>
      </w:r>
      <w:r>
        <w:rPr>
          <w:rFonts w:hint="cs"/>
          <w:rtl/>
          <w:lang w:bidi="ar-EG"/>
        </w:rPr>
        <w:t xml:space="preserve"> </w:t>
      </w:r>
      <w:hyperlink r:id="rId8" w:history="1">
        <w:r w:rsidRPr="00E45690">
          <w:rPr>
            <w:rStyle w:val="Hyperlink"/>
            <w:lang w:bidi="ar-EG"/>
          </w:rPr>
          <w:t>http://</w:t>
        </w:r>
        <w:proofErr w:type="spellStart"/>
        <w:r w:rsidRPr="00E45690">
          <w:rPr>
            <w:rStyle w:val="Hyperlink"/>
            <w:lang w:bidi="ar-EG"/>
          </w:rPr>
          <w:t>www.itu.int</w:t>
        </w:r>
        <w:proofErr w:type="spellEnd"/>
        <w:r w:rsidRPr="00E45690">
          <w:rPr>
            <w:rStyle w:val="Hyperlink"/>
            <w:lang w:bidi="ar-EG"/>
          </w:rPr>
          <w:t>/en/ITU-T/</w:t>
        </w:r>
        <w:proofErr w:type="spellStart"/>
        <w:r w:rsidRPr="00E45690">
          <w:rPr>
            <w:rStyle w:val="Hyperlink"/>
            <w:lang w:bidi="ar-EG"/>
          </w:rPr>
          <w:t>ipr</w:t>
        </w:r>
        <w:proofErr w:type="spellEnd"/>
        <w:r w:rsidRPr="00E45690">
          <w:rPr>
            <w:rStyle w:val="Hyperlink"/>
            <w:lang w:bidi="ar-EG"/>
          </w:rPr>
          <w:t>/Pages/</w:t>
        </w:r>
        <w:proofErr w:type="spellStart"/>
        <w:r w:rsidRPr="00E45690">
          <w:rPr>
            <w:rStyle w:val="Hyperlink"/>
            <w:lang w:bidi="ar-EG"/>
          </w:rPr>
          <w:t>policy.aspx</w:t>
        </w:r>
        <w:proofErr w:type="spellEnd"/>
      </w:hyperlink>
      <w:r w:rsidRPr="008D3F8E">
        <w:rPr>
          <w:rtl/>
          <w:lang w:bidi="ar-EG"/>
        </w:rPr>
        <w:t>.</w:t>
      </w:r>
    </w:p>
    <w:p w14:paraId="723E4DEF" w14:textId="0637B227" w:rsidR="0070381F" w:rsidRDefault="00686585" w:rsidP="00686585">
      <w:pPr>
        <w:keepNext/>
        <w:spacing w:before="1440"/>
        <w:jc w:val="left"/>
        <w:rPr>
          <w:rtl/>
        </w:rPr>
      </w:pPr>
      <w:r w:rsidRPr="001B2082">
        <w:rPr>
          <w:rFonts w:hint="cs"/>
          <w:rtl/>
        </w:rPr>
        <w:t>ما</w:t>
      </w:r>
      <w:r w:rsidR="00523C73" w:rsidRPr="001B2082">
        <w:rPr>
          <w:rFonts w:hint="cs"/>
          <w:rtl/>
        </w:rPr>
        <w:t>ر</w:t>
      </w:r>
      <w:r w:rsidRPr="001B2082">
        <w:rPr>
          <w:rFonts w:hint="cs"/>
          <w:rtl/>
        </w:rPr>
        <w:t>يو مانيفيتش</w:t>
      </w:r>
      <w:r w:rsidR="0070381F" w:rsidRPr="001B2082">
        <w:rPr>
          <w:rtl/>
        </w:rPr>
        <w:br/>
      </w:r>
      <w:r w:rsidR="0070381F" w:rsidRPr="001B2082">
        <w:rPr>
          <w:rFonts w:hint="cs"/>
          <w:rtl/>
        </w:rPr>
        <w:t>المدير</w:t>
      </w:r>
    </w:p>
    <w:p w14:paraId="5B40CF32" w14:textId="77777777" w:rsidR="0070381F" w:rsidRDefault="0070381F" w:rsidP="00686585">
      <w:pPr>
        <w:spacing w:before="720"/>
        <w:jc w:val="left"/>
        <w:rPr>
          <w:rtl/>
          <w:lang w:bidi="ar-EG"/>
        </w:rPr>
      </w:pPr>
      <w:r w:rsidRPr="008D3F8E">
        <w:rPr>
          <w:b/>
          <w:bCs/>
          <w:rtl/>
          <w:lang w:bidi="ar-EG"/>
        </w:rPr>
        <w:t>الملحق:</w:t>
      </w:r>
      <w:r w:rsidRPr="008D3F8E">
        <w:rPr>
          <w:rFonts w:hint="cs"/>
          <w:rtl/>
          <w:lang w:bidi="ar-EG"/>
        </w:rPr>
        <w:tab/>
        <w:t xml:space="preserve">عناوين وملخصات </w:t>
      </w:r>
      <w:r>
        <w:rPr>
          <w:rFonts w:hint="cs"/>
          <w:rtl/>
          <w:lang w:bidi="ar-EG"/>
        </w:rPr>
        <w:t>مشاريع التوصيات</w:t>
      </w:r>
    </w:p>
    <w:p w14:paraId="6059974A" w14:textId="497F38AA" w:rsidR="0070381F" w:rsidRPr="00686585" w:rsidRDefault="0070381F" w:rsidP="00686585">
      <w:pPr>
        <w:spacing w:before="720"/>
        <w:rPr>
          <w:rtl/>
          <w:lang w:bidi="ar-EG"/>
        </w:rPr>
      </w:pPr>
      <w:r w:rsidRPr="008D3F8E">
        <w:rPr>
          <w:rFonts w:hint="cs"/>
          <w:b/>
          <w:bCs/>
          <w:rtl/>
          <w:lang w:bidi="ar-EG"/>
        </w:rPr>
        <w:t>الوثائق</w:t>
      </w:r>
      <w:r w:rsidRPr="008D3F8E">
        <w:rPr>
          <w:b/>
          <w:bCs/>
          <w:rtl/>
          <w:lang w:bidi="ar-EG"/>
        </w:rPr>
        <w:t>:</w:t>
      </w:r>
      <w:r>
        <w:rPr>
          <w:rFonts w:hint="cs"/>
          <w:rtl/>
          <w:lang w:bidi="ar-EG"/>
        </w:rPr>
        <w:tab/>
        <w:t>الوثائق</w:t>
      </w:r>
      <w:r w:rsidRPr="008D3F8E">
        <w:rPr>
          <w:rFonts w:hint="cs"/>
          <w:rtl/>
          <w:lang w:bidi="ar-EG"/>
        </w:rPr>
        <w:t xml:space="preserve"> </w:t>
      </w:r>
      <w:r w:rsidR="00523C73">
        <w:rPr>
          <w:lang w:val="fr-CH"/>
        </w:rPr>
        <w:t>3</w:t>
      </w:r>
      <w:r w:rsidRPr="0078144F">
        <w:rPr>
          <w:lang w:val="fr-CH"/>
        </w:rPr>
        <w:t>/</w:t>
      </w:r>
      <w:r w:rsidR="00686585">
        <w:rPr>
          <w:lang w:val="fr-CH"/>
        </w:rPr>
        <w:t>69</w:t>
      </w:r>
      <w:r w:rsidRPr="0078144F">
        <w:rPr>
          <w:lang w:val="fr-CH"/>
        </w:rPr>
        <w:t>(</w:t>
      </w:r>
      <w:proofErr w:type="spellStart"/>
      <w:r w:rsidRPr="0078144F">
        <w:rPr>
          <w:lang w:val="fr-CH"/>
        </w:rPr>
        <w:t>Rev.1</w:t>
      </w:r>
      <w:proofErr w:type="spellEnd"/>
      <w:r w:rsidRPr="0078144F">
        <w:rPr>
          <w:lang w:val="fr-CH"/>
        </w:rPr>
        <w:t>)</w:t>
      </w:r>
      <w:r w:rsidR="00686585">
        <w:rPr>
          <w:rFonts w:hint="cs"/>
          <w:rtl/>
          <w:lang w:val="fr-CH"/>
        </w:rPr>
        <w:t xml:space="preserve"> و</w:t>
      </w:r>
      <w:r w:rsidR="00686585">
        <w:t>3/70</w:t>
      </w:r>
      <w:r w:rsidR="00686585">
        <w:rPr>
          <w:rFonts w:hint="cs"/>
          <w:rtl/>
          <w:lang w:bidi="ar-EG"/>
        </w:rPr>
        <w:t xml:space="preserve"> و</w:t>
      </w:r>
      <w:r w:rsidR="00686585">
        <w:rPr>
          <w:lang w:bidi="ar-EG"/>
        </w:rPr>
        <w:t>3/72</w:t>
      </w:r>
      <w:r w:rsidR="00686585">
        <w:rPr>
          <w:rFonts w:hint="cs"/>
          <w:rtl/>
          <w:lang w:bidi="ar-EG"/>
        </w:rPr>
        <w:t xml:space="preserve"> و</w:t>
      </w:r>
      <w:r w:rsidR="00686585">
        <w:rPr>
          <w:lang w:bidi="ar-EG"/>
        </w:rPr>
        <w:t>3/74</w:t>
      </w:r>
      <w:r w:rsidR="00686585">
        <w:rPr>
          <w:rFonts w:hint="cs"/>
          <w:rtl/>
          <w:lang w:bidi="ar-EG"/>
        </w:rPr>
        <w:t xml:space="preserve"> و</w:t>
      </w:r>
      <w:r w:rsidR="00686585">
        <w:rPr>
          <w:lang w:bidi="ar-EG"/>
        </w:rPr>
        <w:t>3/75(</w:t>
      </w:r>
      <w:proofErr w:type="spellStart"/>
      <w:r w:rsidR="00686585">
        <w:rPr>
          <w:lang w:bidi="ar-EG"/>
        </w:rPr>
        <w:t>Rev.1</w:t>
      </w:r>
      <w:proofErr w:type="spellEnd"/>
      <w:r w:rsidR="00686585">
        <w:rPr>
          <w:lang w:bidi="ar-EG"/>
        </w:rPr>
        <w:t>)</w:t>
      </w:r>
      <w:r w:rsidR="00686585">
        <w:rPr>
          <w:rFonts w:hint="cs"/>
          <w:rtl/>
          <w:lang w:bidi="ar-EG"/>
        </w:rPr>
        <w:t xml:space="preserve"> و</w:t>
      </w:r>
      <w:r w:rsidR="00686585">
        <w:rPr>
          <w:lang w:bidi="ar-EG"/>
        </w:rPr>
        <w:t>3/76</w:t>
      </w:r>
      <w:r w:rsidR="00686585">
        <w:rPr>
          <w:rFonts w:hint="cs"/>
          <w:rtl/>
          <w:lang w:bidi="ar-EG"/>
        </w:rPr>
        <w:t xml:space="preserve"> و</w:t>
      </w:r>
      <w:r w:rsidR="00686585">
        <w:rPr>
          <w:lang w:bidi="ar-EG"/>
        </w:rPr>
        <w:t>3/77(</w:t>
      </w:r>
      <w:proofErr w:type="spellStart"/>
      <w:r w:rsidR="00686585">
        <w:rPr>
          <w:lang w:bidi="ar-EG"/>
        </w:rPr>
        <w:t>Rev.1</w:t>
      </w:r>
      <w:proofErr w:type="spellEnd"/>
      <w:r w:rsidR="00686585">
        <w:rPr>
          <w:lang w:bidi="ar-EG"/>
        </w:rPr>
        <w:t>)</w:t>
      </w:r>
      <w:r w:rsidR="00686585">
        <w:rPr>
          <w:rFonts w:hint="cs"/>
          <w:rtl/>
          <w:lang w:bidi="ar-EG"/>
        </w:rPr>
        <w:t xml:space="preserve"> و</w:t>
      </w:r>
      <w:r w:rsidR="00686585">
        <w:rPr>
          <w:lang w:bidi="ar-EG"/>
        </w:rPr>
        <w:t>3/78</w:t>
      </w:r>
      <w:r w:rsidR="00686585">
        <w:rPr>
          <w:rFonts w:hint="cs"/>
          <w:rtl/>
          <w:lang w:bidi="ar-EG"/>
        </w:rPr>
        <w:t xml:space="preserve"> و</w:t>
      </w:r>
      <w:r w:rsidR="00686585">
        <w:rPr>
          <w:lang w:bidi="ar-EG"/>
        </w:rPr>
        <w:t>3/79(</w:t>
      </w:r>
      <w:proofErr w:type="spellStart"/>
      <w:r w:rsidR="00686585">
        <w:rPr>
          <w:lang w:bidi="ar-EG"/>
        </w:rPr>
        <w:t>Rev.1</w:t>
      </w:r>
      <w:proofErr w:type="spellEnd"/>
      <w:r w:rsidR="00686585">
        <w:rPr>
          <w:lang w:bidi="ar-EG"/>
        </w:rPr>
        <w:t>)</w:t>
      </w:r>
      <w:r w:rsidR="00686585">
        <w:rPr>
          <w:rFonts w:hint="cs"/>
          <w:rtl/>
          <w:lang w:bidi="ar-EG"/>
        </w:rPr>
        <w:t xml:space="preserve"> و</w:t>
      </w:r>
      <w:r w:rsidR="00686585">
        <w:rPr>
          <w:lang w:bidi="ar-EG"/>
        </w:rPr>
        <w:t>3/83(</w:t>
      </w:r>
      <w:proofErr w:type="spellStart"/>
      <w:r w:rsidR="00686585">
        <w:rPr>
          <w:lang w:bidi="ar-EG"/>
        </w:rPr>
        <w:t>Rev.1</w:t>
      </w:r>
      <w:proofErr w:type="spellEnd"/>
      <w:r w:rsidR="00686585">
        <w:rPr>
          <w:lang w:bidi="ar-EG"/>
        </w:rPr>
        <w:t>)</w:t>
      </w:r>
      <w:r w:rsidR="00686585">
        <w:rPr>
          <w:rFonts w:hint="cs"/>
          <w:rtl/>
          <w:lang w:bidi="ar-EG"/>
        </w:rPr>
        <w:t xml:space="preserve"> و</w:t>
      </w:r>
      <w:r w:rsidR="00686585">
        <w:rPr>
          <w:lang w:bidi="ar-EG"/>
        </w:rPr>
        <w:t>3/84</w:t>
      </w:r>
      <w:r w:rsidR="00686585">
        <w:rPr>
          <w:rFonts w:hint="cs"/>
          <w:rtl/>
          <w:lang w:bidi="ar-EG"/>
        </w:rPr>
        <w:t xml:space="preserve"> و</w:t>
      </w:r>
      <w:r w:rsidR="00686585">
        <w:rPr>
          <w:lang w:bidi="ar-EG"/>
        </w:rPr>
        <w:t>3/85</w:t>
      </w:r>
      <w:r w:rsidR="00686585">
        <w:rPr>
          <w:rFonts w:hint="cs"/>
          <w:rtl/>
          <w:lang w:bidi="ar-EG"/>
        </w:rPr>
        <w:t xml:space="preserve"> و</w:t>
      </w:r>
      <w:r w:rsidR="00686585">
        <w:rPr>
          <w:lang w:bidi="ar-EG"/>
        </w:rPr>
        <w:t>3/87</w:t>
      </w:r>
      <w:r w:rsidR="00686585">
        <w:rPr>
          <w:rFonts w:hint="cs"/>
          <w:rtl/>
          <w:lang w:bidi="ar-EG"/>
        </w:rPr>
        <w:t xml:space="preserve"> و</w:t>
      </w:r>
      <w:r w:rsidR="00686585">
        <w:rPr>
          <w:lang w:bidi="ar-EG"/>
        </w:rPr>
        <w:t>3/88</w:t>
      </w:r>
      <w:r w:rsidR="00686585">
        <w:rPr>
          <w:rFonts w:hint="cs"/>
          <w:rtl/>
          <w:lang w:bidi="ar-EG"/>
        </w:rPr>
        <w:t>.</w:t>
      </w:r>
    </w:p>
    <w:p w14:paraId="4A857EE1" w14:textId="0942A831" w:rsidR="00F16820" w:rsidRDefault="0070381F" w:rsidP="001B2082">
      <w:pPr>
        <w:rPr>
          <w:rtl/>
          <w:lang w:bidi="ar-EG"/>
        </w:rPr>
      </w:pPr>
      <w:r>
        <w:rPr>
          <w:rFonts w:hint="cs"/>
          <w:rtl/>
        </w:rPr>
        <w:t>وتتاح هذه الوثائق في نسق إلكتروني في:</w:t>
      </w:r>
      <w:r w:rsidR="00686585">
        <w:rPr>
          <w:rFonts w:hint="cs"/>
          <w:rtl/>
        </w:rPr>
        <w:t xml:space="preserve"> </w:t>
      </w:r>
      <w:hyperlink r:id="rId9" w:history="1">
        <w:r w:rsidR="00686585" w:rsidRPr="00E57011">
          <w:rPr>
            <w:rStyle w:val="Hyperlink"/>
            <w:szCs w:val="24"/>
          </w:rPr>
          <w:t>https://</w:t>
        </w:r>
        <w:proofErr w:type="spellStart"/>
        <w:r w:rsidR="00686585" w:rsidRPr="00E57011">
          <w:rPr>
            <w:rStyle w:val="Hyperlink"/>
            <w:szCs w:val="24"/>
          </w:rPr>
          <w:t>www.itu.int</w:t>
        </w:r>
        <w:proofErr w:type="spellEnd"/>
        <w:r w:rsidR="00686585" w:rsidRPr="00E57011">
          <w:rPr>
            <w:rStyle w:val="Hyperlink"/>
            <w:szCs w:val="24"/>
          </w:rPr>
          <w:t>/md/</w:t>
        </w:r>
        <w:proofErr w:type="spellStart"/>
        <w:r w:rsidR="00686585" w:rsidRPr="00E57011">
          <w:rPr>
            <w:rStyle w:val="Hyperlink"/>
            <w:szCs w:val="24"/>
          </w:rPr>
          <w:t>R19</w:t>
        </w:r>
        <w:proofErr w:type="spellEnd"/>
        <w:r w:rsidR="00686585" w:rsidRPr="00E57011">
          <w:rPr>
            <w:rStyle w:val="Hyperlink"/>
            <w:szCs w:val="24"/>
          </w:rPr>
          <w:t>-</w:t>
        </w:r>
        <w:proofErr w:type="spellStart"/>
        <w:r w:rsidR="00686585" w:rsidRPr="00E57011">
          <w:rPr>
            <w:rStyle w:val="Hyperlink"/>
            <w:szCs w:val="24"/>
          </w:rPr>
          <w:t>SG03</w:t>
        </w:r>
        <w:proofErr w:type="spellEnd"/>
        <w:r w:rsidR="00686585" w:rsidRPr="00E57011">
          <w:rPr>
            <w:rStyle w:val="Hyperlink"/>
            <w:szCs w:val="24"/>
          </w:rPr>
          <w:t>-C/en</w:t>
        </w:r>
      </w:hyperlink>
    </w:p>
    <w:p w14:paraId="404535FF" w14:textId="77777777" w:rsidR="00F16820" w:rsidRDefault="00F16820" w:rsidP="001B2082">
      <w:pPr>
        <w:rPr>
          <w:lang w:bidi="ar-EG"/>
        </w:rPr>
      </w:pPr>
      <w:r>
        <w:rPr>
          <w:rtl/>
          <w:lang w:bidi="ar-EG"/>
        </w:rPr>
        <w:br w:type="page"/>
      </w:r>
    </w:p>
    <w:p w14:paraId="09105F04" w14:textId="7A7D91C9" w:rsidR="0070381F" w:rsidRDefault="0070381F" w:rsidP="00686585">
      <w:pPr>
        <w:pStyle w:val="Annextitle"/>
        <w:rPr>
          <w:rtl/>
          <w:lang w:bidi="ar-EG"/>
        </w:rPr>
      </w:pPr>
      <w:r w:rsidRPr="00F927B5">
        <w:rPr>
          <w:rFonts w:hint="cs"/>
          <w:rtl/>
        </w:rPr>
        <w:lastRenderedPageBreak/>
        <w:t>الملحق</w:t>
      </w:r>
      <w:r>
        <w:rPr>
          <w:lang w:val="en-GB"/>
        </w:rPr>
        <w:br/>
      </w:r>
      <w:r>
        <w:rPr>
          <w:lang w:val="en-GB"/>
        </w:rPr>
        <w:br/>
      </w:r>
      <w:r w:rsidRPr="001F2358">
        <w:rPr>
          <w:rFonts w:hint="cs"/>
          <w:rtl/>
        </w:rPr>
        <w:t xml:space="preserve">عناوين وملخصات مشاريع </w:t>
      </w:r>
      <w:r w:rsidR="00686585" w:rsidRPr="001F2358">
        <w:rPr>
          <w:rFonts w:hint="cs"/>
          <w:rtl/>
        </w:rPr>
        <w:t>توصيات قطاع الاتصالات الراديوية</w:t>
      </w:r>
    </w:p>
    <w:p w14:paraId="73C6B562" w14:textId="4C7072E1" w:rsidR="00686585" w:rsidRDefault="00686585" w:rsidP="00686585">
      <w:pPr>
        <w:tabs>
          <w:tab w:val="right" w:pos="9639"/>
        </w:tabs>
        <w:rPr>
          <w:rtl/>
          <w:lang w:bidi="ar-EG"/>
        </w:rPr>
      </w:pPr>
      <w:r w:rsidRPr="00686585">
        <w:rPr>
          <w:rFonts w:hint="cs"/>
          <w:u w:val="single"/>
          <w:rtl/>
          <w:lang w:bidi="ar-EG"/>
        </w:rPr>
        <w:t xml:space="preserve">مشروع مراجَعة التوصية </w:t>
      </w:r>
      <w:r w:rsidRPr="00686585">
        <w:rPr>
          <w:u w:val="single"/>
          <w:lang w:bidi="ar-EG"/>
        </w:rPr>
        <w:t xml:space="preserve">ITU-R </w:t>
      </w:r>
      <w:proofErr w:type="spellStart"/>
      <w:r w:rsidRPr="00686585">
        <w:rPr>
          <w:u w:val="single"/>
          <w:lang w:bidi="ar-EG"/>
        </w:rPr>
        <w:t>P.684</w:t>
      </w:r>
      <w:proofErr w:type="spellEnd"/>
      <w:r w:rsidRPr="00686585">
        <w:rPr>
          <w:u w:val="single"/>
          <w:lang w:bidi="ar-EG"/>
        </w:rPr>
        <w:t>-7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الوثيقة </w:t>
      </w:r>
      <w:r>
        <w:rPr>
          <w:lang w:bidi="ar-EG"/>
        </w:rPr>
        <w:t>3/69(</w:t>
      </w:r>
      <w:proofErr w:type="spellStart"/>
      <w:r>
        <w:rPr>
          <w:lang w:bidi="ar-EG"/>
        </w:rPr>
        <w:t>Rev.1</w:t>
      </w:r>
      <w:proofErr w:type="spellEnd"/>
      <w:r>
        <w:rPr>
          <w:lang w:bidi="ar-EG"/>
        </w:rPr>
        <w:t>)</w:t>
      </w:r>
    </w:p>
    <w:p w14:paraId="001C2EAD" w14:textId="0CDE6FB7" w:rsidR="0070381F" w:rsidRDefault="0070381F" w:rsidP="0070381F">
      <w:pPr>
        <w:pStyle w:val="Rectitle"/>
        <w:spacing w:before="240" w:after="240"/>
        <w:rPr>
          <w:rtl/>
          <w:lang w:bidi="ar-EG"/>
        </w:rPr>
      </w:pPr>
      <w:r w:rsidRPr="00C94F40">
        <w:rPr>
          <w:rFonts w:eastAsia="SimSun" w:hint="cs"/>
          <w:rtl/>
        </w:rPr>
        <w:t xml:space="preserve">التنبؤ بشدة المجال عند الترددات تحت </w:t>
      </w:r>
      <w:r w:rsidRPr="00C94F40">
        <w:rPr>
          <w:rFonts w:eastAsia="SimSun"/>
        </w:rPr>
        <w:t>kHz 150</w:t>
      </w:r>
      <w:r w:rsidRPr="00C94F40">
        <w:rPr>
          <w:rFonts w:eastAsia="SimSun" w:hint="cs"/>
          <w:rtl/>
        </w:rPr>
        <w:t xml:space="preserve"> تقريباً</w:t>
      </w:r>
    </w:p>
    <w:p w14:paraId="5437574C" w14:textId="09DAA119" w:rsidR="0070381F" w:rsidRPr="002D4E67" w:rsidRDefault="002D4E67" w:rsidP="0070381F">
      <w:pPr>
        <w:rPr>
          <w:rtl/>
          <w:lang w:bidi="ar-EG"/>
        </w:rPr>
      </w:pPr>
      <w:r w:rsidRPr="002D4E67">
        <w:rPr>
          <w:rFonts w:hint="cs"/>
          <w:rtl/>
        </w:rPr>
        <w:t xml:space="preserve">يتضمن </w:t>
      </w:r>
      <w:r w:rsidR="00160BE3" w:rsidRPr="002D4E67">
        <w:rPr>
          <w:rFonts w:hint="cs"/>
          <w:rtl/>
        </w:rPr>
        <w:t>مشروع</w:t>
      </w:r>
      <w:r w:rsidR="00906E67" w:rsidRPr="002D4E67">
        <w:rPr>
          <w:rFonts w:hint="cs"/>
          <w:rtl/>
        </w:rPr>
        <w:t xml:space="preserve"> </w:t>
      </w:r>
      <w:r w:rsidR="00065054" w:rsidRPr="002D4E67">
        <w:rPr>
          <w:rFonts w:hint="cs"/>
          <w:rtl/>
        </w:rPr>
        <w:t>مراجعة</w:t>
      </w:r>
      <w:r w:rsidR="00906E67" w:rsidRPr="002D4E67">
        <w:rPr>
          <w:rFonts w:hint="cs"/>
          <w:rtl/>
        </w:rPr>
        <w:t xml:space="preserve"> هذه التوصية</w:t>
      </w:r>
      <w:r w:rsidRPr="002D4E67">
        <w:rPr>
          <w:rFonts w:hint="cs"/>
          <w:rtl/>
        </w:rPr>
        <w:t xml:space="preserve"> التعديلات التالية</w:t>
      </w:r>
      <w:r w:rsidR="00906E67" w:rsidRPr="002D4E67">
        <w:rPr>
          <w:rFonts w:hint="cs"/>
          <w:rtl/>
        </w:rPr>
        <w:t>:</w:t>
      </w:r>
    </w:p>
    <w:p w14:paraId="6A1CDE24" w14:textId="2469216A" w:rsidR="0070381F" w:rsidRPr="00906E67" w:rsidRDefault="0070381F" w:rsidP="00686585">
      <w:pPr>
        <w:pStyle w:val="enumlev1"/>
        <w:rPr>
          <w:rtl/>
          <w:lang w:val="en-GB" w:bidi="ar-SA"/>
        </w:rPr>
      </w:pPr>
      <w:r w:rsidRPr="00686585">
        <w:t>-</w:t>
      </w:r>
      <w:r w:rsidRPr="00686585">
        <w:tab/>
      </w:r>
      <w:r w:rsidR="00906E67">
        <w:rPr>
          <w:rFonts w:hint="cs"/>
          <w:rtl/>
        </w:rPr>
        <w:t xml:space="preserve">إضافة بيانات أو صياغة توضيحية </w:t>
      </w:r>
      <w:r w:rsidR="00160BE3">
        <w:rPr>
          <w:rFonts w:hint="cs"/>
          <w:rtl/>
        </w:rPr>
        <w:t>ل</w:t>
      </w:r>
      <w:r w:rsidR="00906E67">
        <w:rPr>
          <w:rFonts w:hint="cs"/>
          <w:rtl/>
        </w:rPr>
        <w:t xml:space="preserve">عدة أقسام في الملحق </w:t>
      </w:r>
      <w:r w:rsidR="00906E67">
        <w:rPr>
          <w:lang w:val="en-GB"/>
        </w:rPr>
        <w:t>1</w:t>
      </w:r>
      <w:r w:rsidR="00906E67">
        <w:rPr>
          <w:rFonts w:hint="cs"/>
          <w:rtl/>
          <w:lang w:val="en-GB" w:bidi="ar-SA"/>
        </w:rPr>
        <w:t xml:space="preserve"> (</w:t>
      </w:r>
      <w:r w:rsidR="00906E67">
        <w:rPr>
          <w:lang w:val="en-GB" w:bidi="ar-SA"/>
        </w:rPr>
        <w:t>1.1</w:t>
      </w:r>
      <w:r w:rsidR="00906E67">
        <w:rPr>
          <w:rFonts w:hint="cs"/>
          <w:rtl/>
          <w:lang w:val="en-GB" w:bidi="ar-SA"/>
        </w:rPr>
        <w:t xml:space="preserve"> و</w:t>
      </w:r>
      <w:r w:rsidR="00906E67">
        <w:rPr>
          <w:lang w:val="en-GB" w:bidi="ar-SA"/>
        </w:rPr>
        <w:t>3.1</w:t>
      </w:r>
      <w:r w:rsidR="00906E67">
        <w:rPr>
          <w:rFonts w:hint="cs"/>
          <w:rtl/>
          <w:lang w:val="en-GB" w:bidi="ar-SA"/>
        </w:rPr>
        <w:t xml:space="preserve"> و</w:t>
      </w:r>
      <w:r w:rsidR="00FD65BD">
        <w:rPr>
          <w:lang w:val="en-GB" w:bidi="ar-SA"/>
        </w:rPr>
        <w:t>1</w:t>
      </w:r>
      <w:r w:rsidR="00906E67">
        <w:rPr>
          <w:lang w:val="en-GB" w:bidi="ar-SA"/>
        </w:rPr>
        <w:t>.</w:t>
      </w:r>
      <w:r w:rsidR="00FD65BD">
        <w:rPr>
          <w:lang w:val="en-GB" w:bidi="ar-SA"/>
        </w:rPr>
        <w:t>2</w:t>
      </w:r>
      <w:r w:rsidR="00906E67">
        <w:rPr>
          <w:rFonts w:hint="cs"/>
          <w:rtl/>
          <w:lang w:val="en-GB" w:bidi="ar-SA"/>
        </w:rPr>
        <w:t xml:space="preserve"> و</w:t>
      </w:r>
      <w:r w:rsidR="00906E67">
        <w:rPr>
          <w:lang w:val="en-GB" w:bidi="ar-SA"/>
        </w:rPr>
        <w:t>3.2.2</w:t>
      </w:r>
      <w:r w:rsidR="00906E67">
        <w:rPr>
          <w:rFonts w:hint="cs"/>
          <w:rtl/>
          <w:lang w:val="en-GB" w:bidi="ar-SA"/>
        </w:rPr>
        <w:t xml:space="preserve"> و</w:t>
      </w:r>
      <w:r w:rsidR="00906E67">
        <w:rPr>
          <w:lang w:val="en-GB" w:bidi="ar-SA"/>
        </w:rPr>
        <w:t>5.2.2</w:t>
      </w:r>
      <w:r w:rsidR="00906E67">
        <w:rPr>
          <w:rFonts w:hint="cs"/>
          <w:rtl/>
          <w:lang w:val="en-GB" w:bidi="ar-SA"/>
        </w:rPr>
        <w:t xml:space="preserve"> و</w:t>
      </w:r>
      <w:r w:rsidR="00906E67">
        <w:rPr>
          <w:lang w:val="en-GB" w:bidi="ar-SA"/>
        </w:rPr>
        <w:t>3.3.2</w:t>
      </w:r>
      <w:r w:rsidR="00906E67">
        <w:rPr>
          <w:rFonts w:hint="cs"/>
          <w:rtl/>
          <w:lang w:val="en-GB" w:bidi="ar-SA"/>
        </w:rPr>
        <w:t xml:space="preserve"> و</w:t>
      </w:r>
      <w:r w:rsidR="00906E67">
        <w:rPr>
          <w:lang w:val="en-GB" w:bidi="ar-SA"/>
        </w:rPr>
        <w:t>4.3.2</w:t>
      </w:r>
      <w:r w:rsidR="00906E67">
        <w:rPr>
          <w:rFonts w:hint="cs"/>
          <w:rtl/>
          <w:lang w:val="en-GB" w:bidi="ar-SA"/>
        </w:rPr>
        <w:t xml:space="preserve"> و</w:t>
      </w:r>
      <w:r w:rsidR="00906E67">
        <w:rPr>
          <w:lang w:val="en-GB" w:bidi="ar-SA"/>
        </w:rPr>
        <w:t>2.3.6</w:t>
      </w:r>
      <w:r w:rsidR="00906E67">
        <w:rPr>
          <w:rFonts w:hint="cs"/>
          <w:rtl/>
          <w:lang w:val="en-GB" w:bidi="ar-SA"/>
        </w:rPr>
        <w:t xml:space="preserve">) والملحق </w:t>
      </w:r>
      <w:r w:rsidR="00906E67">
        <w:rPr>
          <w:lang w:val="en-GB" w:bidi="ar-SA"/>
        </w:rPr>
        <w:t>2</w:t>
      </w:r>
      <w:r w:rsidR="00906E67">
        <w:rPr>
          <w:rFonts w:hint="cs"/>
          <w:rtl/>
          <w:lang w:val="en-GB" w:bidi="ar-SA"/>
        </w:rPr>
        <w:t xml:space="preserve"> </w:t>
      </w:r>
      <w:proofErr w:type="gramStart"/>
      <w:r w:rsidR="00906E67">
        <w:rPr>
          <w:rFonts w:hint="cs"/>
          <w:rtl/>
          <w:lang w:val="en-GB" w:bidi="ar-SA"/>
        </w:rPr>
        <w:t>بالوثيقة؛</w:t>
      </w:r>
      <w:proofErr w:type="gramEnd"/>
    </w:p>
    <w:p w14:paraId="70830A01" w14:textId="6C5D2EA5" w:rsidR="0070381F" w:rsidRPr="007B6B30" w:rsidRDefault="0070381F" w:rsidP="00686585">
      <w:pPr>
        <w:pStyle w:val="enumlev1"/>
        <w:rPr>
          <w:rtl/>
          <w:lang w:val="en-GB" w:bidi="ar-SA"/>
        </w:rPr>
      </w:pPr>
      <w:r w:rsidRPr="00686585">
        <w:t>-</w:t>
      </w:r>
      <w:r w:rsidRPr="00686585">
        <w:tab/>
      </w:r>
      <w:r w:rsidR="007B6B30">
        <w:rPr>
          <w:rFonts w:hint="cs"/>
          <w:rtl/>
        </w:rPr>
        <w:t xml:space="preserve">إضافة تعريف للقوة المحركة الموجية في الحاشية </w:t>
      </w:r>
      <w:proofErr w:type="gramStart"/>
      <w:r w:rsidR="007B6B30">
        <w:rPr>
          <w:lang w:val="en-GB"/>
        </w:rPr>
        <w:t>2.2</w:t>
      </w:r>
      <w:r w:rsidR="007B6B30">
        <w:rPr>
          <w:rFonts w:hint="cs"/>
          <w:rtl/>
          <w:lang w:val="en-GB" w:bidi="ar-SA"/>
        </w:rPr>
        <w:t>؛</w:t>
      </w:r>
      <w:proofErr w:type="gramEnd"/>
    </w:p>
    <w:p w14:paraId="6E23BD06" w14:textId="33E831AD" w:rsidR="0070381F" w:rsidRPr="00686585" w:rsidRDefault="0070381F" w:rsidP="004D25D7">
      <w:pPr>
        <w:pStyle w:val="enumlev1"/>
        <w:rPr>
          <w:rtl/>
          <w:lang w:bidi="ar-SA"/>
        </w:rPr>
      </w:pPr>
      <w:r w:rsidRPr="00686585">
        <w:t>-</w:t>
      </w:r>
      <w:r w:rsidRPr="00686585">
        <w:tab/>
      </w:r>
      <w:r w:rsidR="004D25D7">
        <w:rPr>
          <w:rFonts w:hint="cs"/>
          <w:rtl/>
          <w:lang w:bidi="ar-SA"/>
        </w:rPr>
        <w:t>ال</w:t>
      </w:r>
      <w:r w:rsidR="007B6B30">
        <w:rPr>
          <w:rFonts w:hint="cs"/>
          <w:rtl/>
        </w:rPr>
        <w:t xml:space="preserve">استعاضة عن </w:t>
      </w:r>
      <w:r w:rsidR="004D25D7">
        <w:rPr>
          <w:rFonts w:hint="cs"/>
          <w:rtl/>
        </w:rPr>
        <w:t>البرنامج</w:t>
      </w:r>
      <w:r w:rsidR="007B6B30">
        <w:rPr>
          <w:rFonts w:hint="cs"/>
          <w:rtl/>
        </w:rPr>
        <w:t xml:space="preserve"> </w:t>
      </w:r>
      <w:r w:rsidR="004D25D7">
        <w:rPr>
          <w:rFonts w:hint="cs"/>
          <w:rtl/>
        </w:rPr>
        <w:t>"</w:t>
      </w:r>
      <w:proofErr w:type="spellStart"/>
      <w:r w:rsidR="004D25D7">
        <w:rPr>
          <w:color w:val="000000"/>
        </w:rPr>
        <w:t>GRWAVE</w:t>
      </w:r>
      <w:proofErr w:type="spellEnd"/>
      <w:r w:rsidR="007C146B">
        <w:rPr>
          <w:rFonts w:hint="cs"/>
          <w:rtl/>
        </w:rPr>
        <w:t>"</w:t>
      </w:r>
      <w:r w:rsidR="004D25D7">
        <w:rPr>
          <w:rFonts w:hint="cs"/>
          <w:rtl/>
        </w:rPr>
        <w:t xml:space="preserve"> بالتطبيق "</w:t>
      </w:r>
      <w:proofErr w:type="spellStart"/>
      <w:r w:rsidR="004D25D7" w:rsidRPr="004D25D7">
        <w:t>LFMF-SmoothEarth</w:t>
      </w:r>
      <w:proofErr w:type="spellEnd"/>
      <w:proofErr w:type="gramStart"/>
      <w:r w:rsidR="007C146B">
        <w:rPr>
          <w:rFonts w:hint="cs"/>
          <w:rtl/>
        </w:rPr>
        <w:t>"</w:t>
      </w:r>
      <w:r w:rsidR="004D25D7">
        <w:rPr>
          <w:rFonts w:hint="cs"/>
          <w:rtl/>
        </w:rPr>
        <w:t>؛</w:t>
      </w:r>
      <w:proofErr w:type="gramEnd"/>
    </w:p>
    <w:p w14:paraId="6C178856" w14:textId="60A5CC75" w:rsidR="0070381F" w:rsidRPr="00686585" w:rsidRDefault="0070381F" w:rsidP="00686585">
      <w:pPr>
        <w:pStyle w:val="enumlev1"/>
        <w:rPr>
          <w:rtl/>
          <w:lang w:bidi="ar-SA"/>
        </w:rPr>
      </w:pPr>
      <w:r w:rsidRPr="00686585">
        <w:t>-</w:t>
      </w:r>
      <w:r w:rsidRPr="00686585">
        <w:tab/>
      </w:r>
      <w:r w:rsidR="007712AF">
        <w:rPr>
          <w:rFonts w:hint="cs"/>
          <w:rtl/>
        </w:rPr>
        <w:t>تصحيح الأخطاء الإملائية والنحوية.</w:t>
      </w:r>
    </w:p>
    <w:p w14:paraId="5DD64081" w14:textId="7EADEBEB" w:rsidR="0070381F" w:rsidRPr="004C7DFE" w:rsidRDefault="0070381F" w:rsidP="009A1F18">
      <w:pPr>
        <w:tabs>
          <w:tab w:val="clear" w:pos="794"/>
          <w:tab w:val="right" w:pos="9497"/>
        </w:tabs>
        <w:spacing w:before="360"/>
        <w:ind w:right="426"/>
        <w:rPr>
          <w:rtl/>
          <w:lang w:bidi="ar-EG"/>
        </w:rPr>
      </w:pPr>
      <w:r w:rsidRPr="0037323D">
        <w:rPr>
          <w:rFonts w:hint="cs"/>
          <w:u w:val="single"/>
          <w:rtl/>
        </w:rPr>
        <w:t>مشروع مراج</w:t>
      </w:r>
      <w:r>
        <w:rPr>
          <w:rFonts w:hint="cs"/>
          <w:u w:val="single"/>
          <w:rtl/>
        </w:rPr>
        <w:t>َ</w:t>
      </w:r>
      <w:r w:rsidRPr="0037323D">
        <w:rPr>
          <w:rFonts w:hint="cs"/>
          <w:u w:val="single"/>
          <w:rtl/>
        </w:rPr>
        <w:t xml:space="preserve">عة التوصية </w:t>
      </w:r>
      <w:r w:rsidR="009A1F18" w:rsidRPr="009A1F18">
        <w:rPr>
          <w:rFonts w:asciiTheme="minorHAnsi" w:hAnsiTheme="minorHAnsi" w:cstheme="minorHAnsi"/>
          <w:szCs w:val="24"/>
          <w:u w:val="single"/>
        </w:rPr>
        <w:t xml:space="preserve">ITU-R </w:t>
      </w:r>
      <w:proofErr w:type="spellStart"/>
      <w:r w:rsidR="009A1F18" w:rsidRPr="009A1F18">
        <w:rPr>
          <w:rFonts w:asciiTheme="minorHAnsi" w:hAnsiTheme="minorHAnsi" w:cstheme="minorHAnsi"/>
          <w:szCs w:val="24"/>
          <w:u w:val="single"/>
        </w:rPr>
        <w:t>P.368</w:t>
      </w:r>
      <w:proofErr w:type="spellEnd"/>
      <w:r w:rsidR="009A1F18" w:rsidRPr="009A1F18">
        <w:rPr>
          <w:rFonts w:asciiTheme="minorHAnsi" w:hAnsiTheme="minorHAnsi" w:cstheme="minorHAnsi"/>
          <w:szCs w:val="24"/>
          <w:u w:val="single"/>
        </w:rPr>
        <w:t>-9</w:t>
      </w:r>
      <w:r w:rsidRPr="00290670">
        <w:rPr>
          <w:bCs/>
          <w:sz w:val="30"/>
          <w:szCs w:val="30"/>
          <w:rtl/>
        </w:rPr>
        <w:tab/>
      </w:r>
      <w:r w:rsidRPr="004C7DFE">
        <w:rPr>
          <w:rFonts w:hint="cs"/>
          <w:rtl/>
          <w:lang w:bidi="ar-EG"/>
        </w:rPr>
        <w:t xml:space="preserve">الوثيقة </w:t>
      </w:r>
      <w:r>
        <w:rPr>
          <w:bCs/>
        </w:rPr>
        <w:t>3</w:t>
      </w:r>
      <w:r w:rsidRPr="004C7DFE">
        <w:rPr>
          <w:bCs/>
        </w:rPr>
        <w:t>/</w:t>
      </w:r>
      <w:r>
        <w:rPr>
          <w:bCs/>
        </w:rPr>
        <w:t>70</w:t>
      </w:r>
    </w:p>
    <w:p w14:paraId="7F75790A" w14:textId="78DB5247" w:rsidR="0070381F" w:rsidRPr="009A1F18" w:rsidRDefault="00065054" w:rsidP="0070381F">
      <w:pPr>
        <w:pStyle w:val="Rectitle"/>
        <w:spacing w:before="240" w:after="240"/>
        <w:rPr>
          <w:rtl/>
          <w:lang w:bidi="ar-EG"/>
        </w:rPr>
      </w:pPr>
      <w:r>
        <w:rPr>
          <w:rFonts w:hint="cs"/>
          <w:color w:val="000000"/>
          <w:rtl/>
        </w:rPr>
        <w:t>طريقة التنبؤ با</w:t>
      </w:r>
      <w:r w:rsidR="0070381F" w:rsidRPr="009A1F18">
        <w:rPr>
          <w:color w:val="000000"/>
          <w:rtl/>
        </w:rPr>
        <w:t>نتشار الموج</w:t>
      </w:r>
      <w:r>
        <w:rPr>
          <w:rFonts w:hint="cs"/>
          <w:color w:val="000000"/>
          <w:rtl/>
        </w:rPr>
        <w:t>ات</w:t>
      </w:r>
      <w:r w:rsidR="0070381F" w:rsidRPr="009A1F18">
        <w:rPr>
          <w:color w:val="000000"/>
          <w:rtl/>
        </w:rPr>
        <w:t xml:space="preserve"> الأرضية للترددات ما بين</w:t>
      </w:r>
      <w:r w:rsidR="0070381F" w:rsidRPr="009A1F18">
        <w:rPr>
          <w:color w:val="000000"/>
        </w:rPr>
        <w:t xml:space="preserve"> kHz 10 </w:t>
      </w:r>
      <w:r w:rsidR="0070381F" w:rsidRPr="009A1F18">
        <w:rPr>
          <w:color w:val="000000"/>
          <w:rtl/>
        </w:rPr>
        <w:t>و</w:t>
      </w:r>
      <w:r w:rsidR="0070381F" w:rsidRPr="009A1F18">
        <w:rPr>
          <w:color w:val="000000"/>
        </w:rPr>
        <w:t>MHz 30</w:t>
      </w:r>
    </w:p>
    <w:p w14:paraId="28617208" w14:textId="77777777" w:rsidR="002D4E67" w:rsidRPr="002D4E67" w:rsidRDefault="002D4E67" w:rsidP="002D4E67">
      <w:pPr>
        <w:rPr>
          <w:rtl/>
          <w:lang w:bidi="ar-EG"/>
        </w:rPr>
      </w:pPr>
      <w:r w:rsidRPr="002D4E67">
        <w:rPr>
          <w:rFonts w:hint="cs"/>
          <w:rtl/>
        </w:rPr>
        <w:t>يتضمن مشروع مراجعة هذه التوصية التعديلات التالية:</w:t>
      </w:r>
    </w:p>
    <w:p w14:paraId="2A04711D" w14:textId="145C6181" w:rsidR="0070381F" w:rsidRPr="007C146B" w:rsidRDefault="0070381F" w:rsidP="0070381F">
      <w:pPr>
        <w:pStyle w:val="enumlev1"/>
        <w:rPr>
          <w:spacing w:val="-2"/>
          <w:rtl/>
          <w:lang w:bidi="ar-EG"/>
        </w:rPr>
      </w:pPr>
      <w:r w:rsidRPr="007C146B">
        <w:rPr>
          <w:spacing w:val="-2"/>
        </w:rPr>
        <w:t>-</w:t>
      </w:r>
      <w:r w:rsidRPr="007C146B">
        <w:rPr>
          <w:spacing w:val="-2"/>
        </w:rPr>
        <w:tab/>
      </w:r>
      <w:r w:rsidR="00065054" w:rsidRPr="007C146B">
        <w:rPr>
          <w:rFonts w:hint="cs"/>
          <w:spacing w:val="-2"/>
          <w:rtl/>
        </w:rPr>
        <w:t>تقديم التطبيق "</w:t>
      </w:r>
      <w:proofErr w:type="spellStart"/>
      <w:r w:rsidR="00065054" w:rsidRPr="007C146B">
        <w:rPr>
          <w:spacing w:val="-2"/>
        </w:rPr>
        <w:t>LFMF-SmoothEarth</w:t>
      </w:r>
      <w:proofErr w:type="spellEnd"/>
      <w:r w:rsidR="00065054" w:rsidRPr="007C146B">
        <w:rPr>
          <w:rFonts w:hint="cs"/>
          <w:spacing w:val="-2"/>
          <w:rtl/>
        </w:rPr>
        <w:t xml:space="preserve">" كطريقة متكاملة لتحل محل طريقة </w:t>
      </w:r>
      <w:r w:rsidR="00815085" w:rsidRPr="007C146B">
        <w:rPr>
          <w:rFonts w:hint="cs"/>
          <w:spacing w:val="-2"/>
          <w:rtl/>
        </w:rPr>
        <w:t>الاستكمال الداخلي</w:t>
      </w:r>
      <w:r w:rsidR="00065054" w:rsidRPr="007C146B">
        <w:rPr>
          <w:rFonts w:hint="cs"/>
          <w:spacing w:val="-2"/>
          <w:rtl/>
        </w:rPr>
        <w:t xml:space="preserve"> لتوليد القيمة المطلوبة لشدة</w:t>
      </w:r>
      <w:r w:rsidR="007C146B">
        <w:rPr>
          <w:rFonts w:hint="eastAsia"/>
          <w:spacing w:val="-2"/>
          <w:rtl/>
        </w:rPr>
        <w:t> </w:t>
      </w:r>
      <w:proofErr w:type="gramStart"/>
      <w:r w:rsidR="00065054" w:rsidRPr="007C146B">
        <w:rPr>
          <w:rFonts w:hint="cs"/>
          <w:spacing w:val="-2"/>
          <w:rtl/>
        </w:rPr>
        <w:t>المجال؛</w:t>
      </w:r>
      <w:proofErr w:type="gramEnd"/>
    </w:p>
    <w:p w14:paraId="0774411A" w14:textId="5F872837" w:rsidR="0070381F" w:rsidRDefault="0070381F" w:rsidP="0070381F">
      <w:pPr>
        <w:pStyle w:val="enumlev1"/>
        <w:rPr>
          <w:rtl/>
        </w:rPr>
      </w:pPr>
      <w:r>
        <w:t>-</w:t>
      </w:r>
      <w:r>
        <w:tab/>
      </w:r>
      <w:r w:rsidR="002C2C46">
        <w:rPr>
          <w:rFonts w:hint="cs"/>
          <w:rtl/>
          <w:lang w:bidi="ar-SA"/>
        </w:rPr>
        <w:t>الاستعاضة عن</w:t>
      </w:r>
      <w:r w:rsidR="00815085">
        <w:rPr>
          <w:rFonts w:hint="cs"/>
          <w:rtl/>
          <w:lang w:bidi="ar-SA"/>
        </w:rPr>
        <w:t xml:space="preserve"> البرنامج </w:t>
      </w:r>
      <w:r w:rsidR="00815085">
        <w:rPr>
          <w:rFonts w:hint="cs"/>
          <w:rtl/>
        </w:rPr>
        <w:t>"</w:t>
      </w:r>
      <w:proofErr w:type="spellStart"/>
      <w:r w:rsidR="00815085">
        <w:rPr>
          <w:color w:val="000000"/>
        </w:rPr>
        <w:t>GRWAVE</w:t>
      </w:r>
      <w:proofErr w:type="spellEnd"/>
      <w:r w:rsidR="00815085">
        <w:rPr>
          <w:rFonts w:hint="cs"/>
          <w:rtl/>
        </w:rPr>
        <w:t>" بالتطبيق "</w:t>
      </w:r>
      <w:proofErr w:type="spellStart"/>
      <w:r w:rsidR="00815085" w:rsidRPr="004D25D7">
        <w:t>LFMF-SmoothEarth</w:t>
      </w:r>
      <w:proofErr w:type="spellEnd"/>
      <w:proofErr w:type="gramStart"/>
      <w:r w:rsidR="007C146B">
        <w:rPr>
          <w:rFonts w:hint="cs"/>
          <w:rtl/>
        </w:rPr>
        <w:t>"</w:t>
      </w:r>
      <w:r w:rsidR="00815085">
        <w:rPr>
          <w:rFonts w:hint="cs"/>
          <w:rtl/>
        </w:rPr>
        <w:t>؛</w:t>
      </w:r>
      <w:proofErr w:type="gramEnd"/>
    </w:p>
    <w:p w14:paraId="11F23493" w14:textId="7C2F783D" w:rsidR="0070381F" w:rsidRPr="007C146B" w:rsidRDefault="0070381F" w:rsidP="0070381F">
      <w:pPr>
        <w:pStyle w:val="enumlev1"/>
        <w:rPr>
          <w:spacing w:val="-4"/>
          <w:rtl/>
          <w:lang w:val="en-GB" w:bidi="ar-SA"/>
        </w:rPr>
      </w:pPr>
      <w:r w:rsidRPr="007C146B">
        <w:rPr>
          <w:spacing w:val="-4"/>
        </w:rPr>
        <w:t>-</w:t>
      </w:r>
      <w:r w:rsidRPr="007C146B">
        <w:rPr>
          <w:spacing w:val="-4"/>
        </w:rPr>
        <w:tab/>
      </w:r>
      <w:r w:rsidR="00815085" w:rsidRPr="007C146B">
        <w:rPr>
          <w:rFonts w:hint="cs"/>
          <w:spacing w:val="-4"/>
          <w:rtl/>
        </w:rPr>
        <w:t xml:space="preserve">نقل منحنيات شدة المجال (الأشكال </w:t>
      </w:r>
      <w:r w:rsidR="00815085" w:rsidRPr="007C146B">
        <w:rPr>
          <w:spacing w:val="-4"/>
          <w:lang w:val="en-GB"/>
        </w:rPr>
        <w:t>1</w:t>
      </w:r>
      <w:r w:rsidR="00815085" w:rsidRPr="007C146B">
        <w:rPr>
          <w:rFonts w:hint="cs"/>
          <w:spacing w:val="-4"/>
          <w:rtl/>
          <w:lang w:val="en-GB" w:bidi="ar-SA"/>
        </w:rPr>
        <w:t xml:space="preserve"> </w:t>
      </w:r>
      <w:r w:rsidR="00815085" w:rsidRPr="007C146B">
        <w:rPr>
          <w:spacing w:val="-4"/>
          <w:rtl/>
          <w:lang w:val="en-GB" w:bidi="ar-SA"/>
        </w:rPr>
        <w:t>–</w:t>
      </w:r>
      <w:r w:rsidR="00815085" w:rsidRPr="007C146B">
        <w:rPr>
          <w:rFonts w:hint="cs"/>
          <w:spacing w:val="-4"/>
          <w:rtl/>
          <w:lang w:val="en-GB" w:bidi="ar-SA"/>
        </w:rPr>
        <w:t xml:space="preserve"> </w:t>
      </w:r>
      <w:r w:rsidR="00815085" w:rsidRPr="007C146B">
        <w:rPr>
          <w:spacing w:val="-4"/>
          <w:lang w:val="en-GB" w:bidi="ar-SA"/>
        </w:rPr>
        <w:t>12</w:t>
      </w:r>
      <w:r w:rsidR="00815085" w:rsidRPr="007C146B">
        <w:rPr>
          <w:rFonts w:hint="cs"/>
          <w:spacing w:val="-4"/>
          <w:rtl/>
          <w:lang w:val="en-GB" w:bidi="ar-SA"/>
        </w:rPr>
        <w:t xml:space="preserve">، والأشكال </w:t>
      </w:r>
      <w:r w:rsidR="00815085" w:rsidRPr="007C146B">
        <w:rPr>
          <w:spacing w:val="-4"/>
          <w:lang w:val="en-GB" w:bidi="ar-SA"/>
        </w:rPr>
        <w:t>14</w:t>
      </w:r>
      <w:r w:rsidR="00815085" w:rsidRPr="007C146B">
        <w:rPr>
          <w:rFonts w:hint="cs"/>
          <w:spacing w:val="-4"/>
          <w:rtl/>
          <w:lang w:val="en-GB" w:bidi="ar-SA"/>
        </w:rPr>
        <w:t xml:space="preserve"> </w:t>
      </w:r>
      <w:r w:rsidR="00815085" w:rsidRPr="007C146B">
        <w:rPr>
          <w:spacing w:val="-4"/>
          <w:rtl/>
          <w:lang w:val="en-GB" w:bidi="ar-SA"/>
        </w:rPr>
        <w:t>–</w:t>
      </w:r>
      <w:r w:rsidR="00815085" w:rsidRPr="007C146B">
        <w:rPr>
          <w:rFonts w:hint="cs"/>
          <w:spacing w:val="-4"/>
          <w:rtl/>
          <w:lang w:val="en-GB" w:bidi="ar-SA"/>
        </w:rPr>
        <w:t xml:space="preserve"> </w:t>
      </w:r>
      <w:r w:rsidR="00815085" w:rsidRPr="007C146B">
        <w:rPr>
          <w:spacing w:val="-4"/>
          <w:lang w:val="en-GB" w:bidi="ar-SA"/>
        </w:rPr>
        <w:t>50</w:t>
      </w:r>
      <w:r w:rsidR="00815085" w:rsidRPr="007C146B">
        <w:rPr>
          <w:rFonts w:hint="cs"/>
          <w:spacing w:val="-4"/>
          <w:rtl/>
          <w:lang w:val="en-GB" w:bidi="ar-SA"/>
        </w:rPr>
        <w:t>) إلى مستودع تكميلي، والاستعاضة عنها بأمثلة الأشكال.</w:t>
      </w:r>
    </w:p>
    <w:p w14:paraId="4BC0F246" w14:textId="522A57F9" w:rsidR="00686585" w:rsidRDefault="00815085" w:rsidP="00686585">
      <w:r>
        <w:rPr>
          <w:rFonts w:hint="cs"/>
          <w:rtl/>
        </w:rPr>
        <w:t xml:space="preserve">وتحل المراجعة المقترحة في الوثيقة </w:t>
      </w:r>
      <w:r w:rsidR="00246C3F">
        <w:rPr>
          <w:rFonts w:hint="cs"/>
          <w:rtl/>
        </w:rPr>
        <w:t>محل التوصية بأكملها.</w:t>
      </w:r>
    </w:p>
    <w:p w14:paraId="13D7B2BD" w14:textId="5451BA22" w:rsidR="0070381F" w:rsidRPr="00E6347A" w:rsidRDefault="0070381F" w:rsidP="009A1F18">
      <w:pPr>
        <w:tabs>
          <w:tab w:val="left" w:pos="8505"/>
        </w:tabs>
        <w:spacing w:before="360"/>
        <w:rPr>
          <w:rtl/>
          <w:lang w:bidi="ar-EG"/>
        </w:rPr>
      </w:pPr>
      <w:r w:rsidRPr="0037323D">
        <w:rPr>
          <w:rFonts w:hint="cs"/>
          <w:u w:val="single"/>
          <w:rtl/>
        </w:rPr>
        <w:t>مشروع مراج</w:t>
      </w:r>
      <w:r>
        <w:rPr>
          <w:rFonts w:hint="cs"/>
          <w:u w:val="single"/>
          <w:rtl/>
        </w:rPr>
        <w:t>َ</w:t>
      </w:r>
      <w:r w:rsidRPr="0037323D">
        <w:rPr>
          <w:rFonts w:hint="cs"/>
          <w:u w:val="single"/>
          <w:rtl/>
        </w:rPr>
        <w:t xml:space="preserve">عة التوصية </w:t>
      </w:r>
      <w:r w:rsidR="009A1F18" w:rsidRPr="009A1F18">
        <w:rPr>
          <w:bCs/>
          <w:u w:val="single"/>
        </w:rPr>
        <w:t xml:space="preserve">ITU-R </w:t>
      </w:r>
      <w:proofErr w:type="spellStart"/>
      <w:r w:rsidR="009A1F18" w:rsidRPr="009A1F18">
        <w:rPr>
          <w:bCs/>
          <w:u w:val="single"/>
        </w:rPr>
        <w:t>P.372</w:t>
      </w:r>
      <w:proofErr w:type="spellEnd"/>
      <w:r w:rsidR="009A1F18" w:rsidRPr="009A1F18">
        <w:rPr>
          <w:bCs/>
          <w:u w:val="single"/>
        </w:rPr>
        <w:t>-15</w:t>
      </w:r>
      <w:r>
        <w:rPr>
          <w:rtl/>
          <w:lang w:bidi="ar-EG"/>
        </w:rPr>
        <w:tab/>
      </w:r>
      <w:r w:rsidRPr="004C7DFE">
        <w:rPr>
          <w:rFonts w:hint="cs"/>
          <w:rtl/>
          <w:lang w:bidi="ar-EG"/>
        </w:rPr>
        <w:t>الوثيقة</w:t>
      </w:r>
      <w:r>
        <w:rPr>
          <w:rFonts w:hint="cs"/>
          <w:rtl/>
          <w:lang w:bidi="ar-EG"/>
        </w:rPr>
        <w:t xml:space="preserve"> </w:t>
      </w:r>
      <w:r>
        <w:rPr>
          <w:bCs/>
        </w:rPr>
        <w:t>3</w:t>
      </w:r>
      <w:r w:rsidRPr="004C7DFE">
        <w:rPr>
          <w:bCs/>
        </w:rPr>
        <w:t>/</w:t>
      </w:r>
      <w:r>
        <w:rPr>
          <w:bCs/>
        </w:rPr>
        <w:t>7</w:t>
      </w:r>
      <w:r w:rsidR="009A1F18">
        <w:rPr>
          <w:bCs/>
        </w:rPr>
        <w:t>2</w:t>
      </w:r>
    </w:p>
    <w:p w14:paraId="54F0AD23" w14:textId="77777777" w:rsidR="0070381F" w:rsidRDefault="0070381F" w:rsidP="0070381F">
      <w:pPr>
        <w:pStyle w:val="Rectitle"/>
        <w:spacing w:before="240" w:after="240"/>
        <w:rPr>
          <w:rtl/>
          <w:lang w:bidi="ar-EG"/>
        </w:rPr>
      </w:pPr>
      <w:bookmarkStart w:id="0" w:name="_Toc490472179"/>
      <w:r w:rsidRPr="00290670">
        <w:rPr>
          <w:rFonts w:hint="cs"/>
          <w:rtl/>
          <w:lang w:bidi="ar-EG"/>
        </w:rPr>
        <w:t>الضوضاء الراديوية</w:t>
      </w:r>
      <w:bookmarkEnd w:id="0"/>
    </w:p>
    <w:p w14:paraId="3D607399" w14:textId="77777777" w:rsidR="002D4E67" w:rsidRPr="002D4E67" w:rsidRDefault="002D4E67" w:rsidP="002D4E67">
      <w:pPr>
        <w:rPr>
          <w:rtl/>
          <w:lang w:bidi="ar-EG"/>
        </w:rPr>
      </w:pPr>
      <w:r w:rsidRPr="002D4E67">
        <w:rPr>
          <w:rFonts w:hint="cs"/>
          <w:rtl/>
        </w:rPr>
        <w:t>يتضمن مشروع مراجعة هذه التوصية التعديلات التالية:</w:t>
      </w:r>
    </w:p>
    <w:p w14:paraId="16F523BB" w14:textId="6AD7C4A5" w:rsidR="0070381F" w:rsidRDefault="0070381F" w:rsidP="0070381F">
      <w:pPr>
        <w:pStyle w:val="enumlev1"/>
      </w:pPr>
      <w:r w:rsidRPr="00290670">
        <w:t>-</w:t>
      </w:r>
      <w:r w:rsidRPr="00290670">
        <w:tab/>
      </w:r>
      <w:r w:rsidR="00246C3F">
        <w:rPr>
          <w:rFonts w:hint="cs"/>
          <w:rtl/>
          <w:lang w:bidi="ar-SA"/>
        </w:rPr>
        <w:t xml:space="preserve">عُدلت عناوين الأشكار </w:t>
      </w:r>
      <w:r w:rsidR="00246C3F">
        <w:rPr>
          <w:lang w:val="en-GB" w:bidi="ar-SA"/>
        </w:rPr>
        <w:t>13</w:t>
      </w:r>
      <w:r w:rsidR="00246C3F">
        <w:rPr>
          <w:rFonts w:hint="cs"/>
          <w:rtl/>
        </w:rPr>
        <w:t xml:space="preserve">ب </w:t>
      </w:r>
      <w:r w:rsidR="00246C3F">
        <w:rPr>
          <w:rtl/>
        </w:rPr>
        <w:t>–</w:t>
      </w:r>
      <w:r w:rsidR="00246C3F">
        <w:rPr>
          <w:rFonts w:hint="cs"/>
          <w:rtl/>
        </w:rPr>
        <w:t xml:space="preserve"> </w:t>
      </w:r>
      <w:r w:rsidR="00246C3F">
        <w:rPr>
          <w:lang w:val="en-GB"/>
        </w:rPr>
        <w:t>36</w:t>
      </w:r>
      <w:r w:rsidR="00246C3F">
        <w:rPr>
          <w:rFonts w:hint="cs"/>
          <w:rtl/>
        </w:rPr>
        <w:t>ب و</w:t>
      </w:r>
      <w:r w:rsidR="00246C3F">
        <w:rPr>
          <w:lang w:val="en-GB"/>
        </w:rPr>
        <w:t>13</w:t>
      </w:r>
      <w:r w:rsidR="00246C3F">
        <w:rPr>
          <w:rFonts w:hint="cs"/>
          <w:rtl/>
        </w:rPr>
        <w:t xml:space="preserve">ج </w:t>
      </w:r>
      <w:r w:rsidR="00246C3F">
        <w:rPr>
          <w:rtl/>
        </w:rPr>
        <w:t>–</w:t>
      </w:r>
      <w:r w:rsidR="00246C3F">
        <w:rPr>
          <w:rFonts w:hint="cs"/>
          <w:rtl/>
        </w:rPr>
        <w:t xml:space="preserve"> </w:t>
      </w:r>
      <w:r w:rsidR="00246C3F">
        <w:rPr>
          <w:lang w:val="en-GB"/>
        </w:rPr>
        <w:t>36</w:t>
      </w:r>
      <w:r w:rsidR="00246C3F">
        <w:rPr>
          <w:rFonts w:hint="cs"/>
          <w:rtl/>
        </w:rPr>
        <w:t>ج على النحو التالي:</w:t>
      </w:r>
    </w:p>
    <w:p w14:paraId="182B8449" w14:textId="28E95EB9" w:rsidR="0087383D" w:rsidRPr="00D94E9C" w:rsidRDefault="00EB2B67" w:rsidP="001A2AB1">
      <w:pPr>
        <w:pStyle w:val="enumlev2"/>
        <w:rPr>
          <w:rtl/>
        </w:rPr>
      </w:pPr>
      <w:r w:rsidRPr="003F3F59">
        <w:rPr>
          <w:rFonts w:eastAsia="SimSun"/>
          <w:position w:val="2"/>
          <w:lang w:eastAsia="en-US" w:bidi="ar-EG"/>
        </w:rPr>
        <w:sym w:font="Symbol" w:char="F0B7"/>
      </w:r>
      <w:r w:rsidR="0070381F">
        <w:tab/>
      </w:r>
      <w:r w:rsidR="00D94E9C">
        <w:rPr>
          <w:rFonts w:hint="cs"/>
          <w:rtl/>
          <w:lang w:bidi="ar-EG"/>
        </w:rPr>
        <w:t xml:space="preserve">إذا كان العنوان يحتوي على "ديسمبر-يناير-فبراير"، </w:t>
      </w:r>
      <w:r w:rsidR="00A67F4E">
        <w:rPr>
          <w:rFonts w:hint="cs"/>
          <w:rtl/>
        </w:rPr>
        <w:t xml:space="preserve">يُغيّر </w:t>
      </w:r>
      <w:r w:rsidR="00D94E9C">
        <w:rPr>
          <w:rFonts w:hint="cs"/>
          <w:rtl/>
          <w:lang w:bidi="ar-EG"/>
        </w:rPr>
        <w:t xml:space="preserve">"ديسمبر-يناير-فبراير" </w:t>
      </w:r>
      <w:r w:rsidR="00864513" w:rsidRPr="00864513">
        <w:rPr>
          <w:rFonts w:hint="cs"/>
        </w:rPr>
        <w:sym w:font="Wingdings" w:char="F0DF"/>
      </w:r>
      <w:r w:rsidR="00D94E9C">
        <w:rPr>
          <w:rFonts w:hint="cs"/>
          <w:rtl/>
          <w:lang w:bidi="ar-EG"/>
        </w:rPr>
        <w:t xml:space="preserve"> </w:t>
      </w:r>
      <w:r w:rsidR="00D94E9C">
        <w:rPr>
          <w:rFonts w:hint="cs"/>
          <w:rtl/>
        </w:rPr>
        <w:t>"نصف الكرة الشمالي: ديسمبر-يناير-فبراير؛ نصف الكرة الجنوبي: يناير-يوليو-أغسطس"</w:t>
      </w:r>
    </w:p>
    <w:p w14:paraId="0CF89356" w14:textId="44141201" w:rsidR="001A2AB1" w:rsidRDefault="0087383D" w:rsidP="001A2AB1">
      <w:pPr>
        <w:pStyle w:val="enumlev2"/>
      </w:pPr>
      <w:r w:rsidRPr="003F3F59">
        <w:rPr>
          <w:rFonts w:eastAsia="SimSun"/>
          <w:position w:val="2"/>
          <w:lang w:eastAsia="en-US" w:bidi="ar-EG"/>
        </w:rPr>
        <w:sym w:font="Symbol" w:char="F0B7"/>
      </w:r>
      <w:r>
        <w:tab/>
      </w:r>
      <w:r w:rsidR="001A2AB1">
        <w:rPr>
          <w:rFonts w:hint="cs"/>
          <w:rtl/>
        </w:rPr>
        <w:t>إذا كان العنوان يحتوي على "مارس-</w:t>
      </w:r>
      <w:r w:rsidR="00C00291">
        <w:rPr>
          <w:rFonts w:hint="cs"/>
          <w:rtl/>
        </w:rPr>
        <w:t>أبريل</w:t>
      </w:r>
      <w:r w:rsidR="001A2AB1">
        <w:rPr>
          <w:rFonts w:hint="cs"/>
          <w:rtl/>
        </w:rPr>
        <w:t>-</w:t>
      </w:r>
      <w:r w:rsidR="00C00291">
        <w:rPr>
          <w:rFonts w:hint="cs"/>
          <w:rtl/>
        </w:rPr>
        <w:t>مايو</w:t>
      </w:r>
      <w:r w:rsidR="001A2AB1">
        <w:rPr>
          <w:rFonts w:hint="cs"/>
          <w:rtl/>
        </w:rPr>
        <w:t xml:space="preserve">"، يُغيّر </w:t>
      </w:r>
      <w:r w:rsidR="00C00291">
        <w:rPr>
          <w:rFonts w:hint="cs"/>
          <w:rtl/>
        </w:rPr>
        <w:t xml:space="preserve">"مارس-أبريل-مايو" </w:t>
      </w:r>
      <w:r w:rsidR="00864513" w:rsidRPr="00864513">
        <w:rPr>
          <w:rFonts w:hint="cs"/>
        </w:rPr>
        <w:sym w:font="Wingdings" w:char="F0DF"/>
      </w:r>
      <w:r w:rsidR="001A2AB1">
        <w:rPr>
          <w:rFonts w:hint="cs"/>
          <w:rtl/>
        </w:rPr>
        <w:t xml:space="preserve"> "نصف الكرة الشمالي: </w:t>
      </w:r>
      <w:r w:rsidR="00C00291">
        <w:rPr>
          <w:rFonts w:hint="cs"/>
          <w:rtl/>
        </w:rPr>
        <w:t>مارس-أبريل-مايو</w:t>
      </w:r>
      <w:r w:rsidR="001A2AB1">
        <w:rPr>
          <w:rFonts w:hint="cs"/>
          <w:rtl/>
        </w:rPr>
        <w:t xml:space="preserve">؛ نصف الكرة الجنوبي: </w:t>
      </w:r>
      <w:r w:rsidR="00C00291">
        <w:rPr>
          <w:rFonts w:hint="cs"/>
          <w:rtl/>
        </w:rPr>
        <w:t>سبتمبر-أكتوبر-نوفمبر</w:t>
      </w:r>
      <w:r w:rsidR="001A2AB1">
        <w:rPr>
          <w:rFonts w:hint="cs"/>
          <w:rtl/>
        </w:rPr>
        <w:t xml:space="preserve">" </w:t>
      </w:r>
    </w:p>
    <w:p w14:paraId="0C584527" w14:textId="187AC6F1" w:rsidR="0070381F" w:rsidRDefault="00EB2B67" w:rsidP="0070381F">
      <w:pPr>
        <w:pStyle w:val="enumlev2"/>
        <w:rPr>
          <w:rtl/>
        </w:rPr>
      </w:pPr>
      <w:r w:rsidRPr="003F3F59">
        <w:rPr>
          <w:rFonts w:eastAsia="SimSun"/>
          <w:position w:val="2"/>
          <w:lang w:eastAsia="en-US" w:bidi="ar-EG"/>
        </w:rPr>
        <w:sym w:font="Symbol" w:char="F0B7"/>
      </w:r>
      <w:r w:rsidR="0070381F">
        <w:tab/>
      </w:r>
      <w:r w:rsidR="009C6A8D">
        <w:rPr>
          <w:rFonts w:hint="cs"/>
          <w:rtl/>
        </w:rPr>
        <w:t>إذا كان العنوان يحتوي على "يونيو-يوليو-أغسطس"، يُغيّر "</w:t>
      </w:r>
      <w:r w:rsidR="00AC2052">
        <w:rPr>
          <w:rFonts w:hint="cs"/>
          <w:rtl/>
        </w:rPr>
        <w:t>يونيو-يوليو-أغسطس</w:t>
      </w:r>
      <w:r w:rsidR="009C6A8D">
        <w:rPr>
          <w:rFonts w:hint="cs"/>
          <w:rtl/>
        </w:rPr>
        <w:t xml:space="preserve">" </w:t>
      </w:r>
      <w:r w:rsidR="00864513" w:rsidRPr="00864513">
        <w:rPr>
          <w:rFonts w:hint="cs"/>
        </w:rPr>
        <w:sym w:font="Wingdings" w:char="F0DF"/>
      </w:r>
      <w:r w:rsidR="009C6A8D">
        <w:rPr>
          <w:rFonts w:hint="cs"/>
          <w:rtl/>
        </w:rPr>
        <w:t xml:space="preserve"> "نصف الكرة الشمالي: </w:t>
      </w:r>
      <w:r w:rsidR="00AC2052">
        <w:rPr>
          <w:rFonts w:hint="cs"/>
          <w:rtl/>
        </w:rPr>
        <w:t>يونيو-يوليو-أغسطس</w:t>
      </w:r>
      <w:r w:rsidR="009C6A8D">
        <w:rPr>
          <w:rFonts w:hint="cs"/>
          <w:rtl/>
        </w:rPr>
        <w:t>؛ نصف الكرة الجنوبي: ديسمبر-يناير-فبراير"</w:t>
      </w:r>
    </w:p>
    <w:p w14:paraId="1E394582" w14:textId="035B95F0" w:rsidR="00686585" w:rsidRDefault="00EB2B67" w:rsidP="00686585">
      <w:pPr>
        <w:pStyle w:val="enumlev2"/>
      </w:pPr>
      <w:r w:rsidRPr="003F3F59">
        <w:rPr>
          <w:rFonts w:eastAsia="SimSun"/>
          <w:position w:val="2"/>
          <w:lang w:eastAsia="en-US" w:bidi="ar-EG"/>
        </w:rPr>
        <w:sym w:font="Symbol" w:char="F0B7"/>
      </w:r>
      <w:r w:rsidR="00686585">
        <w:tab/>
      </w:r>
      <w:r w:rsidR="009C6A8D">
        <w:rPr>
          <w:rFonts w:hint="cs"/>
          <w:rtl/>
        </w:rPr>
        <w:t xml:space="preserve">إذا كان العنوان يحتوي على "سبتمبر-أكتوبر-نوفمبر"، يُغيّر "سبتمبر-أكتوبر-نوفمبر" </w:t>
      </w:r>
      <w:r w:rsidR="00864513" w:rsidRPr="00864513">
        <w:rPr>
          <w:rFonts w:hint="cs"/>
        </w:rPr>
        <w:sym w:font="Wingdings" w:char="F0DF"/>
      </w:r>
      <w:r w:rsidR="009C6A8D">
        <w:rPr>
          <w:rFonts w:hint="cs"/>
          <w:rtl/>
        </w:rPr>
        <w:t xml:space="preserve"> "نصف الكرة الشمالي: سبتمبر-أكتوبر-نوفمبر؛ نصف الكرة الجنوبي: مارس-أبريل-مايو"</w:t>
      </w:r>
      <w:r w:rsidR="00785D9F">
        <w:rPr>
          <w:rFonts w:hint="cs"/>
          <w:rtl/>
        </w:rPr>
        <w:t>.</w:t>
      </w:r>
    </w:p>
    <w:p w14:paraId="3161A57D" w14:textId="34D8CA58" w:rsidR="0070381F" w:rsidRPr="00A22F87" w:rsidRDefault="0070381F" w:rsidP="0070381F">
      <w:pPr>
        <w:pStyle w:val="enumlev1"/>
        <w:rPr>
          <w:rtl/>
          <w:lang w:val="en-GB" w:bidi="ar-EG"/>
        </w:rPr>
      </w:pPr>
      <w:r w:rsidRPr="00290670">
        <w:t>-</w:t>
      </w:r>
      <w:r w:rsidRPr="00290670">
        <w:tab/>
      </w:r>
      <w:r w:rsidR="00EF68A6">
        <w:rPr>
          <w:rFonts w:hint="cs"/>
          <w:rtl/>
          <w:lang w:bidi="ar-SA"/>
        </w:rPr>
        <w:t xml:space="preserve">جرى </w:t>
      </w:r>
      <w:r w:rsidR="00A22F87">
        <w:rPr>
          <w:rFonts w:hint="cs"/>
          <w:rtl/>
          <w:lang w:bidi="ar-SA"/>
        </w:rPr>
        <w:t xml:space="preserve">تحديث الأشكال </w:t>
      </w:r>
      <w:r w:rsidR="00A22F87">
        <w:rPr>
          <w:lang w:val="en-GB" w:bidi="ar-SA"/>
        </w:rPr>
        <w:t>13</w:t>
      </w:r>
      <w:r w:rsidR="00A22F87">
        <w:rPr>
          <w:rFonts w:hint="cs"/>
          <w:rtl/>
          <w:lang w:bidi="ar-SA"/>
        </w:rPr>
        <w:t xml:space="preserve">ج </w:t>
      </w:r>
      <w:r w:rsidR="00A22F87">
        <w:rPr>
          <w:rtl/>
          <w:lang w:bidi="ar-SA"/>
        </w:rPr>
        <w:t>–</w:t>
      </w:r>
      <w:r w:rsidR="00A22F87">
        <w:rPr>
          <w:rFonts w:hint="cs"/>
          <w:rtl/>
          <w:lang w:bidi="ar-SA"/>
        </w:rPr>
        <w:t xml:space="preserve"> </w:t>
      </w:r>
      <w:r w:rsidR="00A22F87">
        <w:rPr>
          <w:lang w:val="en-GB" w:bidi="ar-SA"/>
        </w:rPr>
        <w:t>36</w:t>
      </w:r>
      <w:r w:rsidR="00A22F87">
        <w:rPr>
          <w:rFonts w:hint="cs"/>
          <w:rtl/>
          <w:lang w:val="en-GB" w:bidi="ar-SA"/>
        </w:rPr>
        <w:t xml:space="preserve">ج </w:t>
      </w:r>
      <w:r w:rsidR="00AC2052">
        <w:rPr>
          <w:rFonts w:hint="cs"/>
          <w:rtl/>
          <w:lang w:val="en-GB" w:bidi="ar-SA"/>
        </w:rPr>
        <w:t>لتسليط الضوء على</w:t>
      </w:r>
      <w:r w:rsidR="00A22F87">
        <w:rPr>
          <w:rFonts w:hint="cs"/>
          <w:rtl/>
          <w:lang w:val="en-GB" w:bidi="ar-SA"/>
        </w:rPr>
        <w:t xml:space="preserve"> الأخطاء التي تم تصحيحها في البرمجية المستخدمة لإنشاء الرسوم البيانية المعروضة. وتم تصحيح هذا الخطأ في الإصدار </w:t>
      </w:r>
      <w:r w:rsidR="0047346A">
        <w:rPr>
          <w:lang w:val="en-GB" w:bidi="ar-SA"/>
        </w:rPr>
        <w:t>3.14</w:t>
      </w:r>
      <w:r w:rsidR="0047346A">
        <w:rPr>
          <w:rFonts w:hint="cs"/>
          <w:rtl/>
          <w:lang w:val="en-GB" w:bidi="ar-EG"/>
        </w:rPr>
        <w:t>.</w:t>
      </w:r>
    </w:p>
    <w:p w14:paraId="0A16685B" w14:textId="31A6CC6C" w:rsidR="0070381F" w:rsidRPr="00653A60" w:rsidRDefault="0070381F" w:rsidP="00233C1A">
      <w:pPr>
        <w:pStyle w:val="enumlev1"/>
        <w:rPr>
          <w:spacing w:val="-2"/>
          <w:rtl/>
          <w:lang w:val="en-GB" w:bidi="ar-SA"/>
        </w:rPr>
      </w:pPr>
      <w:r w:rsidRPr="00653A60">
        <w:rPr>
          <w:spacing w:val="-2"/>
        </w:rPr>
        <w:lastRenderedPageBreak/>
        <w:t>-</w:t>
      </w:r>
      <w:r w:rsidRPr="00653A60">
        <w:rPr>
          <w:spacing w:val="-2"/>
        </w:rPr>
        <w:tab/>
      </w:r>
      <w:r w:rsidR="0008438C" w:rsidRPr="00653A60">
        <w:rPr>
          <w:rFonts w:hint="cs"/>
          <w:spacing w:val="-2"/>
          <w:rtl/>
        </w:rPr>
        <w:t xml:space="preserve">عُدلت الحاشية في الصفحة </w:t>
      </w:r>
      <w:r w:rsidR="0008438C" w:rsidRPr="00653A60">
        <w:rPr>
          <w:spacing w:val="-2"/>
          <w:lang w:val="en-GB"/>
        </w:rPr>
        <w:t>1</w:t>
      </w:r>
      <w:r w:rsidR="0069120A" w:rsidRPr="00653A60">
        <w:rPr>
          <w:rFonts w:hint="cs"/>
          <w:spacing w:val="-2"/>
          <w:rtl/>
        </w:rPr>
        <w:t xml:space="preserve"> </w:t>
      </w:r>
      <w:r w:rsidR="0008438C" w:rsidRPr="00653A60">
        <w:rPr>
          <w:rFonts w:hint="cs"/>
          <w:spacing w:val="-2"/>
          <w:rtl/>
          <w:lang w:bidi="ar-SA"/>
        </w:rPr>
        <w:t xml:space="preserve">لتصبح كما يلي: </w:t>
      </w:r>
      <w:r w:rsidR="00233C1A" w:rsidRPr="00653A60">
        <w:rPr>
          <w:spacing w:val="-2"/>
          <w:rtl/>
          <w:lang w:bidi="ar-SA"/>
        </w:rPr>
        <w:t>إن البرنامج الحاسوبي</w:t>
      </w:r>
      <w:r w:rsidR="00233C1A" w:rsidRPr="00653A60">
        <w:rPr>
          <w:rFonts w:hint="cs"/>
          <w:spacing w:val="-2"/>
          <w:rtl/>
          <w:lang w:bidi="ar-SA"/>
        </w:rPr>
        <w:t xml:space="preserve"> التكميلي</w:t>
      </w:r>
      <w:r w:rsidR="00233C1A" w:rsidRPr="00653A60">
        <w:rPr>
          <w:spacing w:val="-2"/>
          <w:rtl/>
          <w:lang w:bidi="ar-SA"/>
        </w:rPr>
        <w:t xml:space="preserve"> المصاحب </w:t>
      </w:r>
      <w:r w:rsidR="00233C1A" w:rsidRPr="00653A60">
        <w:rPr>
          <w:rFonts w:hint="cs"/>
          <w:spacing w:val="-2"/>
          <w:rtl/>
          <w:lang w:bidi="ar-SA"/>
        </w:rPr>
        <w:t>لحساب</w:t>
      </w:r>
      <w:r w:rsidR="00233C1A" w:rsidRPr="00653A60">
        <w:rPr>
          <w:spacing w:val="-2"/>
          <w:rtl/>
          <w:lang w:bidi="ar-SA"/>
        </w:rPr>
        <w:t xml:space="preserve"> الضوضاء الجوية التي تعزى إلى البرق وإلى الضوضاء الاصطناعية والمجرية </w:t>
      </w:r>
      <w:r w:rsidR="00233C1A" w:rsidRPr="00653A60">
        <w:rPr>
          <w:rFonts w:hint="cs"/>
          <w:spacing w:val="-2"/>
          <w:rtl/>
          <w:lang w:bidi="ar-SA"/>
        </w:rPr>
        <w:t xml:space="preserve">(عند </w:t>
      </w:r>
      <w:r w:rsidR="00233C1A" w:rsidRPr="00653A60">
        <w:rPr>
          <w:spacing w:val="-2"/>
          <w:rtl/>
          <w:lang w:bidi="ar-SA"/>
        </w:rPr>
        <w:t xml:space="preserve">ترددات أقل من </w:t>
      </w:r>
      <w:r w:rsidR="00233C1A" w:rsidRPr="00653A60">
        <w:rPr>
          <w:spacing w:val="-2"/>
          <w:lang w:bidi="ar-SA"/>
        </w:rPr>
        <w:t>MHz 100</w:t>
      </w:r>
      <w:r w:rsidR="00233C1A" w:rsidRPr="00653A60">
        <w:rPr>
          <w:spacing w:val="-2"/>
          <w:rtl/>
          <w:lang w:bidi="ar-SA"/>
        </w:rPr>
        <w:t xml:space="preserve"> تقريباً</w:t>
      </w:r>
      <w:r w:rsidR="00233C1A" w:rsidRPr="00653A60">
        <w:rPr>
          <w:rFonts w:hint="cs"/>
          <w:spacing w:val="-2"/>
          <w:rtl/>
          <w:lang w:bidi="ar-SA"/>
        </w:rPr>
        <w:t>)</w:t>
      </w:r>
      <w:r w:rsidR="00233C1A" w:rsidRPr="00653A60">
        <w:rPr>
          <w:spacing w:val="-2"/>
          <w:rtl/>
          <w:lang w:bidi="ar-SA"/>
        </w:rPr>
        <w:t xml:space="preserve"> والموصوفة في</w:t>
      </w:r>
      <w:r w:rsidR="00A44F8C" w:rsidRPr="00653A60">
        <w:rPr>
          <w:rFonts w:hint="cs"/>
          <w:spacing w:val="-2"/>
          <w:rtl/>
          <w:lang w:bidi="ar-SA"/>
        </w:rPr>
        <w:t> </w:t>
      </w:r>
      <w:r w:rsidR="00233C1A" w:rsidRPr="00653A60">
        <w:rPr>
          <w:spacing w:val="-2"/>
          <w:rtl/>
          <w:lang w:bidi="ar-SA"/>
        </w:rPr>
        <w:t>هذه التوصية، متوفر</w:t>
      </w:r>
      <w:r w:rsidR="00233C1A" w:rsidRPr="00653A60">
        <w:rPr>
          <w:rFonts w:hint="cs"/>
          <w:spacing w:val="-2"/>
          <w:rtl/>
          <w:lang w:bidi="ar-SA"/>
        </w:rPr>
        <w:t xml:space="preserve"> </w:t>
      </w:r>
      <w:r w:rsidR="00233C1A" w:rsidRPr="00653A60">
        <w:rPr>
          <w:rFonts w:hint="cs"/>
          <w:spacing w:val="-2"/>
          <w:rtl/>
          <w:lang w:bidi="ar-EG"/>
        </w:rPr>
        <w:t>في</w:t>
      </w:r>
      <w:r w:rsidR="00233C1A" w:rsidRPr="00653A60">
        <w:rPr>
          <w:rFonts w:hint="cs"/>
          <w:spacing w:val="-2"/>
          <w:rtl/>
          <w:lang w:val="en-GB" w:bidi="ar-SA"/>
        </w:rPr>
        <w:t xml:space="preserve">: </w:t>
      </w:r>
      <w:r w:rsidR="001C453F">
        <w:fldChar w:fldCharType="begin"/>
      </w:r>
      <w:r w:rsidR="001C453F">
        <w:instrText>HYPERLINK "https://github.com/ITU-R-Study-Group-3/ITU-R-HF/releases/tag/v14.3"</w:instrText>
      </w:r>
      <w:r w:rsidR="001C453F">
        <w:fldChar w:fldCharType="separate"/>
      </w:r>
      <w:r w:rsidR="00A44F8C" w:rsidRPr="00653A60">
        <w:rPr>
          <w:rStyle w:val="Hyperlink"/>
          <w:spacing w:val="-2"/>
        </w:rPr>
        <w:t>https://github.com/ITU-R-Study-Group-3/ITU-R-HF/releases/tag/v14.3</w:t>
      </w:r>
      <w:r w:rsidR="001C453F">
        <w:rPr>
          <w:rStyle w:val="Hyperlink"/>
          <w:spacing w:val="-2"/>
        </w:rPr>
        <w:fldChar w:fldCharType="end"/>
      </w:r>
      <w:r w:rsidR="00233C1A" w:rsidRPr="00653A60">
        <w:rPr>
          <w:rFonts w:hint="cs"/>
          <w:spacing w:val="-2"/>
          <w:rtl/>
          <w:lang w:val="en-GB" w:bidi="ar-SA"/>
        </w:rPr>
        <w:t xml:space="preserve"> (هذا</w:t>
      </w:r>
      <w:r w:rsidR="00323D90" w:rsidRPr="00653A60">
        <w:rPr>
          <w:rFonts w:hint="eastAsia"/>
          <w:spacing w:val="-2"/>
          <w:rtl/>
          <w:lang w:val="en-GB" w:bidi="ar-SA"/>
        </w:rPr>
        <w:t> </w:t>
      </w:r>
      <w:r w:rsidR="00233C1A" w:rsidRPr="00653A60">
        <w:rPr>
          <w:rFonts w:hint="cs"/>
          <w:spacing w:val="-2"/>
          <w:rtl/>
          <w:lang w:val="en-GB" w:bidi="ar-SA"/>
        </w:rPr>
        <w:t xml:space="preserve">الرابط غير نشط حالياً) </w:t>
      </w:r>
    </w:p>
    <w:p w14:paraId="18AE2A87" w14:textId="12BA76A1" w:rsidR="0070381F" w:rsidRPr="0069120A" w:rsidRDefault="0070381F" w:rsidP="0070381F">
      <w:pPr>
        <w:tabs>
          <w:tab w:val="left" w:pos="8505"/>
          <w:tab w:val="left" w:pos="9355"/>
        </w:tabs>
        <w:spacing w:before="360"/>
        <w:rPr>
          <w:rtl/>
          <w:lang w:bidi="ar-EG"/>
        </w:rPr>
      </w:pPr>
      <w:r w:rsidRPr="0069120A">
        <w:rPr>
          <w:rFonts w:hint="cs"/>
          <w:u w:val="single"/>
          <w:rtl/>
        </w:rPr>
        <w:t xml:space="preserve">مشروع مراجَعة التوصية </w:t>
      </w:r>
      <w:r w:rsidR="009A1F18" w:rsidRPr="0069120A">
        <w:rPr>
          <w:bCs/>
          <w:u w:val="single"/>
        </w:rPr>
        <w:t xml:space="preserve">ITU-R </w:t>
      </w:r>
      <w:proofErr w:type="spellStart"/>
      <w:r w:rsidR="009A1F18" w:rsidRPr="0069120A">
        <w:rPr>
          <w:bCs/>
          <w:u w:val="single"/>
        </w:rPr>
        <w:t>P.581</w:t>
      </w:r>
      <w:proofErr w:type="spellEnd"/>
      <w:r w:rsidR="009A1F18" w:rsidRPr="0069120A">
        <w:rPr>
          <w:bCs/>
          <w:u w:val="single"/>
        </w:rPr>
        <w:t>-2</w:t>
      </w:r>
      <w:r w:rsidRPr="0069120A">
        <w:rPr>
          <w:bCs/>
        </w:rPr>
        <w:tab/>
      </w:r>
      <w:r w:rsidRPr="0069120A">
        <w:rPr>
          <w:rFonts w:hint="cs"/>
          <w:rtl/>
          <w:lang w:bidi="ar-EG"/>
        </w:rPr>
        <w:t xml:space="preserve">الوثيقة </w:t>
      </w:r>
      <w:r w:rsidRPr="0069120A">
        <w:rPr>
          <w:bCs/>
        </w:rPr>
        <w:t>3/74</w:t>
      </w:r>
    </w:p>
    <w:p w14:paraId="6CA22ABF" w14:textId="042A3B76" w:rsidR="0070381F" w:rsidRPr="0069120A" w:rsidRDefault="0069120A" w:rsidP="0069120A">
      <w:pPr>
        <w:pStyle w:val="Rectitle"/>
        <w:rPr>
          <w:rtl/>
        </w:rPr>
      </w:pPr>
      <w:r w:rsidRPr="00EF68A6">
        <w:rPr>
          <w:rtl/>
          <w:lang w:bidi="ar-EG"/>
        </w:rPr>
        <w:t>مفهوم "أسوأ شهر"</w:t>
      </w:r>
    </w:p>
    <w:p w14:paraId="244ED9F3" w14:textId="16D3515E" w:rsidR="0070381F" w:rsidRPr="00EF68A6" w:rsidRDefault="00EF68A6" w:rsidP="0070381F">
      <w:pPr>
        <w:rPr>
          <w:rtl/>
          <w:lang w:val="en-GB"/>
        </w:rPr>
      </w:pPr>
      <w:r w:rsidRPr="00EF68A6">
        <w:rPr>
          <w:rtl/>
        </w:rPr>
        <w:t xml:space="preserve">يوضح مشروع المراجعة هذا مفهوم </w:t>
      </w:r>
      <w:r>
        <w:rPr>
          <w:rFonts w:hint="cs"/>
          <w:rtl/>
        </w:rPr>
        <w:t>أسوأ شهر من حيث</w:t>
      </w:r>
      <w:r w:rsidRPr="00EF68A6">
        <w:rPr>
          <w:rtl/>
        </w:rPr>
        <w:t xml:space="preserve"> </w:t>
      </w:r>
      <w:r w:rsidR="00671955">
        <w:rPr>
          <w:rFonts w:hint="cs"/>
          <w:rtl/>
        </w:rPr>
        <w:t xml:space="preserve">قيمتين </w:t>
      </w:r>
      <w:r>
        <w:rPr>
          <w:rFonts w:hint="cs"/>
          <w:rtl/>
        </w:rPr>
        <w:t xml:space="preserve">إحصائيتين: </w:t>
      </w:r>
      <w:r>
        <w:t>(1</w:t>
      </w:r>
      <w:r w:rsidRPr="00EF68A6">
        <w:rPr>
          <w:rtl/>
        </w:rPr>
        <w:t xml:space="preserve"> احتمال التجاوز في أسوأ شهر و</w:t>
      </w:r>
      <w:r>
        <w:t>(2</w:t>
      </w:r>
      <w:r w:rsidRPr="00EF68A6">
        <w:rPr>
          <w:rtl/>
        </w:rPr>
        <w:t xml:space="preserve"> الاحتمال التراكمي </w:t>
      </w:r>
      <w:r>
        <w:rPr>
          <w:rFonts w:hint="cs"/>
          <w:rtl/>
        </w:rPr>
        <w:t>لأسوأ شهر. وم</w:t>
      </w:r>
      <w:r w:rsidRPr="00EF68A6">
        <w:rPr>
          <w:rtl/>
        </w:rPr>
        <w:t>صطلح احتمال التجاوز مرادف لدالة التوزيع التراكمي التكميلية (</w:t>
      </w:r>
      <w:proofErr w:type="spellStart"/>
      <w:r>
        <w:t>CCDF</w:t>
      </w:r>
      <w:proofErr w:type="spellEnd"/>
      <w:r w:rsidRPr="00EF68A6">
        <w:rPr>
          <w:rtl/>
        </w:rPr>
        <w:t>)، ومصطلح الاحتمال التراكمي مرادف لمصطلح دالة التوزيع التراكمي</w:t>
      </w:r>
      <w:r>
        <w:rPr>
          <w:rFonts w:hint="cs"/>
          <w:rtl/>
        </w:rPr>
        <w:t xml:space="preserve"> </w:t>
      </w:r>
      <w:r>
        <w:rPr>
          <w:lang w:val="en-GB"/>
        </w:rPr>
        <w:t>(CDF)</w:t>
      </w:r>
      <w:r>
        <w:rPr>
          <w:rFonts w:hint="cs"/>
          <w:rtl/>
          <w:lang w:val="en-GB"/>
        </w:rPr>
        <w:t>.</w:t>
      </w:r>
    </w:p>
    <w:p w14:paraId="73FA8EDD" w14:textId="76DEE702" w:rsidR="0069120A" w:rsidRPr="0069120A" w:rsidRDefault="0069120A" w:rsidP="0069120A">
      <w:pPr>
        <w:tabs>
          <w:tab w:val="left" w:pos="7938"/>
          <w:tab w:val="left" w:pos="9355"/>
        </w:tabs>
        <w:spacing w:before="360"/>
        <w:rPr>
          <w:rtl/>
          <w:lang w:bidi="ar-EG"/>
        </w:rPr>
      </w:pPr>
      <w:r w:rsidRPr="0069120A">
        <w:rPr>
          <w:rFonts w:hint="cs"/>
          <w:u w:val="single"/>
          <w:rtl/>
        </w:rPr>
        <w:t xml:space="preserve">مشروع مراجَعة التوصية </w:t>
      </w:r>
      <w:r w:rsidRPr="0069120A">
        <w:rPr>
          <w:bCs/>
          <w:u w:val="single"/>
        </w:rPr>
        <w:t xml:space="preserve">ITU-R </w:t>
      </w:r>
      <w:proofErr w:type="spellStart"/>
      <w:r w:rsidRPr="0069120A">
        <w:rPr>
          <w:bCs/>
          <w:u w:val="single"/>
        </w:rPr>
        <w:t>P.</w:t>
      </w:r>
      <w:r>
        <w:rPr>
          <w:bCs/>
          <w:u w:val="single"/>
        </w:rPr>
        <w:t>841</w:t>
      </w:r>
      <w:proofErr w:type="spellEnd"/>
      <w:r>
        <w:rPr>
          <w:bCs/>
          <w:u w:val="single"/>
        </w:rPr>
        <w:t>-6</w:t>
      </w:r>
      <w:r w:rsidRPr="0069120A">
        <w:rPr>
          <w:bCs/>
        </w:rPr>
        <w:tab/>
      </w:r>
      <w:r w:rsidRPr="0069120A">
        <w:rPr>
          <w:rFonts w:hint="cs"/>
          <w:rtl/>
          <w:lang w:bidi="ar-EG"/>
        </w:rPr>
        <w:t xml:space="preserve">الوثيقة </w:t>
      </w:r>
      <w:r>
        <w:rPr>
          <w:bCs/>
        </w:rPr>
        <w:t>3/75(</w:t>
      </w:r>
      <w:proofErr w:type="spellStart"/>
      <w:r>
        <w:rPr>
          <w:bCs/>
        </w:rPr>
        <w:t>Rev.1</w:t>
      </w:r>
      <w:proofErr w:type="spellEnd"/>
      <w:r>
        <w:rPr>
          <w:bCs/>
          <w:lang w:bidi="ar-EG"/>
        </w:rPr>
        <w:t>)</w:t>
      </w:r>
    </w:p>
    <w:p w14:paraId="66EDD674" w14:textId="1B1A1E32" w:rsidR="0070381F" w:rsidRPr="0069120A" w:rsidRDefault="0070381F" w:rsidP="0069120A">
      <w:pPr>
        <w:pStyle w:val="Rectitle"/>
        <w:rPr>
          <w:rtl/>
        </w:rPr>
      </w:pPr>
      <w:r w:rsidRPr="0069120A">
        <w:rPr>
          <w:rFonts w:hint="cs"/>
          <w:rtl/>
        </w:rPr>
        <w:t>تحويل</w:t>
      </w:r>
      <w:r w:rsidRPr="0069120A">
        <w:rPr>
          <w:rtl/>
        </w:rPr>
        <w:t xml:space="preserve"> الإحصا</w:t>
      </w:r>
      <w:r w:rsidR="002D4E67">
        <w:rPr>
          <w:rFonts w:hint="cs"/>
          <w:rtl/>
        </w:rPr>
        <w:t>ء</w:t>
      </w:r>
      <w:r w:rsidRPr="0069120A">
        <w:rPr>
          <w:rtl/>
        </w:rPr>
        <w:t>ات السنوية</w:t>
      </w:r>
      <w:r w:rsidR="0069120A">
        <w:rPr>
          <w:rFonts w:hint="cs"/>
          <w:rtl/>
        </w:rPr>
        <w:t xml:space="preserve"> </w:t>
      </w:r>
      <w:r w:rsidRPr="0069120A">
        <w:rPr>
          <w:rtl/>
        </w:rPr>
        <w:t>إلى إحصا</w:t>
      </w:r>
      <w:r w:rsidR="002D4E67">
        <w:rPr>
          <w:rFonts w:hint="cs"/>
          <w:rtl/>
        </w:rPr>
        <w:t>ء</w:t>
      </w:r>
      <w:r w:rsidRPr="0069120A">
        <w:rPr>
          <w:rtl/>
        </w:rPr>
        <w:t>ات الشهر الأسوأ</w:t>
      </w:r>
    </w:p>
    <w:p w14:paraId="4D4910C2" w14:textId="34712CA2" w:rsidR="0070381F" w:rsidRPr="00CF3DD0" w:rsidRDefault="00CF3DD0" w:rsidP="00CF3DD0">
      <w:pPr>
        <w:rPr>
          <w:rtl/>
        </w:rPr>
      </w:pPr>
      <w:r w:rsidRPr="002D4E67">
        <w:rPr>
          <w:rFonts w:hint="cs"/>
          <w:rtl/>
        </w:rPr>
        <w:t xml:space="preserve">يتضمن مشروع مراجعة </w:t>
      </w:r>
      <w:r w:rsidR="00671955">
        <w:rPr>
          <w:rFonts w:hint="cs"/>
          <w:rtl/>
        </w:rPr>
        <w:t xml:space="preserve">التوصية </w:t>
      </w:r>
      <w:r w:rsidR="00671955">
        <w:rPr>
          <w:lang w:val="en-GB"/>
        </w:rPr>
        <w:t>ITU-R </w:t>
      </w:r>
      <w:proofErr w:type="spellStart"/>
      <w:r w:rsidR="00671955">
        <w:rPr>
          <w:lang w:val="en-GB"/>
        </w:rPr>
        <w:t>P.841</w:t>
      </w:r>
      <w:proofErr w:type="spellEnd"/>
      <w:r w:rsidR="00671955">
        <w:rPr>
          <w:lang w:val="en-GB"/>
        </w:rPr>
        <w:t>-6</w:t>
      </w:r>
      <w:r>
        <w:rPr>
          <w:rFonts w:hint="cs"/>
          <w:rtl/>
          <w:lang w:val="en-GB"/>
        </w:rPr>
        <w:t xml:space="preserve"> التعديلات التالية:</w:t>
      </w:r>
    </w:p>
    <w:p w14:paraId="0714CA2E" w14:textId="0278B241" w:rsidR="0070381F" w:rsidRDefault="0070381F" w:rsidP="0070381F">
      <w:pPr>
        <w:pStyle w:val="enumlev1"/>
        <w:rPr>
          <w:rtl/>
          <w:lang w:bidi="ar-EG"/>
        </w:rPr>
      </w:pPr>
      <w:r>
        <w:t>1</w:t>
      </w:r>
      <w:r>
        <w:tab/>
      </w:r>
      <w:r w:rsidR="00671955">
        <w:rPr>
          <w:rFonts w:hint="cs"/>
          <w:rtl/>
        </w:rPr>
        <w:t>إضافة طريقة التحويل للإحصاءات التراكمية،</w:t>
      </w:r>
    </w:p>
    <w:p w14:paraId="439D092C" w14:textId="109D360D" w:rsidR="0070381F" w:rsidRDefault="009A1F18" w:rsidP="0070381F">
      <w:pPr>
        <w:pStyle w:val="enumlev1"/>
        <w:rPr>
          <w:rtl/>
          <w:lang w:bidi="ar-EG"/>
        </w:rPr>
      </w:pPr>
      <w:r>
        <w:t>2</w:t>
      </w:r>
      <w:r w:rsidR="0070381F">
        <w:tab/>
      </w:r>
      <w:r w:rsidR="00671955">
        <w:rPr>
          <w:rFonts w:hint="cs"/>
          <w:rtl/>
        </w:rPr>
        <w:t>تعديل النص المقابل.</w:t>
      </w:r>
    </w:p>
    <w:p w14:paraId="7A75BB3E" w14:textId="062BB2D4" w:rsidR="0070381F" w:rsidRPr="00E6347A" w:rsidRDefault="0070381F" w:rsidP="0070381F">
      <w:pPr>
        <w:tabs>
          <w:tab w:val="left" w:pos="8505"/>
          <w:tab w:val="left" w:pos="9355"/>
        </w:tabs>
        <w:spacing w:before="360"/>
        <w:rPr>
          <w:rtl/>
          <w:lang w:bidi="ar-EG"/>
        </w:rPr>
      </w:pPr>
      <w:r w:rsidRPr="0037323D">
        <w:rPr>
          <w:rFonts w:hint="cs"/>
          <w:u w:val="single"/>
          <w:rtl/>
        </w:rPr>
        <w:t>مشروع مراج</w:t>
      </w:r>
      <w:r>
        <w:rPr>
          <w:rFonts w:hint="cs"/>
          <w:u w:val="single"/>
          <w:rtl/>
        </w:rPr>
        <w:t>َ</w:t>
      </w:r>
      <w:r w:rsidRPr="0037323D">
        <w:rPr>
          <w:rFonts w:hint="cs"/>
          <w:u w:val="single"/>
          <w:rtl/>
        </w:rPr>
        <w:t xml:space="preserve">عة التوصية </w:t>
      </w:r>
      <w:r w:rsidR="009A1F18" w:rsidRPr="009A1F18">
        <w:rPr>
          <w:bCs/>
          <w:u w:val="single"/>
        </w:rPr>
        <w:t xml:space="preserve">ITU-R </w:t>
      </w:r>
      <w:proofErr w:type="spellStart"/>
      <w:r w:rsidR="009A1F18" w:rsidRPr="009A1F18">
        <w:rPr>
          <w:bCs/>
          <w:u w:val="single"/>
        </w:rPr>
        <w:t>P.1057</w:t>
      </w:r>
      <w:proofErr w:type="spellEnd"/>
      <w:r w:rsidR="009A1F18" w:rsidRPr="009A1F18">
        <w:rPr>
          <w:bCs/>
          <w:u w:val="single"/>
        </w:rPr>
        <w:t>-6</w:t>
      </w:r>
      <w:r>
        <w:rPr>
          <w:rtl/>
          <w:lang w:bidi="ar-EG"/>
        </w:rPr>
        <w:tab/>
      </w:r>
      <w:r w:rsidRPr="004C7DFE">
        <w:rPr>
          <w:rFonts w:hint="cs"/>
          <w:rtl/>
          <w:lang w:bidi="ar-EG"/>
        </w:rPr>
        <w:t>الوثيقة</w:t>
      </w:r>
      <w:r>
        <w:rPr>
          <w:rFonts w:hint="cs"/>
          <w:rtl/>
          <w:lang w:bidi="ar-EG"/>
        </w:rPr>
        <w:t xml:space="preserve"> </w:t>
      </w:r>
      <w:r>
        <w:rPr>
          <w:bCs/>
        </w:rPr>
        <w:t>3</w:t>
      </w:r>
      <w:r w:rsidRPr="004C7DFE">
        <w:rPr>
          <w:bCs/>
        </w:rPr>
        <w:t>/</w:t>
      </w:r>
      <w:r>
        <w:rPr>
          <w:bCs/>
        </w:rPr>
        <w:t>76</w:t>
      </w:r>
    </w:p>
    <w:p w14:paraId="119D26B2" w14:textId="703C586C" w:rsidR="0070381F" w:rsidRDefault="0070381F" w:rsidP="0070381F">
      <w:pPr>
        <w:pStyle w:val="Rectitle"/>
        <w:spacing w:before="240" w:after="240"/>
        <w:rPr>
          <w:rtl/>
          <w:lang w:bidi="ar-EG"/>
        </w:rPr>
      </w:pPr>
      <w:r w:rsidRPr="007F61FE">
        <w:rPr>
          <w:rtl/>
          <w:lang w:bidi="ar-EG"/>
        </w:rPr>
        <w:t>توز</w:t>
      </w:r>
      <w:r w:rsidR="0085424D">
        <w:rPr>
          <w:rFonts w:hint="cs"/>
          <w:rtl/>
          <w:lang w:bidi="ar-EG"/>
        </w:rPr>
        <w:t>ي</w:t>
      </w:r>
      <w:r w:rsidRPr="007F61FE">
        <w:rPr>
          <w:rtl/>
          <w:lang w:bidi="ar-EG"/>
        </w:rPr>
        <w:t>عات الاحتمال</w:t>
      </w:r>
      <w:r w:rsidRPr="007F61FE">
        <w:rPr>
          <w:rFonts w:hint="cs"/>
          <w:rtl/>
          <w:lang w:bidi="ar-SY"/>
        </w:rPr>
        <w:t>ات</w:t>
      </w:r>
      <w:r w:rsidRPr="007F61FE">
        <w:rPr>
          <w:rtl/>
          <w:lang w:bidi="ar-EG"/>
        </w:rPr>
        <w:t xml:space="preserve"> المتعلقة بنمذجة</w:t>
      </w:r>
      <w:r w:rsidRPr="007F61FE">
        <w:rPr>
          <w:rtl/>
          <w:lang w:bidi="ar-EG"/>
        </w:rPr>
        <w:br/>
        <w:t>انتشار الموجات الراديوية</w:t>
      </w:r>
    </w:p>
    <w:p w14:paraId="23CF7286" w14:textId="58D6EBA0" w:rsidR="0085424D" w:rsidRPr="00671955" w:rsidRDefault="00CF3DD0" w:rsidP="0085424D">
      <w:pPr>
        <w:rPr>
          <w:rtl/>
          <w:lang w:val="en-GB" w:bidi="ar-EG"/>
        </w:rPr>
      </w:pPr>
      <w:r>
        <w:rPr>
          <w:rFonts w:hint="cs"/>
          <w:rtl/>
        </w:rPr>
        <w:t>يتضمن</w:t>
      </w:r>
      <w:r w:rsidR="0085424D">
        <w:rPr>
          <w:rFonts w:hint="cs"/>
          <w:rtl/>
        </w:rPr>
        <w:t xml:space="preserve"> مشروع مراجعة التوصية </w:t>
      </w:r>
      <w:r w:rsidR="0085424D">
        <w:rPr>
          <w:lang w:val="en-GB"/>
        </w:rPr>
        <w:t>ITU-R </w:t>
      </w:r>
      <w:proofErr w:type="spellStart"/>
      <w:r w:rsidR="0085424D">
        <w:rPr>
          <w:lang w:val="en-GB"/>
        </w:rPr>
        <w:t>P.1057</w:t>
      </w:r>
      <w:proofErr w:type="spellEnd"/>
      <w:r w:rsidR="0085424D">
        <w:rPr>
          <w:lang w:val="en-GB"/>
        </w:rPr>
        <w:t>-6</w:t>
      </w:r>
      <w:r>
        <w:rPr>
          <w:rFonts w:hint="cs"/>
          <w:rtl/>
          <w:lang w:val="en-GB"/>
        </w:rPr>
        <w:t xml:space="preserve"> التعديلات التالية</w:t>
      </w:r>
      <w:r w:rsidR="0085424D">
        <w:rPr>
          <w:rFonts w:hint="cs"/>
          <w:rtl/>
          <w:lang w:val="en-GB"/>
        </w:rPr>
        <w:t>:</w:t>
      </w:r>
    </w:p>
    <w:p w14:paraId="07D1018F" w14:textId="5A092CE6" w:rsidR="0070381F" w:rsidRPr="002076CF" w:rsidRDefault="0070381F" w:rsidP="0070381F">
      <w:pPr>
        <w:pStyle w:val="enumlev1"/>
      </w:pPr>
      <w:r w:rsidRPr="00E20283">
        <w:t>-</w:t>
      </w:r>
      <w:r w:rsidRPr="00E20283">
        <w:tab/>
      </w:r>
      <w:r w:rsidR="0085424D" w:rsidRPr="0085424D">
        <w:rPr>
          <w:rFonts w:hint="cs"/>
          <w:rtl/>
          <w:lang w:bidi="ar-SA"/>
        </w:rPr>
        <w:t>توفير</w:t>
      </w:r>
      <w:r w:rsidR="0069120A" w:rsidRPr="0085424D">
        <w:rPr>
          <w:rFonts w:hint="cs"/>
          <w:rtl/>
        </w:rPr>
        <w:t xml:space="preserve"> </w:t>
      </w:r>
      <w:r w:rsidR="002076CF" w:rsidRPr="0085424D">
        <w:rPr>
          <w:color w:val="242424"/>
          <w:shd w:val="clear" w:color="auto" w:fill="FFFFFF"/>
          <w:rtl/>
        </w:rPr>
        <w:t xml:space="preserve">العلاقة </w:t>
      </w:r>
      <w:r w:rsidR="0085424D" w:rsidRPr="0085424D">
        <w:rPr>
          <w:rFonts w:hint="cs"/>
          <w:color w:val="242424"/>
          <w:shd w:val="clear" w:color="auto" w:fill="FFFFFF"/>
          <w:rtl/>
        </w:rPr>
        <w:t xml:space="preserve">المطلوبة </w:t>
      </w:r>
      <w:r w:rsidR="002076CF" w:rsidRPr="0085424D">
        <w:rPr>
          <w:color w:val="242424"/>
          <w:shd w:val="clear" w:color="auto" w:fill="FFFFFF"/>
          <w:rtl/>
        </w:rPr>
        <w:t xml:space="preserve">بين دالة </w:t>
      </w:r>
      <w:r w:rsidR="0085424D" w:rsidRPr="0085424D">
        <w:rPr>
          <w:rFonts w:hint="cs"/>
          <w:color w:val="242424"/>
          <w:shd w:val="clear" w:color="auto" w:fill="FFFFFF"/>
          <w:rtl/>
        </w:rPr>
        <w:t>ال</w:t>
      </w:r>
      <w:r w:rsidR="002076CF" w:rsidRPr="0085424D">
        <w:rPr>
          <w:color w:val="242424"/>
          <w:shd w:val="clear" w:color="auto" w:fill="FFFFFF"/>
          <w:rtl/>
        </w:rPr>
        <w:t xml:space="preserve">توزيع </w:t>
      </w:r>
      <w:r w:rsidR="0085424D" w:rsidRPr="0085424D">
        <w:rPr>
          <w:rFonts w:hint="cs"/>
          <w:color w:val="242424"/>
          <w:shd w:val="clear" w:color="auto" w:fill="FFFFFF"/>
          <w:rtl/>
        </w:rPr>
        <w:t>ال</w:t>
      </w:r>
      <w:r w:rsidR="002076CF" w:rsidRPr="0085424D">
        <w:rPr>
          <w:color w:val="242424"/>
          <w:shd w:val="clear" w:color="auto" w:fill="FFFFFF"/>
          <w:rtl/>
        </w:rPr>
        <w:t>تراكمي (</w:t>
      </w:r>
      <w:r w:rsidR="002076CF" w:rsidRPr="0085424D">
        <w:rPr>
          <w:color w:val="242424"/>
          <w:shd w:val="clear" w:color="auto" w:fill="FFFFFF"/>
        </w:rPr>
        <w:t>CDF</w:t>
      </w:r>
      <w:r w:rsidR="002076CF" w:rsidRPr="0085424D">
        <w:rPr>
          <w:color w:val="242424"/>
          <w:shd w:val="clear" w:color="auto" w:fill="FFFFFF"/>
          <w:rtl/>
        </w:rPr>
        <w:t>) ودالة التوزيع التراكمي التكميلي (</w:t>
      </w:r>
      <w:proofErr w:type="spellStart"/>
      <w:r w:rsidR="002076CF" w:rsidRPr="0085424D">
        <w:rPr>
          <w:color w:val="242424"/>
          <w:shd w:val="clear" w:color="auto" w:fill="FFFFFF"/>
        </w:rPr>
        <w:t>CCDF</w:t>
      </w:r>
      <w:proofErr w:type="spellEnd"/>
      <w:proofErr w:type="gramStart"/>
      <w:r w:rsidR="002076CF" w:rsidRPr="0085424D">
        <w:rPr>
          <w:color w:val="242424"/>
          <w:shd w:val="clear" w:color="auto" w:fill="FFFFFF"/>
          <w:rtl/>
        </w:rPr>
        <w:t>)</w:t>
      </w:r>
      <w:r w:rsidR="0069120A" w:rsidRPr="0085424D">
        <w:rPr>
          <w:rFonts w:hint="cs"/>
          <w:color w:val="242424"/>
          <w:shd w:val="clear" w:color="auto" w:fill="FFFFFF"/>
          <w:rtl/>
        </w:rPr>
        <w:t>؛</w:t>
      </w:r>
      <w:proofErr w:type="gramEnd"/>
    </w:p>
    <w:p w14:paraId="7835829E" w14:textId="66FD144A" w:rsidR="0070381F" w:rsidRPr="002076CF" w:rsidRDefault="0070381F" w:rsidP="0085424D">
      <w:pPr>
        <w:pStyle w:val="enumlev1"/>
      </w:pPr>
      <w:r w:rsidRPr="002076CF">
        <w:t>-</w:t>
      </w:r>
      <w:r w:rsidRPr="002076CF">
        <w:tab/>
      </w:r>
      <w:r w:rsidR="0085424D">
        <w:rPr>
          <w:rFonts w:hint="cs"/>
          <w:rtl/>
        </w:rPr>
        <w:t xml:space="preserve">إعادة تسمية الثابت </w:t>
      </w:r>
      <m:oMath>
        <m:r>
          <w:rPr>
            <w:rFonts w:ascii="Cambria Math" w:hAnsi="Cambria Math"/>
          </w:rPr>
          <m:t>p</m:t>
        </m:r>
      </m:oMath>
      <w:r w:rsidR="0085424D">
        <w:rPr>
          <w:rFonts w:hint="cs"/>
          <w:rtl/>
        </w:rPr>
        <w:t xml:space="preserve"> </w:t>
      </w:r>
      <w:r w:rsidR="00AC2052">
        <w:rPr>
          <w:rFonts w:hint="cs"/>
          <w:rtl/>
        </w:rPr>
        <w:t>في ا</w:t>
      </w:r>
      <w:r w:rsidR="0085424D">
        <w:rPr>
          <w:rFonts w:hint="cs"/>
          <w:rtl/>
        </w:rPr>
        <w:t>لمعاد</w:t>
      </w:r>
      <w:r w:rsidR="0085424D">
        <w:rPr>
          <w:rFonts w:hint="cs"/>
          <w:rtl/>
          <w:lang w:bidi="ar-SA"/>
        </w:rPr>
        <w:t>ل</w:t>
      </w:r>
      <w:r w:rsidR="0085424D">
        <w:rPr>
          <w:rFonts w:hint="cs"/>
          <w:rtl/>
        </w:rPr>
        <w:t xml:space="preserve">ة </w:t>
      </w:r>
      <w:r w:rsidR="0085424D" w:rsidRPr="0085424D">
        <w:t>(</w:t>
      </w:r>
      <w:proofErr w:type="spellStart"/>
      <w:r w:rsidR="0085424D" w:rsidRPr="0085424D">
        <w:t>5</w:t>
      </w:r>
      <w:proofErr w:type="gramStart"/>
      <w:r w:rsidR="0085424D" w:rsidRPr="0085424D">
        <w:t>b</w:t>
      </w:r>
      <w:proofErr w:type="spellEnd"/>
      <w:r w:rsidR="0085424D" w:rsidRPr="0085424D">
        <w:t>)</w:t>
      </w:r>
      <w:r w:rsidR="0085424D">
        <w:rPr>
          <w:rFonts w:hint="cs"/>
          <w:rtl/>
        </w:rPr>
        <w:t>؛</w:t>
      </w:r>
      <w:proofErr w:type="gramEnd"/>
    </w:p>
    <w:p w14:paraId="37E0E607" w14:textId="60E57E6B" w:rsidR="0070381F" w:rsidRPr="00897507" w:rsidRDefault="0070381F" w:rsidP="0070381F">
      <w:pPr>
        <w:pStyle w:val="enumlev1"/>
        <w:rPr>
          <w:spacing w:val="-4"/>
          <w:rtl/>
          <w:lang w:val="en-GB" w:bidi="ar-SA"/>
        </w:rPr>
      </w:pPr>
      <w:r w:rsidRPr="00897507">
        <w:rPr>
          <w:spacing w:val="-4"/>
        </w:rPr>
        <w:t>-</w:t>
      </w:r>
      <w:r w:rsidRPr="00897507">
        <w:rPr>
          <w:spacing w:val="-4"/>
        </w:rPr>
        <w:tab/>
      </w:r>
      <w:r w:rsidR="0085424D" w:rsidRPr="00897507">
        <w:rPr>
          <w:rFonts w:hint="cs"/>
          <w:spacing w:val="-4"/>
          <w:rtl/>
        </w:rPr>
        <w:t xml:space="preserve">الاستعاضة عن عكس دالة </w:t>
      </w:r>
      <w:proofErr w:type="spellStart"/>
      <w:r w:rsidR="0085424D" w:rsidRPr="00897507">
        <w:rPr>
          <w:spacing w:val="-4"/>
          <w:lang w:val="en-GB"/>
        </w:rPr>
        <w:t>CCDF</w:t>
      </w:r>
      <w:proofErr w:type="spellEnd"/>
      <w:r w:rsidR="008D7F67">
        <w:rPr>
          <w:rFonts w:hint="cs"/>
          <w:spacing w:val="-4"/>
          <w:rtl/>
        </w:rPr>
        <w:t xml:space="preserve"> </w:t>
      </w:r>
      <w:r w:rsidR="005854E2" w:rsidRPr="00897507">
        <w:rPr>
          <w:rFonts w:hint="cs"/>
          <w:spacing w:val="-4"/>
          <w:rtl/>
          <w:lang w:bidi="ar-SA"/>
        </w:rPr>
        <w:t>الواردة</w:t>
      </w:r>
      <w:r w:rsidR="0085424D" w:rsidRPr="00897507">
        <w:rPr>
          <w:rFonts w:hint="cs"/>
          <w:spacing w:val="-4"/>
          <w:rtl/>
          <w:lang w:bidi="ar-SA"/>
        </w:rPr>
        <w:t xml:space="preserve"> في المعادلات </w:t>
      </w:r>
      <w:r w:rsidR="0085424D" w:rsidRPr="00897507">
        <w:rPr>
          <w:spacing w:val="-4"/>
          <w:lang w:val="en-GB" w:bidi="ar-SA"/>
        </w:rPr>
        <w:t>(</w:t>
      </w:r>
      <w:proofErr w:type="spellStart"/>
      <w:r w:rsidR="0085424D" w:rsidRPr="00897507">
        <w:rPr>
          <w:spacing w:val="-4"/>
          <w:lang w:val="en-GB" w:bidi="ar-SA"/>
        </w:rPr>
        <w:t>5d</w:t>
      </w:r>
      <w:proofErr w:type="spellEnd"/>
      <w:r w:rsidR="0085424D" w:rsidRPr="00897507">
        <w:rPr>
          <w:spacing w:val="-4"/>
          <w:lang w:val="en-GB" w:bidi="ar-SA"/>
        </w:rPr>
        <w:t>)</w:t>
      </w:r>
      <w:r w:rsidR="0085424D" w:rsidRPr="00897507">
        <w:rPr>
          <w:rFonts w:hint="cs"/>
          <w:spacing w:val="-4"/>
          <w:rtl/>
          <w:lang w:bidi="ar-SA"/>
        </w:rPr>
        <w:t xml:space="preserve"> </w:t>
      </w:r>
      <w:r w:rsidR="00323D90" w:rsidRPr="00897507">
        <w:rPr>
          <w:rFonts w:hint="cs"/>
          <w:spacing w:val="-4"/>
          <w:rtl/>
          <w:lang w:bidi="ar-SA"/>
        </w:rPr>
        <w:t xml:space="preserve">- </w:t>
      </w:r>
      <w:r w:rsidR="0085424D" w:rsidRPr="00897507">
        <w:rPr>
          <w:spacing w:val="-4"/>
          <w:lang w:val="en-GB" w:bidi="ar-SA"/>
        </w:rPr>
        <w:t>(</w:t>
      </w:r>
      <w:proofErr w:type="spellStart"/>
      <w:r w:rsidR="0085424D" w:rsidRPr="00897507">
        <w:rPr>
          <w:spacing w:val="-4"/>
          <w:lang w:val="en-GB" w:bidi="ar-SA"/>
        </w:rPr>
        <w:t>5e</w:t>
      </w:r>
      <w:proofErr w:type="spellEnd"/>
      <w:r w:rsidR="0085424D" w:rsidRPr="00897507">
        <w:rPr>
          <w:spacing w:val="-4"/>
          <w:lang w:val="en-GB" w:bidi="ar-SA"/>
        </w:rPr>
        <w:t>)</w:t>
      </w:r>
      <w:r w:rsidR="0085424D" w:rsidRPr="00897507">
        <w:rPr>
          <w:rFonts w:hint="cs"/>
          <w:spacing w:val="-4"/>
          <w:rtl/>
          <w:lang w:bidi="ar-SA"/>
        </w:rPr>
        <w:t xml:space="preserve"> بصياغة أكثر صرامة استناداً إلى خوارزمية </w:t>
      </w:r>
      <w:r w:rsidR="0085424D" w:rsidRPr="00897507">
        <w:rPr>
          <w:spacing w:val="-4"/>
          <w:lang w:val="en-GB" w:bidi="ar-SA"/>
        </w:rPr>
        <w:t>Acklam</w:t>
      </w:r>
      <w:r w:rsidR="002076CF" w:rsidRPr="00897507">
        <w:rPr>
          <w:rStyle w:val="FootnoteReference"/>
          <w:spacing w:val="-4"/>
          <w:rtl/>
        </w:rPr>
        <w:footnoteReference w:customMarkFollows="1" w:id="1"/>
        <w:t>1</w:t>
      </w:r>
      <w:r w:rsidR="003C0887" w:rsidRPr="00897507">
        <w:rPr>
          <w:rFonts w:hint="cs"/>
          <w:spacing w:val="-4"/>
          <w:rtl/>
        </w:rPr>
        <w:t>؛</w:t>
      </w:r>
    </w:p>
    <w:p w14:paraId="49E5737C" w14:textId="4BB36BEE" w:rsidR="0070381F" w:rsidRPr="005854E2" w:rsidRDefault="0070381F" w:rsidP="0070381F">
      <w:pPr>
        <w:pStyle w:val="enumlev1"/>
        <w:rPr>
          <w:rtl/>
          <w:lang w:val="en-GB" w:bidi="ar-SA"/>
        </w:rPr>
      </w:pPr>
      <w:r w:rsidRPr="00E20283">
        <w:t>-</w:t>
      </w:r>
      <w:r>
        <w:tab/>
      </w:r>
      <w:r w:rsidR="005854E2">
        <w:rPr>
          <w:rFonts w:hint="cs"/>
          <w:rtl/>
        </w:rPr>
        <w:t xml:space="preserve">إضافة قسم جديد </w:t>
      </w:r>
      <w:r w:rsidR="005854E2">
        <w:rPr>
          <w:rFonts w:hint="cs"/>
          <w:rtl/>
          <w:lang w:val="en-GB" w:bidi="ar-SA"/>
        </w:rPr>
        <w:t>11</w:t>
      </w:r>
      <w:r w:rsidR="0069120A">
        <w:rPr>
          <w:rFonts w:hint="cs"/>
          <w:rtl/>
        </w:rPr>
        <w:t xml:space="preserve"> </w:t>
      </w:r>
      <w:r w:rsidR="005854E2">
        <w:rPr>
          <w:rFonts w:hint="cs"/>
          <w:rtl/>
        </w:rPr>
        <w:t xml:space="preserve">إلى الملحق </w:t>
      </w:r>
      <w:r w:rsidR="005854E2">
        <w:rPr>
          <w:lang w:val="en-GB"/>
        </w:rPr>
        <w:t>1</w:t>
      </w:r>
      <w:r w:rsidR="005854E2">
        <w:rPr>
          <w:rFonts w:hint="cs"/>
          <w:rtl/>
          <w:lang w:val="en-GB" w:bidi="ar-SA"/>
        </w:rPr>
        <w:t xml:space="preserve"> لإعطاء الخلفية النظرية الرئيسية لتوزيع احتمال</w:t>
      </w:r>
      <w:r w:rsidR="00582AE6">
        <w:rPr>
          <w:rFonts w:hint="cs"/>
          <w:rtl/>
          <w:lang w:val="en-GB" w:bidi="ar-SA"/>
        </w:rPr>
        <w:t xml:space="preserve"> وايبول</w:t>
      </w:r>
      <w:r w:rsidR="005854E2">
        <w:rPr>
          <w:rFonts w:hint="cs"/>
          <w:rtl/>
          <w:lang w:val="en-GB" w:bidi="ar-SA"/>
        </w:rPr>
        <w:t xml:space="preserve"> </w:t>
      </w:r>
      <w:r w:rsidR="00582AE6">
        <w:rPr>
          <w:lang w:val="en-GB" w:bidi="ar-SA"/>
        </w:rPr>
        <w:t>(</w:t>
      </w:r>
      <w:r w:rsidR="005854E2">
        <w:rPr>
          <w:lang w:val="en-GB" w:bidi="ar-SA"/>
        </w:rPr>
        <w:t>Weibull</w:t>
      </w:r>
      <w:proofErr w:type="gramStart"/>
      <w:r w:rsidR="00582AE6">
        <w:rPr>
          <w:lang w:val="en-GB" w:bidi="ar-SA"/>
        </w:rPr>
        <w:t>)</w:t>
      </w:r>
      <w:r w:rsidR="005854E2">
        <w:rPr>
          <w:rFonts w:hint="cs"/>
          <w:rtl/>
          <w:lang w:val="en-GB" w:bidi="ar-SA"/>
        </w:rPr>
        <w:t>؛</w:t>
      </w:r>
      <w:proofErr w:type="gramEnd"/>
    </w:p>
    <w:p w14:paraId="028C26D4" w14:textId="3D76E26C" w:rsidR="0070381F" w:rsidRDefault="0070381F" w:rsidP="0070381F">
      <w:pPr>
        <w:pStyle w:val="enumlev1"/>
        <w:rPr>
          <w:rtl/>
          <w:lang w:bidi="ar-SA"/>
        </w:rPr>
      </w:pPr>
      <w:r w:rsidRPr="00E20283">
        <w:t>-</w:t>
      </w:r>
      <w:r>
        <w:tab/>
      </w:r>
      <w:r w:rsidR="00582AE6">
        <w:rPr>
          <w:rFonts w:hint="cs"/>
          <w:rtl/>
          <w:lang w:bidi="ar-SA"/>
        </w:rPr>
        <w:t xml:space="preserve">إضافة ملحق جديد </w:t>
      </w:r>
      <w:r w:rsidR="00582AE6" w:rsidRPr="00681621">
        <w:rPr>
          <w:lang w:val="en-GB" w:bidi="ar-SA"/>
        </w:rPr>
        <w:t>3</w:t>
      </w:r>
      <w:r w:rsidRPr="00681621">
        <w:rPr>
          <w:rFonts w:hint="cs"/>
          <w:rtl/>
          <w:lang w:bidi="ar-EG"/>
        </w:rPr>
        <w:t xml:space="preserve"> </w:t>
      </w:r>
      <w:r w:rsidR="00522870">
        <w:rPr>
          <w:rFonts w:hint="cs"/>
          <w:rtl/>
          <w:lang w:bidi="ar-EG"/>
        </w:rPr>
        <w:t>لاستخدام</w:t>
      </w:r>
      <w:r w:rsidRPr="00681621">
        <w:rPr>
          <w:rFonts w:hint="cs"/>
          <w:rtl/>
          <w:lang w:bidi="ar-EG"/>
        </w:rPr>
        <w:t xml:space="preserve"> إجراء خطوة فخطوة من أجل تقريب توز</w:t>
      </w:r>
      <w:r w:rsidR="00582AE6" w:rsidRPr="00681621">
        <w:rPr>
          <w:rFonts w:hint="cs"/>
          <w:rtl/>
          <w:lang w:bidi="ar-EG"/>
        </w:rPr>
        <w:t>ي</w:t>
      </w:r>
      <w:r w:rsidRPr="00681621">
        <w:rPr>
          <w:rFonts w:hint="cs"/>
          <w:rtl/>
          <w:lang w:bidi="ar-EG"/>
        </w:rPr>
        <w:t xml:space="preserve">ع </w:t>
      </w:r>
      <w:r w:rsidRPr="00681621">
        <w:rPr>
          <w:rFonts w:hint="cs"/>
          <w:rtl/>
          <w:lang w:bidi="ar-SA"/>
        </w:rPr>
        <w:t>الاحتمالات</w:t>
      </w:r>
      <w:r w:rsidRPr="00681621">
        <w:rPr>
          <w:rFonts w:hint="cs"/>
          <w:rtl/>
          <w:lang w:bidi="ar-EG"/>
        </w:rPr>
        <w:t xml:space="preserve"> التراكمي التكميلي بواسطة </w:t>
      </w:r>
      <w:r w:rsidR="00B5698E">
        <w:rPr>
          <w:rFonts w:hint="cs"/>
          <w:rtl/>
          <w:lang w:bidi="ar-EG"/>
        </w:rPr>
        <w:t xml:space="preserve">توزيع </w:t>
      </w:r>
      <w:r w:rsidR="00522870">
        <w:rPr>
          <w:rFonts w:hint="cs"/>
          <w:rtl/>
          <w:lang w:bidi="ar-EG"/>
        </w:rPr>
        <w:t>وايب</w:t>
      </w:r>
      <w:r w:rsidR="006B734A">
        <w:rPr>
          <w:rFonts w:hint="cs"/>
          <w:rtl/>
          <w:lang w:bidi="ar-EG"/>
        </w:rPr>
        <w:t>و</w:t>
      </w:r>
      <w:r w:rsidR="00522870">
        <w:rPr>
          <w:rFonts w:hint="cs"/>
          <w:rtl/>
          <w:lang w:bidi="ar-EG"/>
        </w:rPr>
        <w:t>ل الاحتمالي التراكمي التكميلي</w:t>
      </w:r>
      <w:r w:rsidRPr="00681621">
        <w:rPr>
          <w:rFonts w:hint="cs"/>
          <w:rtl/>
          <w:lang w:bidi="ar-EG"/>
        </w:rPr>
        <w:t>.</w:t>
      </w:r>
    </w:p>
    <w:p w14:paraId="55BA5121" w14:textId="46126A7D" w:rsidR="0070381F" w:rsidRPr="0069120A" w:rsidRDefault="0070381F" w:rsidP="00897507">
      <w:pPr>
        <w:keepNext/>
        <w:keepLines/>
        <w:tabs>
          <w:tab w:val="left" w:pos="7938"/>
        </w:tabs>
        <w:spacing w:before="360"/>
        <w:rPr>
          <w:u w:val="single"/>
          <w:rtl/>
        </w:rPr>
      </w:pPr>
      <w:r w:rsidRPr="0069120A">
        <w:rPr>
          <w:u w:val="single"/>
          <w:rtl/>
        </w:rPr>
        <w:lastRenderedPageBreak/>
        <w:t>مشروع مراجَعة التوصية</w:t>
      </w:r>
      <w:r w:rsidR="003A3BB1" w:rsidRPr="0069120A">
        <w:rPr>
          <w:rFonts w:hint="cs"/>
          <w:u w:val="single"/>
          <w:rtl/>
        </w:rPr>
        <w:t xml:space="preserve"> </w:t>
      </w:r>
      <w:r w:rsidR="009A1F18" w:rsidRPr="0069120A">
        <w:rPr>
          <w:u w:val="single"/>
        </w:rPr>
        <w:t xml:space="preserve">ITU-R </w:t>
      </w:r>
      <w:proofErr w:type="spellStart"/>
      <w:r w:rsidR="009A1F18" w:rsidRPr="0069120A">
        <w:rPr>
          <w:u w:val="single"/>
        </w:rPr>
        <w:t>P.676</w:t>
      </w:r>
      <w:proofErr w:type="spellEnd"/>
      <w:r w:rsidR="009A1F18" w:rsidRPr="0069120A">
        <w:rPr>
          <w:u w:val="single"/>
        </w:rPr>
        <w:t>-12</w:t>
      </w:r>
      <w:bookmarkStart w:id="1" w:name="_Hlk106808082"/>
      <w:r w:rsidR="0069120A" w:rsidRPr="00F60D03">
        <w:rPr>
          <w:rStyle w:val="FootnoteReference"/>
          <w:rtl/>
        </w:rPr>
        <w:footnoteReference w:id="2"/>
      </w:r>
      <w:bookmarkEnd w:id="1"/>
      <w:r w:rsidRPr="0069120A">
        <w:rPr>
          <w:rtl/>
        </w:rPr>
        <w:tab/>
        <w:t xml:space="preserve">الوثيقة </w:t>
      </w:r>
      <w:r w:rsidRPr="0069120A">
        <w:t>3/77(</w:t>
      </w:r>
      <w:proofErr w:type="spellStart"/>
      <w:r w:rsidRPr="0069120A">
        <w:t>Rev.1</w:t>
      </w:r>
      <w:proofErr w:type="spellEnd"/>
      <w:r w:rsidRPr="0069120A">
        <w:t>)</w:t>
      </w:r>
    </w:p>
    <w:p w14:paraId="67C74F15" w14:textId="0D6E32BD" w:rsidR="0070381F" w:rsidRPr="0069120A" w:rsidRDefault="0070381F" w:rsidP="002C0079">
      <w:pPr>
        <w:pStyle w:val="Rectitle"/>
        <w:spacing w:before="240" w:after="240"/>
        <w:rPr>
          <w:rtl/>
        </w:rPr>
      </w:pPr>
      <w:bookmarkStart w:id="2" w:name="_Toc499286749"/>
      <w:r w:rsidRPr="00897507">
        <w:rPr>
          <w:rFonts w:hint="cs"/>
          <w:rtl/>
        </w:rPr>
        <w:t>التوهين الناجم عن الغازات الجوية</w:t>
      </w:r>
      <w:bookmarkEnd w:id="2"/>
      <w:r w:rsidRPr="00897507">
        <w:rPr>
          <w:rFonts w:hint="cs"/>
          <w:rtl/>
        </w:rPr>
        <w:t xml:space="preserve"> </w:t>
      </w:r>
      <w:r w:rsidR="002D4E67" w:rsidRPr="00897507">
        <w:rPr>
          <w:rFonts w:hint="cs"/>
          <w:rtl/>
        </w:rPr>
        <w:t>والتأثيرات</w:t>
      </w:r>
      <w:r w:rsidRPr="00897507">
        <w:rPr>
          <w:rtl/>
        </w:rPr>
        <w:t xml:space="preserve"> ذات الصلة</w:t>
      </w:r>
    </w:p>
    <w:p w14:paraId="6431BF47" w14:textId="14DA30FC" w:rsidR="0070381F" w:rsidRDefault="00AC1A8C" w:rsidP="00897507">
      <w:pPr>
        <w:keepNext/>
        <w:keepLines/>
        <w:rPr>
          <w:rtl/>
        </w:rPr>
      </w:pPr>
      <w:r>
        <w:rPr>
          <w:rFonts w:hint="cs"/>
          <w:rtl/>
        </w:rPr>
        <w:t>يشمل</w:t>
      </w:r>
      <w:r w:rsidRPr="00AC1A8C">
        <w:rPr>
          <w:rtl/>
        </w:rPr>
        <w:t xml:space="preserve"> مشروع مراجعة التوصية </w:t>
      </w:r>
      <w:r w:rsidRPr="00AC1A8C">
        <w:t xml:space="preserve">ITU-R </w:t>
      </w:r>
      <w:proofErr w:type="spellStart"/>
      <w:r>
        <w:t>P</w:t>
      </w:r>
      <w:r w:rsidRPr="00AC1A8C">
        <w:t>.676</w:t>
      </w:r>
      <w:proofErr w:type="spellEnd"/>
      <w:r w:rsidRPr="00AC1A8C">
        <w:t>-12</w:t>
      </w:r>
      <w:r w:rsidRPr="00AC1A8C">
        <w:rPr>
          <w:rtl/>
        </w:rPr>
        <w:t xml:space="preserve"> </w:t>
      </w:r>
      <w:r w:rsidR="0081012C">
        <w:rPr>
          <w:rFonts w:hint="cs"/>
          <w:rtl/>
        </w:rPr>
        <w:t xml:space="preserve">مراجعة </w:t>
      </w:r>
      <w:r>
        <w:rPr>
          <w:rFonts w:hint="cs"/>
          <w:rtl/>
        </w:rPr>
        <w:t xml:space="preserve">مجال </w:t>
      </w:r>
      <w:r w:rsidR="00655178">
        <w:rPr>
          <w:rFonts w:hint="cs"/>
          <w:rtl/>
        </w:rPr>
        <w:t>ال</w:t>
      </w:r>
      <w:r>
        <w:rPr>
          <w:rFonts w:hint="cs"/>
          <w:rtl/>
        </w:rPr>
        <w:t xml:space="preserve">تطبيق </w:t>
      </w:r>
      <w:r w:rsidR="00655178">
        <w:rPr>
          <w:rFonts w:hint="cs"/>
          <w:rtl/>
        </w:rPr>
        <w:t>و</w:t>
      </w:r>
      <w:r>
        <w:rPr>
          <w:rFonts w:hint="cs"/>
          <w:rtl/>
        </w:rPr>
        <w:t>الفقرتين</w:t>
      </w:r>
      <w:r w:rsidRPr="00AC1A8C">
        <w:rPr>
          <w:rtl/>
        </w:rPr>
        <w:t xml:space="preserve"> </w:t>
      </w:r>
      <w:r>
        <w:rPr>
          <w:rFonts w:hint="cs"/>
          <w:rtl/>
        </w:rPr>
        <w:t>"</w:t>
      </w:r>
      <w:r w:rsidR="00C97C45">
        <w:rPr>
          <w:rFonts w:hint="cs"/>
          <w:i/>
          <w:iCs/>
          <w:rtl/>
        </w:rPr>
        <w:t> </w:t>
      </w:r>
      <w:r w:rsidRPr="005C55D9">
        <w:rPr>
          <w:i/>
          <w:iCs/>
          <w:rtl/>
        </w:rPr>
        <w:t xml:space="preserve">إذ </w:t>
      </w:r>
      <w:r w:rsidR="00655178" w:rsidRPr="005C55D9">
        <w:rPr>
          <w:rFonts w:hint="cs"/>
          <w:i/>
          <w:iCs/>
          <w:rtl/>
        </w:rPr>
        <w:t>ت</w:t>
      </w:r>
      <w:r w:rsidRPr="005C55D9">
        <w:rPr>
          <w:i/>
          <w:iCs/>
          <w:rtl/>
        </w:rPr>
        <w:t>ضع في اعتباره</w:t>
      </w:r>
      <w:r w:rsidRPr="005C55D9">
        <w:rPr>
          <w:rFonts w:hint="cs"/>
          <w:i/>
          <w:iCs/>
          <w:rtl/>
        </w:rPr>
        <w:t>ا</w:t>
      </w:r>
      <w:r>
        <w:rPr>
          <w:rFonts w:hint="cs"/>
          <w:rtl/>
        </w:rPr>
        <w:t>"</w:t>
      </w:r>
      <w:r w:rsidRPr="00AC1A8C">
        <w:rPr>
          <w:rtl/>
        </w:rPr>
        <w:t xml:space="preserve"> و</w:t>
      </w:r>
      <w:r>
        <w:rPr>
          <w:rFonts w:hint="cs"/>
          <w:rtl/>
        </w:rPr>
        <w:t>"</w:t>
      </w:r>
      <w:r w:rsidR="00C97C45">
        <w:rPr>
          <w:rFonts w:hint="eastAsia"/>
          <w:i/>
          <w:iCs/>
          <w:rtl/>
        </w:rPr>
        <w:t> </w:t>
      </w:r>
      <w:r w:rsidRPr="005C55D9">
        <w:rPr>
          <w:rFonts w:hint="cs"/>
          <w:i/>
          <w:iCs/>
          <w:rtl/>
        </w:rPr>
        <w:t>ت</w:t>
      </w:r>
      <w:r w:rsidRPr="005C55D9">
        <w:rPr>
          <w:i/>
          <w:iCs/>
          <w:rtl/>
        </w:rPr>
        <w:t>وصي</w:t>
      </w:r>
      <w:r>
        <w:rPr>
          <w:rFonts w:hint="cs"/>
          <w:rtl/>
        </w:rPr>
        <w:t>"</w:t>
      </w:r>
      <w:r w:rsidRPr="00AC1A8C">
        <w:rPr>
          <w:rtl/>
        </w:rPr>
        <w:t>، و</w:t>
      </w:r>
      <w:r>
        <w:rPr>
          <w:rFonts w:hint="cs"/>
          <w:rtl/>
        </w:rPr>
        <w:t>حذف</w:t>
      </w:r>
      <w:r w:rsidRPr="00AC1A8C">
        <w:rPr>
          <w:rtl/>
        </w:rPr>
        <w:t xml:space="preserve"> الدليل </w:t>
      </w:r>
      <w:r>
        <w:rPr>
          <w:rFonts w:hint="cs"/>
          <w:rtl/>
        </w:rPr>
        <w:t xml:space="preserve">إلى </w:t>
      </w:r>
      <w:r w:rsidRPr="00AC1A8C">
        <w:rPr>
          <w:rtl/>
        </w:rPr>
        <w:t xml:space="preserve">التوصية، </w:t>
      </w:r>
      <w:r>
        <w:rPr>
          <w:rFonts w:hint="cs"/>
          <w:rtl/>
        </w:rPr>
        <w:t>والاستعاضة عن</w:t>
      </w:r>
      <w:r w:rsidRPr="00AC1A8C">
        <w:rPr>
          <w:rtl/>
        </w:rPr>
        <w:t xml:space="preserve"> الملحق </w:t>
      </w:r>
      <w:r>
        <w:t>2</w:t>
      </w:r>
      <w:r w:rsidRPr="00AC1A8C">
        <w:rPr>
          <w:rtl/>
        </w:rPr>
        <w:t xml:space="preserve"> بطرائق تنبؤ تقريبية جديدة</w:t>
      </w:r>
      <w:r>
        <w:rPr>
          <w:rFonts w:hint="cs"/>
          <w:rtl/>
        </w:rPr>
        <w:t>.</w:t>
      </w:r>
    </w:p>
    <w:p w14:paraId="2C4B0F88" w14:textId="30D43D9D" w:rsidR="0081012C" w:rsidRPr="00250817" w:rsidRDefault="0081012C" w:rsidP="00897507">
      <w:pPr>
        <w:keepNext/>
        <w:keepLines/>
        <w:rPr>
          <w:rtl/>
          <w:lang w:val="en-GB"/>
        </w:rPr>
      </w:pPr>
      <w:r>
        <w:rPr>
          <w:rFonts w:hint="cs"/>
          <w:rtl/>
        </w:rPr>
        <w:t>ويق</w:t>
      </w:r>
      <w:r w:rsidRPr="0081012C">
        <w:rPr>
          <w:rtl/>
        </w:rPr>
        <w:t xml:space="preserve">دم مشروع مراجعة الملحق </w:t>
      </w:r>
      <w:r>
        <w:t>2</w:t>
      </w:r>
      <w:r w:rsidRPr="0081012C">
        <w:rPr>
          <w:rtl/>
        </w:rPr>
        <w:t xml:space="preserve"> أساليب التنبؤ الآنية والإحصائية </w:t>
      </w:r>
      <w:r w:rsidR="005F3AC4">
        <w:rPr>
          <w:rFonts w:hint="cs"/>
          <w:rtl/>
        </w:rPr>
        <w:t>للتوهين الغازي على</w:t>
      </w:r>
      <w:r w:rsidRPr="0081012C">
        <w:rPr>
          <w:rtl/>
        </w:rPr>
        <w:t xml:space="preserve"> المسير المائل الناجم عن الأوكسجين وبخار الماء وكذلك تقريب التوهين الغازي </w:t>
      </w:r>
      <w:r w:rsidR="005F3AC4">
        <w:rPr>
          <w:rFonts w:hint="cs"/>
          <w:rtl/>
        </w:rPr>
        <w:t>على</w:t>
      </w:r>
      <w:r w:rsidRPr="0081012C">
        <w:rPr>
          <w:rtl/>
        </w:rPr>
        <w:t xml:space="preserve"> المسير المائل الناجم عن تقريب بخار الماء بتوزيع احتمال و</w:t>
      </w:r>
      <w:r w:rsidR="005F3AC4">
        <w:rPr>
          <w:rFonts w:hint="cs"/>
          <w:rtl/>
        </w:rPr>
        <w:t>ا</w:t>
      </w:r>
      <w:r w:rsidRPr="0081012C">
        <w:rPr>
          <w:rtl/>
        </w:rPr>
        <w:t xml:space="preserve">يبول </w:t>
      </w:r>
      <w:r w:rsidR="005F3AC4">
        <w:rPr>
          <w:rFonts w:hint="cs"/>
          <w:rtl/>
        </w:rPr>
        <w:t>المستخدم</w:t>
      </w:r>
      <w:r w:rsidRPr="0081012C">
        <w:rPr>
          <w:rtl/>
        </w:rPr>
        <w:t xml:space="preserve"> في التوصية </w:t>
      </w:r>
      <w:r w:rsidRPr="0081012C">
        <w:t xml:space="preserve">ITU-R </w:t>
      </w:r>
      <w:proofErr w:type="spellStart"/>
      <w:r w:rsidRPr="0081012C">
        <w:t>P.1853</w:t>
      </w:r>
      <w:proofErr w:type="spellEnd"/>
      <w:r w:rsidR="005F3AC4">
        <w:rPr>
          <w:rFonts w:hint="cs"/>
          <w:rtl/>
        </w:rPr>
        <w:t xml:space="preserve">. </w:t>
      </w:r>
      <w:r w:rsidR="00250817">
        <w:rPr>
          <w:rFonts w:hint="cs"/>
          <w:rtl/>
        </w:rPr>
        <w:t xml:space="preserve">وتستخدم طرائق التنبؤ الإحصائي الخرائط الرقمية </w:t>
      </w:r>
      <w:r w:rsidR="001A4D21">
        <w:rPr>
          <w:rFonts w:hint="cs"/>
          <w:rtl/>
        </w:rPr>
        <w:t xml:space="preserve">الواردة </w:t>
      </w:r>
      <w:r w:rsidR="00250817">
        <w:rPr>
          <w:rFonts w:hint="cs"/>
          <w:rtl/>
        </w:rPr>
        <w:t>في مشروع التوصية</w:t>
      </w:r>
      <w:r w:rsidR="001A4D21">
        <w:rPr>
          <w:rFonts w:hint="cs"/>
          <w:rtl/>
        </w:rPr>
        <w:t xml:space="preserve"> الجديدة</w:t>
      </w:r>
      <w:r w:rsidR="00BF6EAA">
        <w:rPr>
          <w:rFonts w:hint="cs"/>
          <w:rtl/>
        </w:rPr>
        <w:t xml:space="preserve"> </w:t>
      </w:r>
      <w:r w:rsidR="00250817" w:rsidRPr="00250817">
        <w:rPr>
          <w:lang w:val="en-GB"/>
        </w:rPr>
        <w:t>ITU</w:t>
      </w:r>
      <w:r w:rsidR="00BF6EAA">
        <w:rPr>
          <w:lang w:val="en-GB"/>
        </w:rPr>
        <w:noBreakHyphen/>
      </w:r>
      <w:r w:rsidR="00250817" w:rsidRPr="00250817">
        <w:rPr>
          <w:lang w:val="en-GB"/>
        </w:rPr>
        <w:t>R</w:t>
      </w:r>
      <w:r w:rsidR="00BF6EAA">
        <w:rPr>
          <w:lang w:val="en-GB"/>
        </w:rPr>
        <w:t> </w:t>
      </w:r>
      <w:r w:rsidR="00250817" w:rsidRPr="00250817">
        <w:rPr>
          <w:lang w:val="en-GB"/>
        </w:rPr>
        <w:t>P.[</w:t>
      </w:r>
      <w:proofErr w:type="spellStart"/>
      <w:r w:rsidR="00250817" w:rsidRPr="00250817">
        <w:rPr>
          <w:lang w:val="en-GB"/>
        </w:rPr>
        <w:t>P.676</w:t>
      </w:r>
      <w:proofErr w:type="spellEnd"/>
      <w:r w:rsidR="00250817" w:rsidRPr="00250817">
        <w:rPr>
          <w:lang w:val="en-GB"/>
        </w:rPr>
        <w:t xml:space="preserve"> Maps]</w:t>
      </w:r>
      <w:r w:rsidR="00250817">
        <w:rPr>
          <w:rFonts w:hint="cs"/>
          <w:rtl/>
        </w:rPr>
        <w:t>، انظر الوثيقة</w:t>
      </w:r>
      <w:r w:rsidR="00FF26A9">
        <w:rPr>
          <w:rFonts w:hint="eastAsia"/>
          <w:rtl/>
        </w:rPr>
        <w:t> </w:t>
      </w:r>
      <w:hyperlink r:id="rId10" w:history="1">
        <w:r w:rsidR="00FF26A9" w:rsidRPr="00E57011">
          <w:rPr>
            <w:rStyle w:val="Hyperlink"/>
            <w:lang w:val="en-GB"/>
          </w:rPr>
          <w:t>3/78</w:t>
        </w:r>
      </w:hyperlink>
      <w:r w:rsidR="00250817">
        <w:rPr>
          <w:rFonts w:hint="cs"/>
          <w:rtl/>
          <w:lang w:val="en-GB"/>
        </w:rPr>
        <w:t>.</w:t>
      </w:r>
    </w:p>
    <w:p w14:paraId="63840126" w14:textId="74B16471" w:rsidR="0070381F" w:rsidRDefault="0089148B" w:rsidP="0069120A">
      <w:r>
        <w:rPr>
          <w:rFonts w:hint="cs"/>
          <w:rtl/>
        </w:rPr>
        <w:t>ويرد مشرو</w:t>
      </w:r>
      <w:r w:rsidRPr="0089148B">
        <w:rPr>
          <w:rtl/>
        </w:rPr>
        <w:t xml:space="preserve">ع مراجعة </w:t>
      </w:r>
      <w:r w:rsidR="00655178">
        <w:rPr>
          <w:rFonts w:hint="cs"/>
          <w:rtl/>
        </w:rPr>
        <w:t>مجال التطبيق والفقرتين</w:t>
      </w:r>
      <w:r w:rsidR="00655178" w:rsidRPr="00AC1A8C">
        <w:rPr>
          <w:rtl/>
        </w:rPr>
        <w:t xml:space="preserve"> </w:t>
      </w:r>
      <w:r w:rsidR="00655178">
        <w:rPr>
          <w:rFonts w:hint="cs"/>
          <w:rtl/>
        </w:rPr>
        <w:t>"</w:t>
      </w:r>
      <w:r w:rsidR="00C97C45">
        <w:rPr>
          <w:rFonts w:hint="cs"/>
          <w:i/>
          <w:iCs/>
          <w:rtl/>
        </w:rPr>
        <w:t> </w:t>
      </w:r>
      <w:r w:rsidR="00655178" w:rsidRPr="00C97C45">
        <w:rPr>
          <w:i/>
          <w:iCs/>
          <w:rtl/>
        </w:rPr>
        <w:t xml:space="preserve">إذ </w:t>
      </w:r>
      <w:r w:rsidR="00655178" w:rsidRPr="00C97C45">
        <w:rPr>
          <w:rFonts w:hint="cs"/>
          <w:i/>
          <w:iCs/>
          <w:rtl/>
        </w:rPr>
        <w:t>ت</w:t>
      </w:r>
      <w:r w:rsidR="00655178" w:rsidRPr="00C97C45">
        <w:rPr>
          <w:i/>
          <w:iCs/>
          <w:rtl/>
        </w:rPr>
        <w:t>ضع في اعتباره</w:t>
      </w:r>
      <w:r w:rsidR="00655178" w:rsidRPr="00C97C45">
        <w:rPr>
          <w:rFonts w:hint="cs"/>
          <w:i/>
          <w:iCs/>
          <w:rtl/>
        </w:rPr>
        <w:t>ا</w:t>
      </w:r>
      <w:r w:rsidR="00655178">
        <w:rPr>
          <w:rFonts w:hint="cs"/>
          <w:rtl/>
        </w:rPr>
        <w:t>"</w:t>
      </w:r>
      <w:r w:rsidR="00655178" w:rsidRPr="00AC1A8C">
        <w:rPr>
          <w:rtl/>
        </w:rPr>
        <w:t xml:space="preserve"> و</w:t>
      </w:r>
      <w:r w:rsidR="00655178">
        <w:rPr>
          <w:rFonts w:hint="cs"/>
          <w:rtl/>
        </w:rPr>
        <w:t>"</w:t>
      </w:r>
      <w:r w:rsidR="00C97C45">
        <w:rPr>
          <w:rFonts w:hint="eastAsia"/>
          <w:rtl/>
        </w:rPr>
        <w:t> </w:t>
      </w:r>
      <w:r w:rsidR="00655178" w:rsidRPr="00C97C45">
        <w:rPr>
          <w:rFonts w:hint="cs"/>
          <w:i/>
          <w:iCs/>
          <w:rtl/>
        </w:rPr>
        <w:t>ت</w:t>
      </w:r>
      <w:r w:rsidR="00655178" w:rsidRPr="00C97C45">
        <w:rPr>
          <w:i/>
          <w:iCs/>
          <w:rtl/>
        </w:rPr>
        <w:t>وصي</w:t>
      </w:r>
      <w:r w:rsidR="00655178">
        <w:rPr>
          <w:rFonts w:hint="cs"/>
          <w:rtl/>
        </w:rPr>
        <w:t>"</w:t>
      </w:r>
      <w:r w:rsidR="00655178" w:rsidRPr="00AC1A8C">
        <w:rPr>
          <w:rtl/>
        </w:rPr>
        <w:t xml:space="preserve">، </w:t>
      </w:r>
      <w:r w:rsidR="00655178">
        <w:rPr>
          <w:rFonts w:hint="cs"/>
          <w:rtl/>
        </w:rPr>
        <w:t>في المرفق</w:t>
      </w:r>
      <w:r w:rsidRPr="0089148B">
        <w:rPr>
          <w:rtl/>
        </w:rPr>
        <w:t xml:space="preserve"> </w:t>
      </w:r>
      <w:r w:rsidR="00655178">
        <w:t>A</w:t>
      </w:r>
      <w:r w:rsidR="00655178">
        <w:rPr>
          <w:rFonts w:hint="cs"/>
          <w:rtl/>
        </w:rPr>
        <w:t>،</w:t>
      </w:r>
      <w:r w:rsidRPr="0089148B">
        <w:rPr>
          <w:rtl/>
        </w:rPr>
        <w:t xml:space="preserve"> </w:t>
      </w:r>
      <w:r w:rsidR="00655178">
        <w:rPr>
          <w:rFonts w:hint="cs"/>
          <w:rtl/>
        </w:rPr>
        <w:t>ويرد مشروع مراجعة الملحق</w:t>
      </w:r>
      <w:r w:rsidR="00FF26A9">
        <w:rPr>
          <w:rFonts w:hint="eastAsia"/>
          <w:rtl/>
        </w:rPr>
        <w:t> </w:t>
      </w:r>
      <w:r w:rsidR="00655178">
        <w:rPr>
          <w:lang w:val="en-GB"/>
        </w:rPr>
        <w:t>2</w:t>
      </w:r>
      <w:r w:rsidRPr="0089148B">
        <w:rPr>
          <w:rtl/>
        </w:rPr>
        <w:t xml:space="preserve"> </w:t>
      </w:r>
      <w:r w:rsidR="00655178">
        <w:rPr>
          <w:rFonts w:hint="cs"/>
          <w:rtl/>
        </w:rPr>
        <w:t>في المرفق</w:t>
      </w:r>
      <w:r w:rsidR="00655178" w:rsidRPr="0089148B">
        <w:rPr>
          <w:rtl/>
        </w:rPr>
        <w:t xml:space="preserve"> </w:t>
      </w:r>
      <w:r w:rsidR="00655178">
        <w:t>B</w:t>
      </w:r>
      <w:r w:rsidR="00655178">
        <w:rPr>
          <w:rFonts w:hint="cs"/>
          <w:rtl/>
        </w:rPr>
        <w:t>.</w:t>
      </w:r>
      <w:r w:rsidR="00655178" w:rsidRPr="0089148B">
        <w:rPr>
          <w:rtl/>
        </w:rPr>
        <w:t xml:space="preserve"> </w:t>
      </w:r>
      <w:r w:rsidRPr="0089148B">
        <w:rPr>
          <w:rtl/>
        </w:rPr>
        <w:t xml:space="preserve">ولا توجد أي مراجعات للملحق </w:t>
      </w:r>
      <w:r w:rsidR="00655178">
        <w:t>1</w:t>
      </w:r>
      <w:r w:rsidR="00655178">
        <w:rPr>
          <w:rFonts w:hint="cs"/>
          <w:rtl/>
        </w:rPr>
        <w:t>.</w:t>
      </w:r>
    </w:p>
    <w:p w14:paraId="0B750A9F" w14:textId="04678E5D" w:rsidR="0070381F" w:rsidRPr="00E6347A" w:rsidRDefault="0070381F" w:rsidP="0070381F">
      <w:pPr>
        <w:tabs>
          <w:tab w:val="left" w:pos="8505"/>
          <w:tab w:val="left" w:pos="9355"/>
        </w:tabs>
        <w:spacing w:before="360"/>
        <w:rPr>
          <w:rtl/>
          <w:lang w:bidi="ar-EG"/>
        </w:rPr>
      </w:pPr>
      <w:r w:rsidRPr="00FF26A9">
        <w:rPr>
          <w:rFonts w:hint="cs"/>
          <w:u w:val="single"/>
          <w:rtl/>
        </w:rPr>
        <w:t>مشروع التوصية</w:t>
      </w:r>
      <w:r w:rsidR="00A1185E" w:rsidRPr="00FF26A9">
        <w:rPr>
          <w:rFonts w:hint="cs"/>
          <w:u w:val="single"/>
          <w:rtl/>
        </w:rPr>
        <w:t xml:space="preserve"> الجديدة</w:t>
      </w:r>
      <w:r w:rsidR="00733F00">
        <w:rPr>
          <w:rFonts w:hint="cs"/>
          <w:u w:val="single"/>
          <w:rtl/>
        </w:rPr>
        <w:t xml:space="preserve"> </w:t>
      </w:r>
      <w:r w:rsidR="0069120A" w:rsidRPr="00FF26A9">
        <w:rPr>
          <w:u w:val="single"/>
        </w:rPr>
        <w:t>ITU-R P.[</w:t>
      </w:r>
      <w:proofErr w:type="spellStart"/>
      <w:r w:rsidR="0069120A" w:rsidRPr="00FF26A9">
        <w:rPr>
          <w:u w:val="single"/>
        </w:rPr>
        <w:t>P.676</w:t>
      </w:r>
      <w:proofErr w:type="spellEnd"/>
      <w:r w:rsidR="0069120A" w:rsidRPr="00FF26A9">
        <w:rPr>
          <w:u w:val="single"/>
        </w:rPr>
        <w:t xml:space="preserve"> MAPS]</w:t>
      </w:r>
      <w:r w:rsidR="00F60D03" w:rsidRPr="006F0A9E">
        <w:rPr>
          <w:rFonts w:hint="cs"/>
          <w:vertAlign w:val="superscript"/>
          <w:rtl/>
        </w:rPr>
        <w:t>2</w:t>
      </w:r>
      <w:r w:rsidRPr="00FF26A9">
        <w:rPr>
          <w:rtl/>
          <w:lang w:bidi="ar-EG"/>
        </w:rPr>
        <w:tab/>
      </w:r>
      <w:r w:rsidRPr="00FF26A9">
        <w:rPr>
          <w:rFonts w:hint="cs"/>
          <w:rtl/>
          <w:lang w:bidi="ar-EG"/>
        </w:rPr>
        <w:t xml:space="preserve">الوثيقة </w:t>
      </w:r>
      <w:r w:rsidRPr="00FF26A9">
        <w:rPr>
          <w:bCs/>
        </w:rPr>
        <w:t>3/78</w:t>
      </w:r>
    </w:p>
    <w:p w14:paraId="242526C4" w14:textId="506CFBF7" w:rsidR="0070381F" w:rsidRDefault="00655178" w:rsidP="0070381F">
      <w:pPr>
        <w:pStyle w:val="Rectitle"/>
        <w:spacing w:before="240" w:after="240"/>
        <w:rPr>
          <w:rtl/>
          <w:lang w:bidi="ar-EG"/>
        </w:rPr>
      </w:pPr>
      <w:r>
        <w:rPr>
          <w:rFonts w:hint="cs"/>
          <w:rtl/>
          <w:lang w:bidi="ar-EG"/>
        </w:rPr>
        <w:t>الخرائط الرقمية المتعلقة بحساب التوهين الغازي</w:t>
      </w:r>
      <w:r w:rsidR="00FE013F">
        <w:rPr>
          <w:rFonts w:hint="cs"/>
          <w:rtl/>
        </w:rPr>
        <w:t xml:space="preserve"> والتأثيرات</w:t>
      </w:r>
      <w:r>
        <w:rPr>
          <w:rFonts w:hint="cs"/>
          <w:rtl/>
          <w:lang w:bidi="ar-EG"/>
        </w:rPr>
        <w:t xml:space="preserve"> ذات الصلة</w:t>
      </w:r>
    </w:p>
    <w:p w14:paraId="404CFF1A" w14:textId="20161F7F" w:rsidR="0070381F" w:rsidRPr="00676851" w:rsidRDefault="00E842FB" w:rsidP="00E842FB">
      <w:r w:rsidRPr="00733F00">
        <w:rPr>
          <w:rFonts w:hint="cs"/>
          <w:rtl/>
        </w:rPr>
        <w:t xml:space="preserve">يحتوي </w:t>
      </w:r>
      <w:r w:rsidRPr="00733F00">
        <w:rPr>
          <w:rtl/>
        </w:rPr>
        <w:t xml:space="preserve">مشروع التوصية الجديدة </w:t>
      </w:r>
      <w:r w:rsidRPr="00733F00">
        <w:t>ITU-R P.[</w:t>
      </w:r>
      <w:proofErr w:type="spellStart"/>
      <w:r w:rsidRPr="00733F00">
        <w:t>P.676</w:t>
      </w:r>
      <w:proofErr w:type="spellEnd"/>
      <w:r w:rsidRPr="00733F00">
        <w:t xml:space="preserve"> Maps]</w:t>
      </w:r>
      <w:r w:rsidRPr="00733F00">
        <w:rPr>
          <w:rtl/>
        </w:rPr>
        <w:t xml:space="preserve"> </w:t>
      </w:r>
      <w:r w:rsidR="00B3122E">
        <w:rPr>
          <w:rFonts w:hint="cs"/>
          <w:rtl/>
        </w:rPr>
        <w:t xml:space="preserve">هذا </w:t>
      </w:r>
      <w:r w:rsidRPr="00733F00">
        <w:rPr>
          <w:rFonts w:hint="cs"/>
          <w:rtl/>
        </w:rPr>
        <w:t xml:space="preserve">على </w:t>
      </w:r>
      <w:r w:rsidRPr="00733F00">
        <w:rPr>
          <w:rtl/>
        </w:rPr>
        <w:t>خرائط رقمية متكاملة للضغط الكلي</w:t>
      </w:r>
      <w:r w:rsidRPr="00733F00">
        <w:rPr>
          <w:rFonts w:hint="cs"/>
          <w:rtl/>
        </w:rPr>
        <w:t xml:space="preserve"> السطحي</w:t>
      </w:r>
      <w:r w:rsidRPr="00733F00">
        <w:rPr>
          <w:rtl/>
        </w:rPr>
        <w:t xml:space="preserve"> (</w:t>
      </w:r>
      <w:r w:rsidR="007973CE" w:rsidRPr="00733F00">
        <w:rPr>
          <w:rFonts w:hint="cs"/>
          <w:rtl/>
        </w:rPr>
        <w:t>الجوي</w:t>
      </w:r>
      <w:r w:rsidRPr="00733F00">
        <w:rPr>
          <w:rtl/>
        </w:rPr>
        <w:t>) ودرجة حرارة السطح</w:t>
      </w:r>
      <w:r w:rsidRPr="00733F00">
        <w:rPr>
          <w:rFonts w:hint="cs"/>
          <w:rtl/>
        </w:rPr>
        <w:t>،</w:t>
      </w:r>
      <w:r w:rsidRPr="00733F00">
        <w:rPr>
          <w:rtl/>
        </w:rPr>
        <w:t xml:space="preserve"> وكثافة بخار </w:t>
      </w:r>
      <w:r w:rsidRPr="00733F00">
        <w:rPr>
          <w:rFonts w:hint="cs"/>
          <w:rtl/>
        </w:rPr>
        <w:t>المياه السطحية،</w:t>
      </w:r>
      <w:r w:rsidRPr="00733F00">
        <w:rPr>
          <w:rtl/>
        </w:rPr>
        <w:t xml:space="preserve"> ومحتوى</w:t>
      </w:r>
      <w:r w:rsidRPr="00733F00">
        <w:rPr>
          <w:rFonts w:hint="cs"/>
          <w:rtl/>
        </w:rPr>
        <w:t xml:space="preserve"> بخار الماء</w:t>
      </w:r>
      <w:r w:rsidRPr="00733F00">
        <w:rPr>
          <w:rtl/>
        </w:rPr>
        <w:t xml:space="preserve"> المتكامل</w:t>
      </w:r>
      <w:r w:rsidR="0058171A" w:rsidRPr="00733F00">
        <w:rPr>
          <w:rFonts w:hint="cs"/>
          <w:rtl/>
        </w:rPr>
        <w:t>،</w:t>
      </w:r>
      <w:r w:rsidRPr="00733F00">
        <w:rPr>
          <w:rtl/>
        </w:rPr>
        <w:t xml:space="preserve"> مشار إليه</w:t>
      </w:r>
      <w:r w:rsidR="0058171A" w:rsidRPr="00733F00">
        <w:rPr>
          <w:rFonts w:hint="cs"/>
          <w:rtl/>
        </w:rPr>
        <w:t>ا</w:t>
      </w:r>
      <w:r w:rsidRPr="00733F00">
        <w:rPr>
          <w:rtl/>
        </w:rPr>
        <w:t xml:space="preserve"> في </w:t>
      </w:r>
      <w:r w:rsidR="0058171A" w:rsidRPr="00733F00">
        <w:rPr>
          <w:rFonts w:hint="cs"/>
          <w:rtl/>
        </w:rPr>
        <w:t>النص ذي الصلة ل</w:t>
      </w:r>
      <w:r w:rsidRPr="00733F00">
        <w:rPr>
          <w:rtl/>
        </w:rPr>
        <w:t xml:space="preserve">مشروع مراجعة </w:t>
      </w:r>
      <w:r w:rsidR="007B5BC0" w:rsidRPr="00733F00">
        <w:rPr>
          <w:rFonts w:hint="cs"/>
          <w:rtl/>
        </w:rPr>
        <w:t>ا</w:t>
      </w:r>
      <w:r w:rsidRPr="00733F00">
        <w:rPr>
          <w:rtl/>
        </w:rPr>
        <w:t xml:space="preserve">لتوصية </w:t>
      </w:r>
      <w:hyperlink r:id="rId11" w:history="1">
        <w:r w:rsidRPr="00733F00">
          <w:rPr>
            <w:rStyle w:val="Hyperlink"/>
          </w:rPr>
          <w:t xml:space="preserve">ITU-R </w:t>
        </w:r>
        <w:proofErr w:type="spellStart"/>
        <w:r w:rsidR="007B5BC0" w:rsidRPr="00733F00">
          <w:rPr>
            <w:rStyle w:val="Hyperlink"/>
          </w:rPr>
          <w:t>P</w:t>
        </w:r>
        <w:r w:rsidRPr="00733F00">
          <w:rPr>
            <w:rStyle w:val="Hyperlink"/>
          </w:rPr>
          <w:t>.676</w:t>
        </w:r>
        <w:proofErr w:type="spellEnd"/>
        <w:r w:rsidRPr="00733F00">
          <w:rPr>
            <w:rStyle w:val="Hyperlink"/>
          </w:rPr>
          <w:t>-12</w:t>
        </w:r>
      </w:hyperlink>
      <w:r w:rsidRPr="00733F00">
        <w:rPr>
          <w:rtl/>
        </w:rPr>
        <w:t xml:space="preserve">، الملحق </w:t>
      </w:r>
      <w:r w:rsidR="007B5BC0" w:rsidRPr="00733F00">
        <w:t>2</w:t>
      </w:r>
      <w:r w:rsidR="007B5BC0" w:rsidRPr="00733F00">
        <w:rPr>
          <w:rFonts w:hint="cs"/>
          <w:rtl/>
        </w:rPr>
        <w:t>.</w:t>
      </w:r>
      <w:r w:rsidR="00BF4038" w:rsidRPr="00733F00">
        <w:rPr>
          <w:rFonts w:hint="cs"/>
          <w:rtl/>
        </w:rPr>
        <w:t xml:space="preserve"> انظر الوثيقة </w:t>
      </w:r>
      <w:r w:rsidR="001C453F">
        <w:fldChar w:fldCharType="begin"/>
      </w:r>
      <w:r w:rsidR="001C453F">
        <w:instrText>HYPERLINK "https://www.itu.int/md/R19-SG03-C-0077/en"</w:instrText>
      </w:r>
      <w:r w:rsidR="001C453F">
        <w:fldChar w:fldCharType="separate"/>
      </w:r>
      <w:r w:rsidR="00BF4038" w:rsidRPr="00733F00">
        <w:rPr>
          <w:rStyle w:val="Hyperlink"/>
        </w:rPr>
        <w:t>3/77(</w:t>
      </w:r>
      <w:proofErr w:type="spellStart"/>
      <w:r w:rsidR="00BF4038" w:rsidRPr="00733F00">
        <w:rPr>
          <w:rStyle w:val="Hyperlink"/>
        </w:rPr>
        <w:t>Rev.1</w:t>
      </w:r>
      <w:proofErr w:type="spellEnd"/>
      <w:r w:rsidR="00BF4038" w:rsidRPr="00733F00">
        <w:rPr>
          <w:rStyle w:val="Hyperlink"/>
        </w:rPr>
        <w:t>)</w:t>
      </w:r>
      <w:r w:rsidR="001C453F">
        <w:rPr>
          <w:rStyle w:val="Hyperlink"/>
        </w:rPr>
        <w:fldChar w:fldCharType="end"/>
      </w:r>
      <w:r w:rsidR="00BF4038" w:rsidRPr="00733F00">
        <w:rPr>
          <w:rFonts w:hint="cs"/>
          <w:rtl/>
        </w:rPr>
        <w:t>.</w:t>
      </w:r>
    </w:p>
    <w:p w14:paraId="64E35060" w14:textId="3224DF74" w:rsidR="0070381F" w:rsidRDefault="00AB25E0" w:rsidP="0069120A">
      <w:pPr>
        <w:rPr>
          <w:rtl/>
          <w:lang w:val="en-GB"/>
        </w:rPr>
      </w:pPr>
      <w:r w:rsidRPr="00733F00">
        <w:rPr>
          <w:rFonts w:hint="cs"/>
          <w:rtl/>
        </w:rPr>
        <w:t>واستُمدت</w:t>
      </w:r>
      <w:r w:rsidR="006E4370" w:rsidRPr="00733F00">
        <w:rPr>
          <w:rFonts w:hint="cs"/>
          <w:rtl/>
        </w:rPr>
        <w:t xml:space="preserve"> هذه الخرائط الرقمية </w:t>
      </w:r>
      <w:r w:rsidR="006E4370" w:rsidRPr="00733F00">
        <w:rPr>
          <w:rFonts w:hint="cs"/>
          <w:rtl/>
          <w:lang w:val="en-GB"/>
        </w:rPr>
        <w:t xml:space="preserve">من </w:t>
      </w:r>
      <w:r w:rsidR="001A2573" w:rsidRPr="00733F00">
        <w:rPr>
          <w:rFonts w:hint="cs"/>
          <w:rtl/>
          <w:lang w:val="en-GB"/>
        </w:rPr>
        <w:t>إعادة تحليل الغلاف الجوي للمناخ العالمي</w:t>
      </w:r>
      <w:r w:rsidR="00632D2B" w:rsidRPr="00733F00">
        <w:rPr>
          <w:rFonts w:hint="cs"/>
          <w:rtl/>
          <w:lang w:val="en-GB"/>
        </w:rPr>
        <w:t xml:space="preserve"> من الجيل الخامس</w:t>
      </w:r>
      <w:r w:rsidR="001A2573" w:rsidRPr="00733F00">
        <w:rPr>
          <w:rFonts w:hint="cs"/>
          <w:rtl/>
          <w:lang w:val="en-GB"/>
        </w:rPr>
        <w:t xml:space="preserve"> </w:t>
      </w:r>
      <w:r w:rsidR="001A2573" w:rsidRPr="00733F00">
        <w:rPr>
          <w:lang w:val="en-GB"/>
        </w:rPr>
        <w:t>(</w:t>
      </w:r>
      <w:proofErr w:type="spellStart"/>
      <w:r w:rsidR="001A2573" w:rsidRPr="00733F00">
        <w:rPr>
          <w:lang w:val="en-GB"/>
        </w:rPr>
        <w:t>ERA5</w:t>
      </w:r>
      <w:proofErr w:type="spellEnd"/>
      <w:r w:rsidR="001A2573" w:rsidRPr="00733F00">
        <w:rPr>
          <w:lang w:val="en-GB"/>
        </w:rPr>
        <w:t>)</w:t>
      </w:r>
      <w:r w:rsidR="001A2573" w:rsidRPr="00733F00">
        <w:rPr>
          <w:rFonts w:hint="cs"/>
          <w:rtl/>
          <w:lang w:val="en-GB"/>
        </w:rPr>
        <w:t xml:space="preserve"> </w:t>
      </w:r>
      <w:r w:rsidR="00632D2B" w:rsidRPr="00733F00">
        <w:rPr>
          <w:rFonts w:hint="cs"/>
          <w:color w:val="000000"/>
          <w:rtl/>
        </w:rPr>
        <w:t xml:space="preserve">التي أجراها </w:t>
      </w:r>
      <w:r w:rsidR="006E4370" w:rsidRPr="00733F00">
        <w:rPr>
          <w:color w:val="000000"/>
          <w:rtl/>
        </w:rPr>
        <w:t>المركز الأوروبي للتنبؤات الجوية متوسطة المدى</w:t>
      </w:r>
      <w:r w:rsidR="006E4370" w:rsidRPr="00733F00">
        <w:rPr>
          <w:rtl/>
          <w:lang w:val="en-GB"/>
        </w:rPr>
        <w:t xml:space="preserve"> (</w:t>
      </w:r>
      <w:r w:rsidR="006E4370" w:rsidRPr="00733F00">
        <w:rPr>
          <w:lang w:val="en-GB"/>
        </w:rPr>
        <w:t>ECMWF</w:t>
      </w:r>
      <w:r w:rsidR="006E4370" w:rsidRPr="00733F00">
        <w:rPr>
          <w:rtl/>
          <w:lang w:val="en-GB"/>
        </w:rPr>
        <w:t xml:space="preserve">) </w:t>
      </w:r>
      <w:r w:rsidR="00632D2B" w:rsidRPr="00733F00">
        <w:rPr>
          <w:rFonts w:hint="cs"/>
          <w:rtl/>
        </w:rPr>
        <w:t>خلال</w:t>
      </w:r>
      <w:r w:rsidR="00F725D8" w:rsidRPr="00733F00">
        <w:rPr>
          <w:rFonts w:hint="cs"/>
          <w:rtl/>
        </w:rPr>
        <w:t xml:space="preserve"> </w:t>
      </w:r>
      <w:r w:rsidR="00F725D8" w:rsidRPr="00733F00">
        <w:rPr>
          <w:lang w:val="en-GB"/>
        </w:rPr>
        <w:t>30</w:t>
      </w:r>
      <w:r w:rsidR="00F725D8" w:rsidRPr="00733F00">
        <w:rPr>
          <w:rFonts w:hint="cs"/>
          <w:rtl/>
          <w:lang w:val="en-GB"/>
        </w:rPr>
        <w:t xml:space="preserve"> عاماً </w:t>
      </w:r>
      <w:r w:rsidR="00F725D8" w:rsidRPr="00733F00">
        <w:rPr>
          <w:lang w:val="en-GB"/>
        </w:rPr>
        <w:t>(2020-1991)</w:t>
      </w:r>
      <w:r w:rsidR="00F725D8" w:rsidRPr="00733F00">
        <w:rPr>
          <w:rFonts w:hint="cs"/>
          <w:rtl/>
          <w:lang w:val="en-GB"/>
        </w:rPr>
        <w:t xml:space="preserve"> </w:t>
      </w:r>
      <w:r w:rsidR="006E4370" w:rsidRPr="00733F00">
        <w:rPr>
          <w:rtl/>
          <w:lang w:val="en-GB"/>
        </w:rPr>
        <w:t xml:space="preserve">وهو ما حسّن بشكل كبير </w:t>
      </w:r>
      <w:r w:rsidR="008B1C5B">
        <w:rPr>
          <w:rFonts w:hint="cs"/>
          <w:rtl/>
          <w:lang w:val="en-GB"/>
        </w:rPr>
        <w:t>الدقة</w:t>
      </w:r>
      <w:r w:rsidR="006E4370" w:rsidRPr="00733F00">
        <w:rPr>
          <w:rtl/>
          <w:lang w:val="en-GB"/>
        </w:rPr>
        <w:t xml:space="preserve"> المكانية والدقة الإحصائية لمختلف معلمات الأرصاد الجوية.</w:t>
      </w:r>
    </w:p>
    <w:p w14:paraId="269FE5E6" w14:textId="779AD87B" w:rsidR="0069120A" w:rsidRPr="00CC6A27" w:rsidRDefault="0069120A" w:rsidP="00CC6A27">
      <w:pPr>
        <w:tabs>
          <w:tab w:val="left" w:pos="7796"/>
          <w:tab w:val="left" w:pos="9355"/>
        </w:tabs>
        <w:spacing w:before="360"/>
        <w:rPr>
          <w:rtl/>
          <w:lang w:bidi="ar-EG"/>
        </w:rPr>
      </w:pPr>
      <w:r w:rsidRPr="00661CC4">
        <w:rPr>
          <w:u w:val="single"/>
          <w:rtl/>
        </w:rPr>
        <w:t>مشروع التوصية</w:t>
      </w:r>
      <w:r w:rsidR="00621CC4" w:rsidRPr="00661CC4">
        <w:rPr>
          <w:rFonts w:hint="cs"/>
          <w:u w:val="single"/>
          <w:rtl/>
        </w:rPr>
        <w:t xml:space="preserve"> الجديدة</w:t>
      </w:r>
      <w:r w:rsidRPr="00661CC4">
        <w:rPr>
          <w:rStyle w:val="FootnoteReference"/>
          <w:u w:val="single"/>
          <w:rtl/>
        </w:rPr>
        <w:t xml:space="preserve"> </w:t>
      </w:r>
      <w:r w:rsidRPr="00661CC4">
        <w:rPr>
          <w:u w:val="single"/>
        </w:rPr>
        <w:t>ITU-R P.</w:t>
      </w:r>
      <w:r w:rsidR="00CC6A27" w:rsidRPr="00661CC4">
        <w:rPr>
          <w:u w:val="single"/>
        </w:rPr>
        <w:t xml:space="preserve"> [</w:t>
      </w:r>
      <w:proofErr w:type="spellStart"/>
      <w:r w:rsidR="00CC6A27" w:rsidRPr="00661CC4">
        <w:rPr>
          <w:u w:val="single"/>
        </w:rPr>
        <w:t>SEA_SURFACE_BISTATIC_SCATTERING</w:t>
      </w:r>
      <w:proofErr w:type="spellEnd"/>
      <w:r w:rsidR="00CC6A27" w:rsidRPr="00661CC4">
        <w:rPr>
          <w:u w:val="single"/>
        </w:rPr>
        <w:t>]</w:t>
      </w:r>
      <w:r w:rsidR="00CC6A27" w:rsidRPr="00661CC4">
        <w:rPr>
          <w:rStyle w:val="FootnoteReference"/>
          <w:rtl/>
        </w:rPr>
        <w:footnoteReference w:customMarkFollows="1" w:id="3"/>
        <w:t>3</w:t>
      </w:r>
      <w:r w:rsidRPr="00661CC4">
        <w:rPr>
          <w:rtl/>
          <w:lang w:bidi="ar-EG"/>
        </w:rPr>
        <w:tab/>
        <w:t xml:space="preserve">الوثيقة </w:t>
      </w:r>
      <w:r w:rsidRPr="00661CC4">
        <w:rPr>
          <w:bCs/>
        </w:rPr>
        <w:t>3/</w:t>
      </w:r>
      <w:r w:rsidR="00CC6A27" w:rsidRPr="00661CC4">
        <w:rPr>
          <w:bCs/>
        </w:rPr>
        <w:t>79(</w:t>
      </w:r>
      <w:proofErr w:type="spellStart"/>
      <w:r w:rsidR="00CC6A27" w:rsidRPr="00661CC4">
        <w:rPr>
          <w:bCs/>
        </w:rPr>
        <w:t>Rev.1</w:t>
      </w:r>
      <w:proofErr w:type="spellEnd"/>
      <w:r w:rsidR="00CC6A27" w:rsidRPr="00661CC4">
        <w:rPr>
          <w:bCs/>
        </w:rPr>
        <w:t>)</w:t>
      </w:r>
    </w:p>
    <w:p w14:paraId="39A6C153" w14:textId="4B4A4C3C" w:rsidR="0070381F" w:rsidRPr="008D7AFA" w:rsidRDefault="00DE40AD" w:rsidP="00932548">
      <w:pPr>
        <w:pStyle w:val="Rectitle"/>
        <w:spacing w:before="240" w:after="240"/>
        <w:rPr>
          <w:lang w:val="en-GB" w:bidi="ar-EG"/>
        </w:rPr>
      </w:pPr>
      <w:r>
        <w:rPr>
          <w:rFonts w:hint="cs"/>
          <w:rtl/>
          <w:lang w:bidi="ar-EG"/>
        </w:rPr>
        <w:t>الانتثار بمحطتين عند سطح البحر</w:t>
      </w:r>
    </w:p>
    <w:p w14:paraId="4D534EB7" w14:textId="32D681F6" w:rsidR="0070381F" w:rsidRPr="00CB604C" w:rsidRDefault="008D7AFA" w:rsidP="00661CC4">
      <w:r>
        <w:rPr>
          <w:rFonts w:hint="cs"/>
          <w:rtl/>
        </w:rPr>
        <w:t>يقد</w:t>
      </w:r>
      <w:r w:rsidRPr="008D7AFA">
        <w:rPr>
          <w:rtl/>
        </w:rPr>
        <w:t xml:space="preserve">م مشروع التوصية الجديدة </w:t>
      </w:r>
      <w:r>
        <w:rPr>
          <w:rFonts w:hint="cs"/>
          <w:rtl/>
        </w:rPr>
        <w:t xml:space="preserve">هذا </w:t>
      </w:r>
      <w:r w:rsidRPr="008D7AFA">
        <w:rPr>
          <w:rtl/>
        </w:rPr>
        <w:t>طريقة للتنبؤ بمعامل الانتثار بمحطتين ومعامل الانعكاس المتماسك لسطح البحر</w:t>
      </w:r>
      <w:r>
        <w:rPr>
          <w:rFonts w:hint="cs"/>
          <w:rtl/>
        </w:rPr>
        <w:t>. وي</w:t>
      </w:r>
      <w:r w:rsidRPr="008D7AFA">
        <w:rPr>
          <w:rtl/>
        </w:rPr>
        <w:t xml:space="preserve">مكن تطبيق هذا النموذج عند أي زاوية ارتفاع، باستثناء الورود التماسي، </w:t>
      </w:r>
      <w:r>
        <w:rPr>
          <w:rFonts w:hint="cs"/>
          <w:rtl/>
        </w:rPr>
        <w:t>و</w:t>
      </w:r>
      <w:r w:rsidRPr="008D7AFA">
        <w:rPr>
          <w:rtl/>
        </w:rPr>
        <w:t xml:space="preserve">ينطبق على ترددات تصل إلى </w:t>
      </w:r>
      <w:r w:rsidR="00B77943">
        <w:t>G</w:t>
      </w:r>
      <w:r w:rsidRPr="008D7AFA">
        <w:t>Hz 100</w:t>
      </w:r>
      <w:r w:rsidRPr="008D7AFA">
        <w:rPr>
          <w:rtl/>
        </w:rPr>
        <w:t xml:space="preserve"> ولسرعات رياح تتراوح بين </w:t>
      </w:r>
      <w:r w:rsidRPr="008D7AFA">
        <w:t>m/s 0,5</w:t>
      </w:r>
      <w:r w:rsidRPr="008D7AFA">
        <w:rPr>
          <w:rtl/>
        </w:rPr>
        <w:t xml:space="preserve"> و</w:t>
      </w:r>
      <w:r w:rsidRPr="008D7AFA">
        <w:t>m/s 25</w:t>
      </w:r>
      <w:r w:rsidRPr="008D7AFA">
        <w:rPr>
          <w:rtl/>
        </w:rPr>
        <w:t>.</w:t>
      </w:r>
    </w:p>
    <w:p w14:paraId="06E73484" w14:textId="378FA2D6" w:rsidR="00CC6A27" w:rsidRPr="0069120A" w:rsidRDefault="00CC6A27" w:rsidP="00CC6A27">
      <w:pPr>
        <w:tabs>
          <w:tab w:val="left" w:pos="7938"/>
        </w:tabs>
        <w:spacing w:before="360"/>
        <w:rPr>
          <w:u w:val="single"/>
        </w:rPr>
      </w:pPr>
      <w:r w:rsidRPr="0069120A">
        <w:rPr>
          <w:u w:val="single"/>
          <w:rtl/>
        </w:rPr>
        <w:t>مشروع مراجَعة التوصية</w:t>
      </w:r>
      <w:r w:rsidRPr="0069120A">
        <w:rPr>
          <w:rFonts w:hint="cs"/>
          <w:u w:val="single"/>
          <w:rtl/>
        </w:rPr>
        <w:t xml:space="preserve"> </w:t>
      </w:r>
      <w:r w:rsidRPr="0069120A">
        <w:rPr>
          <w:u w:val="single"/>
        </w:rPr>
        <w:t xml:space="preserve">ITU-R </w:t>
      </w:r>
      <w:proofErr w:type="spellStart"/>
      <w:r w:rsidRPr="0069120A">
        <w:rPr>
          <w:u w:val="single"/>
        </w:rPr>
        <w:t>P.</w:t>
      </w:r>
      <w:r>
        <w:rPr>
          <w:u w:val="single"/>
        </w:rPr>
        <w:t>680</w:t>
      </w:r>
      <w:proofErr w:type="spellEnd"/>
      <w:r w:rsidRPr="0069120A">
        <w:rPr>
          <w:u w:val="single"/>
        </w:rPr>
        <w:t>-</w:t>
      </w:r>
      <w:r>
        <w:rPr>
          <w:u w:val="single"/>
        </w:rPr>
        <w:t>3</w:t>
      </w:r>
      <w:r w:rsidRPr="0069120A">
        <w:rPr>
          <w:rtl/>
        </w:rPr>
        <w:tab/>
        <w:t xml:space="preserve">الوثيقة </w:t>
      </w:r>
      <w:r w:rsidR="00374E35">
        <w:t>3/83(</w:t>
      </w:r>
      <w:proofErr w:type="spellStart"/>
      <w:r w:rsidR="00374E35">
        <w:t>Rev.1</w:t>
      </w:r>
      <w:proofErr w:type="spellEnd"/>
      <w:r w:rsidR="00374E35">
        <w:t>)</w:t>
      </w:r>
    </w:p>
    <w:p w14:paraId="5BBDEBBA" w14:textId="22FB61FE" w:rsidR="0070381F" w:rsidRPr="00CC6A27" w:rsidRDefault="00CC6A27" w:rsidP="00932548">
      <w:pPr>
        <w:pStyle w:val="Rectitle"/>
        <w:spacing w:before="240" w:after="240"/>
        <w:rPr>
          <w:rtl/>
        </w:rPr>
      </w:pPr>
      <w:r w:rsidRPr="006D39AA">
        <w:rPr>
          <w:rtl/>
          <w:lang w:bidi="ar-EG"/>
        </w:rPr>
        <w:t xml:space="preserve">بيانات الانتشار </w:t>
      </w:r>
      <w:r w:rsidR="00A20E96">
        <w:rPr>
          <w:rFonts w:hint="cs"/>
          <w:rtl/>
          <w:lang w:bidi="ar-EG"/>
        </w:rPr>
        <w:t>المطلوبة</w:t>
      </w:r>
      <w:r w:rsidRPr="006D39AA">
        <w:rPr>
          <w:rtl/>
          <w:lang w:bidi="ar-EG"/>
        </w:rPr>
        <w:t xml:space="preserve"> لتصميم أنظمة الاتصالات المتنقلة البحرية أرض-فضاء</w:t>
      </w:r>
    </w:p>
    <w:p w14:paraId="4A9C743E" w14:textId="0DEBD840" w:rsidR="006D39AA" w:rsidRPr="00671955" w:rsidRDefault="00CF3DD0" w:rsidP="00374E35">
      <w:pPr>
        <w:rPr>
          <w:rtl/>
          <w:lang w:val="en-GB" w:bidi="ar-EG"/>
        </w:rPr>
      </w:pPr>
      <w:r>
        <w:rPr>
          <w:rFonts w:hint="cs"/>
          <w:rtl/>
        </w:rPr>
        <w:t>يتضمن</w:t>
      </w:r>
      <w:r w:rsidR="006D39AA">
        <w:rPr>
          <w:rFonts w:hint="cs"/>
          <w:rtl/>
        </w:rPr>
        <w:t xml:space="preserve"> مشروع مراجعة التوصية </w:t>
      </w:r>
      <w:r w:rsidR="006D39AA">
        <w:rPr>
          <w:lang w:val="en-GB"/>
        </w:rPr>
        <w:t>ITU-R </w:t>
      </w:r>
      <w:proofErr w:type="spellStart"/>
      <w:r w:rsidR="006D39AA">
        <w:rPr>
          <w:lang w:val="en-GB"/>
        </w:rPr>
        <w:t>P.680</w:t>
      </w:r>
      <w:proofErr w:type="spellEnd"/>
      <w:r w:rsidR="006D39AA">
        <w:rPr>
          <w:lang w:val="en-GB"/>
        </w:rPr>
        <w:t>-3</w:t>
      </w:r>
      <w:r>
        <w:rPr>
          <w:rFonts w:hint="cs"/>
          <w:rtl/>
          <w:lang w:val="en-GB"/>
        </w:rPr>
        <w:t xml:space="preserve"> التعديلات التالية</w:t>
      </w:r>
      <w:r w:rsidR="006D39AA">
        <w:rPr>
          <w:rFonts w:hint="cs"/>
          <w:rtl/>
          <w:lang w:val="en-GB"/>
        </w:rPr>
        <w:t>:</w:t>
      </w:r>
    </w:p>
    <w:p w14:paraId="1B0B0283" w14:textId="757ED300" w:rsidR="0070381F" w:rsidRPr="00CC6A27" w:rsidRDefault="00CC6A27" w:rsidP="00CC6A27">
      <w:pPr>
        <w:pStyle w:val="enumlev1"/>
        <w:rPr>
          <w:rtl/>
          <w:lang w:bidi="ar-SA"/>
        </w:rPr>
      </w:pPr>
      <w:r w:rsidRPr="00661CC4">
        <w:rPr>
          <w:rFonts w:hint="cs"/>
          <w:rtl/>
        </w:rPr>
        <w:t>-</w:t>
      </w:r>
      <w:r w:rsidR="004A650C" w:rsidRPr="00661CC4">
        <w:tab/>
      </w:r>
      <w:r w:rsidR="00CF3DD0" w:rsidRPr="00661CC4">
        <w:rPr>
          <w:rFonts w:hint="cs"/>
          <w:rtl/>
        </w:rPr>
        <w:t xml:space="preserve">الاستعاضة عن المصطلح </w:t>
      </w:r>
      <w:r w:rsidR="00CF3DD0" w:rsidRPr="00661CC4">
        <w:t>‘fading depth’</w:t>
      </w:r>
      <w:r w:rsidR="00CF3DD0" w:rsidRPr="00661CC4">
        <w:rPr>
          <w:rFonts w:hint="cs"/>
          <w:rtl/>
        </w:rPr>
        <w:t xml:space="preserve"> بالمصطلح </w:t>
      </w:r>
      <w:r w:rsidR="00CF3DD0" w:rsidRPr="00661CC4">
        <w:t>‘fade depth’</w:t>
      </w:r>
      <w:r w:rsidR="00CF3DD0" w:rsidRPr="00661CC4">
        <w:rPr>
          <w:rFonts w:hint="cs"/>
          <w:rtl/>
        </w:rPr>
        <w:t xml:space="preserve"> في الفقرة 1.4 (من النص الإنكليزي)؛</w:t>
      </w:r>
    </w:p>
    <w:p w14:paraId="106C2878" w14:textId="1A324A72" w:rsidR="0070381F" w:rsidRPr="00CC6A27" w:rsidRDefault="00CC6A27" w:rsidP="00CC6A27">
      <w:pPr>
        <w:pStyle w:val="enumlev1"/>
        <w:rPr>
          <w:rtl/>
        </w:rPr>
      </w:pPr>
      <w:r w:rsidRPr="00CC6A27">
        <w:rPr>
          <w:rFonts w:hint="cs"/>
          <w:rtl/>
        </w:rPr>
        <w:t>-</w:t>
      </w:r>
      <w:r w:rsidR="004A650C" w:rsidRPr="00CC6A27">
        <w:tab/>
      </w:r>
      <w:r w:rsidR="006D39AA">
        <w:rPr>
          <w:rFonts w:hint="cs"/>
          <w:rtl/>
        </w:rPr>
        <w:t>توضيح طريقة الحساب؛</w:t>
      </w:r>
    </w:p>
    <w:p w14:paraId="1FED6756" w14:textId="0C33322E" w:rsidR="004A650C" w:rsidRDefault="00CC6A27" w:rsidP="00CC6A27">
      <w:pPr>
        <w:pStyle w:val="enumlev1"/>
        <w:rPr>
          <w:rtl/>
        </w:rPr>
      </w:pPr>
      <w:r w:rsidRPr="00CC6A27">
        <w:rPr>
          <w:rFonts w:hint="cs"/>
          <w:rtl/>
        </w:rPr>
        <w:t>-</w:t>
      </w:r>
      <w:r w:rsidR="004A650C" w:rsidRPr="00CC6A27">
        <w:tab/>
      </w:r>
      <w:r w:rsidR="006D39AA">
        <w:rPr>
          <w:rFonts w:hint="cs"/>
          <w:rtl/>
        </w:rPr>
        <w:t>توفير وصف واضح للطريقة.</w:t>
      </w:r>
    </w:p>
    <w:p w14:paraId="2283AE92" w14:textId="19ACF915" w:rsidR="00CC6A27" w:rsidRPr="00CC6A27" w:rsidRDefault="00CC6A27" w:rsidP="00CC6A27">
      <w:pPr>
        <w:tabs>
          <w:tab w:val="left" w:pos="8505"/>
          <w:tab w:val="left" w:pos="9355"/>
        </w:tabs>
        <w:spacing w:before="360"/>
        <w:rPr>
          <w:rtl/>
          <w:lang w:bidi="ar-EG"/>
        </w:rPr>
      </w:pPr>
      <w:r w:rsidRPr="0037323D">
        <w:rPr>
          <w:rFonts w:hint="cs"/>
          <w:u w:val="single"/>
          <w:rtl/>
        </w:rPr>
        <w:lastRenderedPageBreak/>
        <w:t>مشروع مراج</w:t>
      </w:r>
      <w:r>
        <w:rPr>
          <w:rFonts w:hint="cs"/>
          <w:u w:val="single"/>
          <w:rtl/>
        </w:rPr>
        <w:t>َ</w:t>
      </w:r>
      <w:r w:rsidRPr="0037323D">
        <w:rPr>
          <w:rFonts w:hint="cs"/>
          <w:u w:val="single"/>
          <w:rtl/>
        </w:rPr>
        <w:t>عة التوصية</w:t>
      </w:r>
      <w:r>
        <w:rPr>
          <w:rStyle w:val="FootnoteReference"/>
          <w:rFonts w:hint="cs"/>
          <w:u w:val="single"/>
          <w:rtl/>
        </w:rPr>
        <w:t xml:space="preserve"> </w:t>
      </w:r>
      <w:r>
        <w:rPr>
          <w:u w:val="single"/>
        </w:rPr>
        <w:t xml:space="preserve">ITU-R </w:t>
      </w:r>
      <w:proofErr w:type="spellStart"/>
      <w:r>
        <w:rPr>
          <w:u w:val="single"/>
        </w:rPr>
        <w:t>P.682</w:t>
      </w:r>
      <w:proofErr w:type="spellEnd"/>
      <w:r>
        <w:rPr>
          <w:u w:val="single"/>
        </w:rPr>
        <w:t>-3</w:t>
      </w:r>
      <w:r>
        <w:rPr>
          <w:rtl/>
          <w:lang w:bidi="ar-EG"/>
        </w:rPr>
        <w:tab/>
      </w:r>
      <w:r w:rsidRPr="004C7DFE">
        <w:rPr>
          <w:rFonts w:hint="cs"/>
          <w:rtl/>
          <w:lang w:bidi="ar-EG"/>
        </w:rPr>
        <w:t>الوثيقة</w:t>
      </w:r>
      <w:r>
        <w:rPr>
          <w:rFonts w:hint="cs"/>
          <w:rtl/>
          <w:lang w:bidi="ar-EG"/>
        </w:rPr>
        <w:t xml:space="preserve"> </w:t>
      </w:r>
      <w:r>
        <w:rPr>
          <w:bCs/>
        </w:rPr>
        <w:t>3/84</w:t>
      </w:r>
    </w:p>
    <w:p w14:paraId="4C30A956" w14:textId="7C03F2FA" w:rsidR="0076159F" w:rsidRPr="00CC6A27" w:rsidRDefault="00A20E96" w:rsidP="00932548">
      <w:pPr>
        <w:pStyle w:val="Rectitle"/>
        <w:spacing w:before="240" w:after="240"/>
        <w:rPr>
          <w:rtl/>
        </w:rPr>
      </w:pPr>
      <w:r w:rsidRPr="00374E35">
        <w:rPr>
          <w:rFonts w:hint="cs"/>
          <w:rtl/>
        </w:rPr>
        <w:t>بيانات</w:t>
      </w:r>
      <w:r w:rsidR="0076159F" w:rsidRPr="00374E35">
        <w:rPr>
          <w:rtl/>
        </w:rPr>
        <w:t xml:space="preserve"> الانتشار المطلوبة لتصميم أنظمة الاتصالات المتنقلة للطيران أرض-فضاء</w:t>
      </w:r>
    </w:p>
    <w:p w14:paraId="5E48721A" w14:textId="01AB772F" w:rsidR="00CC6A27" w:rsidRPr="004A650C" w:rsidRDefault="00327A5B" w:rsidP="00CC6A27">
      <w:pPr>
        <w:rPr>
          <w:lang w:bidi="ar-EG"/>
        </w:rPr>
      </w:pPr>
      <w:r>
        <w:rPr>
          <w:rFonts w:hint="cs"/>
          <w:rtl/>
          <w:lang w:bidi="ar-EG"/>
        </w:rPr>
        <w:t>يقترح مشروع المراجعة هذا تحديث التوصية على النحو التالي:</w:t>
      </w:r>
    </w:p>
    <w:p w14:paraId="1C4E350D" w14:textId="47A66E16" w:rsidR="00CC6A27" w:rsidRPr="00CC6A27" w:rsidRDefault="00CC6A27" w:rsidP="00CC6A27">
      <w:pPr>
        <w:pStyle w:val="enumlev1"/>
      </w:pPr>
      <w:r w:rsidRPr="00374E35">
        <w:rPr>
          <w:rFonts w:hint="cs"/>
          <w:rtl/>
        </w:rPr>
        <w:t>-</w:t>
      </w:r>
      <w:r w:rsidRPr="00374E35">
        <w:tab/>
      </w:r>
      <w:r w:rsidR="00A20E96" w:rsidRPr="00374E35">
        <w:rPr>
          <w:rFonts w:hint="cs"/>
          <w:rtl/>
        </w:rPr>
        <w:t xml:space="preserve">الاستعاضة عن المصطلح </w:t>
      </w:r>
      <w:r w:rsidR="00A20E96" w:rsidRPr="00374E35">
        <w:t>‘fading depth’</w:t>
      </w:r>
      <w:r w:rsidR="00A20E96" w:rsidRPr="00374E35">
        <w:rPr>
          <w:rFonts w:hint="cs"/>
          <w:rtl/>
        </w:rPr>
        <w:t xml:space="preserve"> بالمصطلح </w:t>
      </w:r>
      <w:r w:rsidR="00A20E96" w:rsidRPr="00374E35">
        <w:t>‘fade depth’</w:t>
      </w:r>
      <w:r w:rsidR="00A20E96" w:rsidRPr="00374E35">
        <w:rPr>
          <w:rFonts w:hint="cs"/>
          <w:rtl/>
        </w:rPr>
        <w:t xml:space="preserve"> في الفقرة 1.2.4 (من النص الإنكليزي)؛ </w:t>
      </w:r>
      <w:r w:rsidR="00327A5B" w:rsidRPr="00374E35">
        <w:rPr>
          <w:rFonts w:hint="cs"/>
          <w:rtl/>
        </w:rPr>
        <w:t>توضيح طريقة الحساب و</w:t>
      </w:r>
      <w:r w:rsidR="00A20E96" w:rsidRPr="00374E35">
        <w:rPr>
          <w:rFonts w:hint="cs"/>
          <w:rtl/>
        </w:rPr>
        <w:t xml:space="preserve">توضيح </w:t>
      </w:r>
      <w:r w:rsidR="00327A5B" w:rsidRPr="00374E35">
        <w:rPr>
          <w:rFonts w:hint="cs"/>
          <w:rtl/>
        </w:rPr>
        <w:t>الوصف؛</w:t>
      </w:r>
    </w:p>
    <w:p w14:paraId="7F55F2E2" w14:textId="2386B13D" w:rsidR="00CC6A27" w:rsidRPr="00327A5B" w:rsidRDefault="00CC6A27" w:rsidP="00CC6A27">
      <w:pPr>
        <w:pStyle w:val="enumlev1"/>
        <w:rPr>
          <w:rtl/>
          <w:lang w:val="en-GB" w:bidi="ar-SA"/>
        </w:rPr>
      </w:pPr>
      <w:r w:rsidRPr="00CC6A27">
        <w:rPr>
          <w:rFonts w:hint="cs"/>
          <w:rtl/>
        </w:rPr>
        <w:t>-</w:t>
      </w:r>
      <w:r w:rsidRPr="00CC6A27">
        <w:tab/>
      </w:r>
      <w:r w:rsidR="00327A5B">
        <w:rPr>
          <w:rFonts w:hint="cs"/>
          <w:rtl/>
          <w:lang w:bidi="ar-SA"/>
        </w:rPr>
        <w:t xml:space="preserve">إضافة شكل جديد هو الشكل </w:t>
      </w:r>
      <w:r w:rsidR="00327A5B">
        <w:rPr>
          <w:lang w:val="en-GB" w:bidi="ar-SA"/>
        </w:rPr>
        <w:t>1</w:t>
      </w:r>
      <w:r w:rsidR="00327A5B">
        <w:rPr>
          <w:rFonts w:hint="cs"/>
          <w:rtl/>
          <w:lang w:val="en-GB" w:bidi="ar-SA"/>
        </w:rPr>
        <w:t>، بحيث لا يتعين أن تشير هذه التوصية إلى الشكل الوارد في التوصية</w:t>
      </w:r>
      <w:r w:rsidR="007212E2">
        <w:rPr>
          <w:rFonts w:hint="eastAsia"/>
          <w:rtl/>
          <w:lang w:val="en-GB" w:bidi="ar-SA"/>
        </w:rPr>
        <w:t> </w:t>
      </w:r>
      <w:r w:rsidR="00327A5B">
        <w:rPr>
          <w:lang w:val="en-GB" w:bidi="ar-SA"/>
        </w:rPr>
        <w:t>ITU-R </w:t>
      </w:r>
      <w:proofErr w:type="spellStart"/>
      <w:r w:rsidR="00327A5B">
        <w:rPr>
          <w:lang w:val="en-GB" w:bidi="ar-SA"/>
        </w:rPr>
        <w:t>P.680</w:t>
      </w:r>
      <w:proofErr w:type="spellEnd"/>
      <w:r w:rsidR="00327A5B">
        <w:rPr>
          <w:rFonts w:hint="cs"/>
          <w:rtl/>
          <w:lang w:val="en-GB" w:bidi="ar-SA"/>
        </w:rPr>
        <w:t>؛</w:t>
      </w:r>
    </w:p>
    <w:p w14:paraId="1F53CD07" w14:textId="0BCA838D" w:rsidR="00CC6A27" w:rsidRPr="00802FB8" w:rsidRDefault="00CC6A27" w:rsidP="00CC6A27">
      <w:pPr>
        <w:pStyle w:val="enumlev1"/>
        <w:rPr>
          <w:rtl/>
          <w:lang w:val="en-GB" w:bidi="ar-SA"/>
        </w:rPr>
      </w:pPr>
      <w:r w:rsidRPr="00CC6A27">
        <w:rPr>
          <w:rFonts w:hint="cs"/>
          <w:rtl/>
        </w:rPr>
        <w:t>-</w:t>
      </w:r>
      <w:r w:rsidRPr="00CC6A27">
        <w:tab/>
      </w:r>
      <w:r w:rsidR="00802FB8">
        <w:rPr>
          <w:rFonts w:hint="cs"/>
          <w:rtl/>
          <w:lang w:bidi="ar-SA"/>
        </w:rPr>
        <w:t xml:space="preserve">إضافة أقواس من اليسار إلى المعادلة </w:t>
      </w:r>
      <w:r w:rsidR="00802FB8">
        <w:rPr>
          <w:lang w:val="en-GB" w:bidi="ar-SA"/>
        </w:rPr>
        <w:t>(4)</w:t>
      </w:r>
      <w:r w:rsidR="00802FB8">
        <w:rPr>
          <w:rFonts w:hint="cs"/>
          <w:rtl/>
          <w:lang w:val="en-GB" w:bidi="ar-SA"/>
        </w:rPr>
        <w:t xml:space="preserve"> والمعادلة </w:t>
      </w:r>
      <w:r w:rsidR="00802FB8">
        <w:rPr>
          <w:lang w:val="en-GB" w:bidi="ar-SA"/>
        </w:rPr>
        <w:t>(6)</w:t>
      </w:r>
      <w:r w:rsidR="00802FB8">
        <w:rPr>
          <w:rFonts w:hint="cs"/>
          <w:rtl/>
          <w:lang w:val="en-GB" w:bidi="ar-SA"/>
        </w:rPr>
        <w:t xml:space="preserve"> </w:t>
      </w:r>
      <w:r w:rsidR="00517819">
        <w:rPr>
          <w:rFonts w:hint="cs"/>
          <w:rtl/>
          <w:lang w:val="en-GB" w:bidi="ar-SA"/>
        </w:rPr>
        <w:t>ليتم تراصفهما</w:t>
      </w:r>
      <w:r w:rsidR="00EF2D0B">
        <w:rPr>
          <w:rFonts w:hint="cs"/>
          <w:rtl/>
          <w:lang w:val="en-GB" w:bidi="ar-SA"/>
        </w:rPr>
        <w:t xml:space="preserve"> عمودياً</w:t>
      </w:r>
      <w:r w:rsidR="00517819">
        <w:rPr>
          <w:rFonts w:hint="cs"/>
          <w:rtl/>
          <w:lang w:val="en-GB" w:bidi="ar-SA"/>
        </w:rPr>
        <w:t xml:space="preserve"> بشكل صحيح.</w:t>
      </w:r>
    </w:p>
    <w:p w14:paraId="124598C6" w14:textId="6857870D" w:rsidR="00CC6A27" w:rsidRPr="00CC6A27" w:rsidRDefault="00CC6A27" w:rsidP="00CC6A27">
      <w:pPr>
        <w:tabs>
          <w:tab w:val="left" w:pos="8505"/>
          <w:tab w:val="left" w:pos="9639"/>
        </w:tabs>
        <w:spacing w:before="360"/>
        <w:rPr>
          <w:rtl/>
          <w:lang w:bidi="ar-EG"/>
        </w:rPr>
      </w:pPr>
      <w:r w:rsidRPr="0037323D">
        <w:rPr>
          <w:rFonts w:hint="cs"/>
          <w:u w:val="single"/>
          <w:rtl/>
        </w:rPr>
        <w:t>مشروع مراج</w:t>
      </w:r>
      <w:r>
        <w:rPr>
          <w:rFonts w:hint="cs"/>
          <w:u w:val="single"/>
          <w:rtl/>
        </w:rPr>
        <w:t>َ</w:t>
      </w:r>
      <w:r w:rsidRPr="0037323D">
        <w:rPr>
          <w:rFonts w:hint="cs"/>
          <w:u w:val="single"/>
          <w:rtl/>
        </w:rPr>
        <w:t>عة التوصية</w:t>
      </w:r>
      <w:r>
        <w:rPr>
          <w:rStyle w:val="FootnoteReference"/>
          <w:rFonts w:hint="cs"/>
          <w:u w:val="single"/>
          <w:rtl/>
        </w:rPr>
        <w:t xml:space="preserve"> </w:t>
      </w:r>
      <w:r>
        <w:rPr>
          <w:u w:val="single"/>
        </w:rPr>
        <w:t xml:space="preserve">ITU-R </w:t>
      </w:r>
      <w:proofErr w:type="spellStart"/>
      <w:r>
        <w:rPr>
          <w:u w:val="single"/>
        </w:rPr>
        <w:t>P.1622</w:t>
      </w:r>
      <w:proofErr w:type="spellEnd"/>
      <w:r>
        <w:rPr>
          <w:u w:val="single"/>
        </w:rPr>
        <w:t>-0</w:t>
      </w:r>
      <w:r>
        <w:rPr>
          <w:rtl/>
          <w:lang w:bidi="ar-EG"/>
        </w:rPr>
        <w:tab/>
      </w:r>
      <w:r w:rsidRPr="004C7DFE">
        <w:rPr>
          <w:rFonts w:hint="cs"/>
          <w:rtl/>
          <w:lang w:bidi="ar-EG"/>
        </w:rPr>
        <w:t>الوثيقة</w:t>
      </w:r>
      <w:r>
        <w:rPr>
          <w:rFonts w:hint="cs"/>
          <w:rtl/>
          <w:lang w:bidi="ar-EG"/>
        </w:rPr>
        <w:t xml:space="preserve"> </w:t>
      </w:r>
      <w:r>
        <w:rPr>
          <w:bCs/>
        </w:rPr>
        <w:t>3/85</w:t>
      </w:r>
    </w:p>
    <w:p w14:paraId="7DF81D8F" w14:textId="4609BAED" w:rsidR="0076159F" w:rsidRPr="00CC6A27" w:rsidRDefault="00CC6A27" w:rsidP="00932548">
      <w:pPr>
        <w:pStyle w:val="Rectitle"/>
        <w:spacing w:before="240" w:after="240"/>
        <w:rPr>
          <w:rtl/>
        </w:rPr>
      </w:pPr>
      <w:r w:rsidRPr="00FE6F71">
        <w:rPr>
          <w:rtl/>
          <w:lang w:bidi="ar-EG"/>
        </w:rPr>
        <w:t xml:space="preserve">طرائق التنبؤ المطلوبة لتصميم الأنظمة أرض-فضاء العاملة بين </w:t>
      </w:r>
      <w:r w:rsidRPr="00FE6F71">
        <w:rPr>
          <w:lang w:bidi="ar-EG"/>
        </w:rPr>
        <w:t>THz 20</w:t>
      </w:r>
      <w:r w:rsidRPr="00FE6F71">
        <w:rPr>
          <w:rtl/>
          <w:lang w:bidi="ar-EG"/>
        </w:rPr>
        <w:t xml:space="preserve"> و</w:t>
      </w:r>
      <w:r w:rsidRPr="00FE6F71">
        <w:rPr>
          <w:lang w:bidi="ar-EG"/>
        </w:rPr>
        <w:t>THz 375</w:t>
      </w:r>
    </w:p>
    <w:p w14:paraId="3292F1FC" w14:textId="7854F7CB" w:rsidR="0076159F" w:rsidRPr="007212E2" w:rsidRDefault="00FE6F71" w:rsidP="00CC6A27">
      <w:pPr>
        <w:rPr>
          <w:spacing w:val="-2"/>
          <w:rtl/>
        </w:rPr>
      </w:pPr>
      <w:r w:rsidRPr="007212E2">
        <w:rPr>
          <w:rFonts w:hint="cs"/>
          <w:spacing w:val="-2"/>
          <w:rtl/>
        </w:rPr>
        <w:t>في</w:t>
      </w:r>
      <w:r w:rsidRPr="007212E2">
        <w:rPr>
          <w:spacing w:val="-2"/>
          <w:rtl/>
        </w:rPr>
        <w:t xml:space="preserve"> مشروع المراجعة هذا، يُقترح نموذج تقريبي جديد للتوهين الناجم عن الانتثار في الخطوة 1 من القسم </w:t>
      </w:r>
      <w:r w:rsidRPr="007212E2">
        <w:rPr>
          <w:spacing w:val="-2"/>
        </w:rPr>
        <w:t>1.3</w:t>
      </w:r>
      <w:r w:rsidRPr="007212E2">
        <w:rPr>
          <w:spacing w:val="-2"/>
          <w:rtl/>
        </w:rPr>
        <w:t xml:space="preserve">، </w:t>
      </w:r>
      <w:r w:rsidRPr="007212E2">
        <w:rPr>
          <w:rFonts w:hint="cs"/>
          <w:spacing w:val="-2"/>
          <w:rtl/>
        </w:rPr>
        <w:t xml:space="preserve">مما </w:t>
      </w:r>
      <w:r w:rsidR="00CB10B9" w:rsidRPr="007212E2">
        <w:rPr>
          <w:rFonts w:hint="cs"/>
          <w:spacing w:val="-2"/>
          <w:rtl/>
        </w:rPr>
        <w:t>يزيل</w:t>
      </w:r>
      <w:r w:rsidR="00DF5CD8" w:rsidRPr="007212E2">
        <w:rPr>
          <w:rFonts w:hint="cs"/>
          <w:spacing w:val="-2"/>
          <w:rtl/>
        </w:rPr>
        <w:t xml:space="preserve"> </w:t>
      </w:r>
      <w:r w:rsidR="001835EE" w:rsidRPr="007212E2">
        <w:rPr>
          <w:rFonts w:hint="cs"/>
          <w:spacing w:val="-2"/>
          <w:rtl/>
        </w:rPr>
        <w:t>أي جوانب</w:t>
      </w:r>
      <w:r w:rsidR="00971237" w:rsidRPr="007212E2">
        <w:rPr>
          <w:rFonts w:hint="cs"/>
          <w:spacing w:val="-2"/>
          <w:rtl/>
        </w:rPr>
        <w:t xml:space="preserve"> غير </w:t>
      </w:r>
      <w:r w:rsidR="001835EE" w:rsidRPr="007212E2">
        <w:rPr>
          <w:rFonts w:hint="cs"/>
          <w:spacing w:val="-2"/>
          <w:rtl/>
        </w:rPr>
        <w:t>منطقية</w:t>
      </w:r>
      <w:r w:rsidRPr="007212E2">
        <w:rPr>
          <w:rFonts w:hint="cs"/>
          <w:spacing w:val="-2"/>
          <w:rtl/>
        </w:rPr>
        <w:t xml:space="preserve"> </w:t>
      </w:r>
      <w:r w:rsidR="001835EE" w:rsidRPr="007212E2">
        <w:rPr>
          <w:rFonts w:hint="cs"/>
          <w:spacing w:val="-2"/>
          <w:rtl/>
        </w:rPr>
        <w:t>في ا</w:t>
      </w:r>
      <w:r w:rsidRPr="007212E2">
        <w:rPr>
          <w:spacing w:val="-2"/>
          <w:rtl/>
        </w:rPr>
        <w:t xml:space="preserve">لنموذج الأصلي </w:t>
      </w:r>
      <w:r w:rsidR="00836509" w:rsidRPr="007212E2">
        <w:rPr>
          <w:rFonts w:hint="cs"/>
          <w:spacing w:val="-2"/>
          <w:rtl/>
        </w:rPr>
        <w:t>و</w:t>
      </w:r>
      <w:r w:rsidR="00CB10B9" w:rsidRPr="007212E2">
        <w:rPr>
          <w:rFonts w:hint="cs"/>
          <w:spacing w:val="-2"/>
          <w:rtl/>
        </w:rPr>
        <w:t xml:space="preserve">يتيح </w:t>
      </w:r>
      <w:r w:rsidRPr="007212E2">
        <w:rPr>
          <w:rFonts w:hint="cs"/>
          <w:spacing w:val="-2"/>
          <w:rtl/>
        </w:rPr>
        <w:t>دقة أفضل.</w:t>
      </w:r>
    </w:p>
    <w:p w14:paraId="7DC5DA96" w14:textId="70159670" w:rsidR="00CC6A27" w:rsidRPr="00CC6A27" w:rsidRDefault="00CC6A27" w:rsidP="00CC6A27">
      <w:pPr>
        <w:tabs>
          <w:tab w:val="left" w:pos="8505"/>
          <w:tab w:val="left" w:pos="9355"/>
        </w:tabs>
        <w:spacing w:before="360"/>
        <w:rPr>
          <w:rtl/>
          <w:lang w:bidi="ar-EG"/>
        </w:rPr>
      </w:pPr>
      <w:r w:rsidRPr="0037323D">
        <w:rPr>
          <w:rFonts w:hint="cs"/>
          <w:u w:val="single"/>
          <w:rtl/>
        </w:rPr>
        <w:t xml:space="preserve">مشروع </w:t>
      </w:r>
      <w:r w:rsidR="00621CC4">
        <w:rPr>
          <w:rFonts w:hint="cs"/>
          <w:u w:val="single"/>
          <w:rtl/>
        </w:rPr>
        <w:t>ال</w:t>
      </w:r>
      <w:r>
        <w:rPr>
          <w:rFonts w:hint="cs"/>
          <w:u w:val="single"/>
          <w:rtl/>
        </w:rPr>
        <w:t xml:space="preserve">توصية </w:t>
      </w:r>
      <w:r w:rsidR="00621CC4">
        <w:rPr>
          <w:rFonts w:hint="cs"/>
          <w:u w:val="single"/>
          <w:rtl/>
        </w:rPr>
        <w:t>ال</w:t>
      </w:r>
      <w:r>
        <w:rPr>
          <w:rFonts w:hint="cs"/>
          <w:u w:val="single"/>
          <w:rtl/>
        </w:rPr>
        <w:t xml:space="preserve">جديدة </w:t>
      </w:r>
      <w:r>
        <w:rPr>
          <w:u w:val="single"/>
        </w:rPr>
        <w:t>ITU-R P.[</w:t>
      </w:r>
      <w:proofErr w:type="spellStart"/>
      <w:r>
        <w:rPr>
          <w:u w:val="single"/>
        </w:rPr>
        <w:t>DIGPROD</w:t>
      </w:r>
      <w:proofErr w:type="spellEnd"/>
      <w:r>
        <w:rPr>
          <w:u w:val="single"/>
        </w:rPr>
        <w:t>]</w:t>
      </w:r>
      <w:r>
        <w:rPr>
          <w:rtl/>
          <w:lang w:bidi="ar-EG"/>
        </w:rPr>
        <w:tab/>
      </w:r>
      <w:r w:rsidRPr="004C7DFE">
        <w:rPr>
          <w:rFonts w:hint="cs"/>
          <w:rtl/>
          <w:lang w:bidi="ar-EG"/>
        </w:rPr>
        <w:t>الوثيقة</w:t>
      </w:r>
      <w:r>
        <w:rPr>
          <w:rFonts w:hint="cs"/>
          <w:rtl/>
          <w:lang w:bidi="ar-EG"/>
        </w:rPr>
        <w:t xml:space="preserve"> </w:t>
      </w:r>
      <w:r>
        <w:rPr>
          <w:bCs/>
        </w:rPr>
        <w:t>3/87</w:t>
      </w:r>
    </w:p>
    <w:p w14:paraId="63C9B8A5" w14:textId="730E10CB" w:rsidR="0076159F" w:rsidRPr="00CC6A27" w:rsidRDefault="0076159F" w:rsidP="00932548">
      <w:pPr>
        <w:pStyle w:val="Rectitle"/>
        <w:spacing w:before="240" w:after="240"/>
        <w:rPr>
          <w:rtl/>
        </w:rPr>
      </w:pPr>
      <w:r w:rsidRPr="00CC6A27">
        <w:rPr>
          <w:rFonts w:hint="cs"/>
          <w:rtl/>
        </w:rPr>
        <w:t>حيازة المنتجات الرقمية وعرضها وتحليلها</w:t>
      </w:r>
      <w:r w:rsidRPr="00CC6A27">
        <w:rPr>
          <w:rtl/>
        </w:rPr>
        <w:br/>
      </w:r>
      <w:r w:rsidRPr="00CC6A27">
        <w:rPr>
          <w:rFonts w:hint="cs"/>
          <w:rtl/>
        </w:rPr>
        <w:t xml:space="preserve"> واستعمالها في</w:t>
      </w:r>
      <w:r w:rsidRPr="00CC6A27">
        <w:rPr>
          <w:rFonts w:hint="eastAsia"/>
          <w:rtl/>
        </w:rPr>
        <w:t> </w:t>
      </w:r>
      <w:r w:rsidRPr="00CC6A27">
        <w:rPr>
          <w:rFonts w:hint="cs"/>
          <w:rtl/>
        </w:rPr>
        <w:t>الدراسات المتعلقة بانتشار الموجات الراديوية</w:t>
      </w:r>
    </w:p>
    <w:p w14:paraId="4E53A45F" w14:textId="090B334D" w:rsidR="00CB10B9" w:rsidRDefault="00CB10B9" w:rsidP="00CC6A27">
      <w:pPr>
        <w:rPr>
          <w:rtl/>
        </w:rPr>
      </w:pPr>
      <w:r>
        <w:rPr>
          <w:rFonts w:hint="cs"/>
          <w:rtl/>
        </w:rPr>
        <w:t xml:space="preserve">يحدد القرار </w:t>
      </w:r>
      <w:r>
        <w:rPr>
          <w:lang w:val="en-GB"/>
        </w:rPr>
        <w:t>ITU-R 25-3</w:t>
      </w:r>
      <w:r w:rsidRPr="00CB10B9">
        <w:rPr>
          <w:rtl/>
        </w:rPr>
        <w:t xml:space="preserve"> </w:t>
      </w:r>
      <w:r>
        <w:rPr>
          <w:rFonts w:hint="cs"/>
          <w:rtl/>
        </w:rPr>
        <w:t>بشأن "</w:t>
      </w:r>
      <w:r w:rsidRPr="0076159F">
        <w:rPr>
          <w:rtl/>
        </w:rPr>
        <w:t>برامج حاسوبية وبيانات رقمية مرجعية مصاحبة من أجل دراسات انتشار الموجات الراديوية</w:t>
      </w:r>
      <w:r>
        <w:rPr>
          <w:rFonts w:hint="cs"/>
          <w:rtl/>
        </w:rPr>
        <w:t xml:space="preserve">" </w:t>
      </w:r>
      <w:r>
        <w:rPr>
          <w:rFonts w:hint="cs"/>
          <w:color w:val="000000"/>
          <w:rtl/>
        </w:rPr>
        <w:t>و</w:t>
      </w:r>
      <w:r>
        <w:rPr>
          <w:color w:val="000000"/>
          <w:rtl/>
        </w:rPr>
        <w:t>المبادئ التوجيهية للاتحاد بشأن حقوق تأليف البرمجيات</w:t>
      </w:r>
      <w:r>
        <w:rPr>
          <w:rFonts w:hint="cs"/>
          <w:color w:val="000000"/>
          <w:rtl/>
        </w:rPr>
        <w:t>،</w:t>
      </w:r>
      <w:r>
        <w:rPr>
          <w:color w:val="000000"/>
          <w:rtl/>
        </w:rPr>
        <w:t xml:space="preserve"> </w:t>
      </w:r>
      <w:r w:rsidRPr="00CB10B9">
        <w:rPr>
          <w:rtl/>
        </w:rPr>
        <w:t xml:space="preserve">إطار أنشطة لجنة الدراسات </w:t>
      </w:r>
      <w:r>
        <w:rPr>
          <w:rFonts w:hint="cs"/>
          <w:rtl/>
        </w:rPr>
        <w:t>3</w:t>
      </w:r>
      <w:r w:rsidRPr="00CB10B9">
        <w:rPr>
          <w:rtl/>
        </w:rPr>
        <w:t xml:space="preserve"> بشأن المنتجات الرقمية</w:t>
      </w:r>
      <w:r>
        <w:rPr>
          <w:rFonts w:hint="cs"/>
          <w:rtl/>
        </w:rPr>
        <w:t>.</w:t>
      </w:r>
      <w:r w:rsidR="0076159F" w:rsidRPr="0076159F">
        <w:rPr>
          <w:rtl/>
        </w:rPr>
        <w:t xml:space="preserve"> </w:t>
      </w:r>
      <w:r>
        <w:rPr>
          <w:rFonts w:hint="cs"/>
          <w:rtl/>
        </w:rPr>
        <w:t>ويتن</w:t>
      </w:r>
      <w:r w:rsidRPr="00CB10B9">
        <w:rPr>
          <w:rtl/>
        </w:rPr>
        <w:t>اول مشروع التوصية الجديدة</w:t>
      </w:r>
      <w:r>
        <w:rPr>
          <w:rFonts w:hint="cs"/>
          <w:rtl/>
        </w:rPr>
        <w:t xml:space="preserve"> هذا</w:t>
      </w:r>
      <w:r w:rsidRPr="00CB10B9">
        <w:rPr>
          <w:rtl/>
        </w:rPr>
        <w:t xml:space="preserve"> متطلبات أعضاء </w:t>
      </w:r>
      <w:r w:rsidR="00FB6FAA">
        <w:rPr>
          <w:rFonts w:hint="cs"/>
          <w:rtl/>
        </w:rPr>
        <w:t>قطاع الاتصالات الراديوية</w:t>
      </w:r>
      <w:r w:rsidRPr="00CB10B9">
        <w:rPr>
          <w:rtl/>
        </w:rPr>
        <w:t xml:space="preserve"> الذين يقدمون منتجات</w:t>
      </w:r>
      <w:r w:rsidR="00766810">
        <w:rPr>
          <w:rFonts w:hint="cs"/>
          <w:rtl/>
        </w:rPr>
        <w:t xml:space="preserve"> رقمية</w:t>
      </w:r>
      <w:r w:rsidRPr="00CB10B9">
        <w:rPr>
          <w:rtl/>
        </w:rPr>
        <w:t xml:space="preserve"> و</w:t>
      </w:r>
      <w:r w:rsidR="00766810">
        <w:rPr>
          <w:rFonts w:hint="cs"/>
          <w:rtl/>
        </w:rPr>
        <w:t>ال</w:t>
      </w:r>
      <w:r w:rsidRPr="00CB10B9">
        <w:rPr>
          <w:rtl/>
        </w:rPr>
        <w:t>عمليات</w:t>
      </w:r>
      <w:r w:rsidR="004D2A40">
        <w:rPr>
          <w:rFonts w:hint="cs"/>
          <w:rtl/>
        </w:rPr>
        <w:t xml:space="preserve"> </w:t>
      </w:r>
      <w:r w:rsidR="00225845">
        <w:rPr>
          <w:rFonts w:hint="cs"/>
          <w:rtl/>
        </w:rPr>
        <w:t>الجارية</w:t>
      </w:r>
      <w:r w:rsidRPr="00CB10B9">
        <w:rPr>
          <w:rtl/>
        </w:rPr>
        <w:t xml:space="preserve"> في</w:t>
      </w:r>
      <w:r w:rsidR="00FB6FAA">
        <w:rPr>
          <w:rFonts w:hint="cs"/>
          <w:rtl/>
        </w:rPr>
        <w:t> </w:t>
      </w:r>
      <w:r w:rsidRPr="00CB10B9">
        <w:rPr>
          <w:rtl/>
        </w:rPr>
        <w:t>إطار لجنة الدراسات</w:t>
      </w:r>
      <w:r w:rsidR="008F6E4F">
        <w:rPr>
          <w:rFonts w:hint="cs"/>
          <w:rtl/>
        </w:rPr>
        <w:t> </w:t>
      </w:r>
      <w:r>
        <w:t>3</w:t>
      </w:r>
      <w:r w:rsidRPr="00CB10B9">
        <w:rPr>
          <w:rtl/>
        </w:rPr>
        <w:t xml:space="preserve"> لتقييم المنتجات الرقمية.</w:t>
      </w:r>
    </w:p>
    <w:p w14:paraId="5E4CECA1" w14:textId="2F069B0B" w:rsidR="00CC6A27" w:rsidRPr="00CC6A27" w:rsidRDefault="00CC6A27" w:rsidP="00CC6A27">
      <w:pPr>
        <w:tabs>
          <w:tab w:val="left" w:pos="8505"/>
          <w:tab w:val="left" w:pos="9355"/>
        </w:tabs>
        <w:spacing w:before="360"/>
        <w:rPr>
          <w:rtl/>
          <w:lang w:bidi="ar-EG"/>
        </w:rPr>
      </w:pPr>
      <w:r w:rsidRPr="0037323D">
        <w:rPr>
          <w:rFonts w:hint="cs"/>
          <w:u w:val="single"/>
          <w:rtl/>
        </w:rPr>
        <w:t xml:space="preserve">مشروع </w:t>
      </w:r>
      <w:r w:rsidR="004346DE">
        <w:rPr>
          <w:rFonts w:hint="cs"/>
          <w:u w:val="single"/>
          <w:rtl/>
        </w:rPr>
        <w:t>ال</w:t>
      </w:r>
      <w:r>
        <w:rPr>
          <w:rFonts w:hint="cs"/>
          <w:u w:val="single"/>
          <w:rtl/>
        </w:rPr>
        <w:t xml:space="preserve">توصية </w:t>
      </w:r>
      <w:r w:rsidR="004346DE">
        <w:rPr>
          <w:rFonts w:hint="cs"/>
          <w:u w:val="single"/>
          <w:rtl/>
        </w:rPr>
        <w:t>ال</w:t>
      </w:r>
      <w:r>
        <w:rPr>
          <w:rFonts w:hint="cs"/>
          <w:u w:val="single"/>
          <w:rtl/>
        </w:rPr>
        <w:t xml:space="preserve">جديدة </w:t>
      </w:r>
      <w:r>
        <w:rPr>
          <w:u w:val="single"/>
        </w:rPr>
        <w:t>ITU-R P.[</w:t>
      </w:r>
      <w:proofErr w:type="spellStart"/>
      <w:r w:rsidRPr="000B1F69">
        <w:rPr>
          <w:u w:val="single"/>
        </w:rPr>
        <w:t>WIND_SPEED_MAPS</w:t>
      </w:r>
      <w:proofErr w:type="spellEnd"/>
      <w:r w:rsidRPr="000B1F69">
        <w:rPr>
          <w:u w:val="single"/>
        </w:rPr>
        <w:t>]</w:t>
      </w:r>
      <w:r w:rsidR="001665F5" w:rsidRPr="001665F5">
        <w:rPr>
          <w:rFonts w:hint="cs"/>
          <w:vertAlign w:val="superscript"/>
          <w:rtl/>
        </w:rPr>
        <w:t>3</w:t>
      </w:r>
      <w:r>
        <w:rPr>
          <w:rtl/>
          <w:lang w:bidi="ar-EG"/>
        </w:rPr>
        <w:tab/>
      </w:r>
      <w:r w:rsidRPr="004C7DFE">
        <w:rPr>
          <w:rFonts w:hint="cs"/>
          <w:rtl/>
          <w:lang w:bidi="ar-EG"/>
        </w:rPr>
        <w:t>الوثيقة</w:t>
      </w:r>
      <w:r>
        <w:rPr>
          <w:rFonts w:hint="cs"/>
          <w:rtl/>
          <w:lang w:bidi="ar-EG"/>
        </w:rPr>
        <w:t xml:space="preserve"> </w:t>
      </w:r>
      <w:r>
        <w:rPr>
          <w:bCs/>
        </w:rPr>
        <w:t>3/88</w:t>
      </w:r>
    </w:p>
    <w:p w14:paraId="4E3817BE" w14:textId="6DE9E7B4" w:rsidR="0076159F" w:rsidRPr="00CC6A27" w:rsidRDefault="00766810" w:rsidP="00932548">
      <w:pPr>
        <w:pStyle w:val="Rectitle"/>
        <w:spacing w:before="240" w:after="240"/>
        <w:rPr>
          <w:rtl/>
        </w:rPr>
      </w:pPr>
      <w:r w:rsidRPr="00766810">
        <w:rPr>
          <w:rtl/>
        </w:rPr>
        <w:t>خرائط رقمية تتعلق بإحصاءات سرعة الرياح السطحية</w:t>
      </w:r>
    </w:p>
    <w:p w14:paraId="1428547F" w14:textId="1016DAA4" w:rsidR="0076159F" w:rsidRDefault="00766810" w:rsidP="00951558">
      <w:r>
        <w:rPr>
          <w:rFonts w:hint="cs"/>
          <w:rtl/>
        </w:rPr>
        <w:t xml:space="preserve">يتضمن </w:t>
      </w:r>
      <w:r w:rsidRPr="00766810">
        <w:rPr>
          <w:rtl/>
        </w:rPr>
        <w:t xml:space="preserve">مشروع التوصية الجديدة خرائط رقمية متكاملة لإحصاءات سرعة الرياح </w:t>
      </w:r>
      <w:r>
        <w:rPr>
          <w:rFonts w:hint="cs"/>
          <w:rtl/>
        </w:rPr>
        <w:t>في العالم.</w:t>
      </w:r>
    </w:p>
    <w:p w14:paraId="47ED1FDE" w14:textId="063D6CB0" w:rsidR="0076159F" w:rsidRPr="00766810" w:rsidRDefault="00766810" w:rsidP="0076159F">
      <w:pPr>
        <w:rPr>
          <w:rtl/>
          <w:lang w:val="en-GB"/>
        </w:rPr>
      </w:pPr>
      <w:r>
        <w:rPr>
          <w:rFonts w:hint="cs"/>
          <w:rtl/>
          <w:lang w:bidi="ar-EG"/>
        </w:rPr>
        <w:t>وقا</w:t>
      </w:r>
      <w:r w:rsidRPr="00766810">
        <w:rPr>
          <w:rtl/>
          <w:lang w:bidi="ar-EG"/>
        </w:rPr>
        <w:t xml:space="preserve">عدة بيانات سرعة الرياح على ارتفاع </w:t>
      </w:r>
      <w:r>
        <w:rPr>
          <w:lang w:bidi="ar-EG"/>
        </w:rPr>
        <w:t>10</w:t>
      </w:r>
      <w:r w:rsidRPr="00766810">
        <w:rPr>
          <w:rtl/>
          <w:lang w:bidi="ar-EG"/>
        </w:rPr>
        <w:t xml:space="preserve"> أمتار فوق سطح الأرض </w:t>
      </w:r>
      <w:r w:rsidR="00D302D1">
        <w:rPr>
          <w:rFonts w:hint="cs"/>
          <w:rtl/>
          <w:lang w:bidi="ar-EG"/>
        </w:rPr>
        <w:t>مستمدة</w:t>
      </w:r>
      <w:r w:rsidRPr="00766810">
        <w:rPr>
          <w:rtl/>
          <w:lang w:bidi="ar-EG"/>
        </w:rPr>
        <w:t xml:space="preserve"> من إعادة التحليل</w:t>
      </w:r>
      <w:r>
        <w:rPr>
          <w:rFonts w:hint="cs"/>
          <w:rtl/>
        </w:rPr>
        <w:t xml:space="preserve"> </w:t>
      </w:r>
      <w:proofErr w:type="spellStart"/>
      <w:r>
        <w:rPr>
          <w:lang w:val="en-GB"/>
        </w:rPr>
        <w:t>ERA5</w:t>
      </w:r>
      <w:proofErr w:type="spellEnd"/>
      <w:r w:rsidRPr="00766810">
        <w:rPr>
          <w:rtl/>
          <w:lang w:bidi="ar-EG"/>
        </w:rPr>
        <w:t xml:space="preserve"> التي ينتجها </w:t>
      </w:r>
      <w:r>
        <w:rPr>
          <w:rFonts w:hint="cs"/>
          <w:rtl/>
          <w:lang w:bidi="ar-EG"/>
        </w:rPr>
        <w:t>المركز الأوروبي</w:t>
      </w:r>
      <w:r w:rsidRPr="00766810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للتنبؤات الجوية متوسطة المدى </w:t>
      </w:r>
      <w:r>
        <w:rPr>
          <w:lang w:val="en-GB" w:bidi="ar-EG"/>
        </w:rPr>
        <w:t>(ECMWF)</w:t>
      </w:r>
      <w:r>
        <w:rPr>
          <w:rFonts w:hint="cs"/>
          <w:rtl/>
          <w:lang w:val="en-GB"/>
        </w:rPr>
        <w:t xml:space="preserve">. وفيما يلي التفاصيل المتعلقة ببيانات </w:t>
      </w:r>
      <w:proofErr w:type="spellStart"/>
      <w:r>
        <w:rPr>
          <w:lang w:val="en-GB"/>
        </w:rPr>
        <w:t>ERA5</w:t>
      </w:r>
      <w:proofErr w:type="spellEnd"/>
      <w:r w:rsidR="00C07558">
        <w:rPr>
          <w:rFonts w:hint="cs"/>
          <w:rtl/>
          <w:lang w:val="en-GB"/>
        </w:rPr>
        <w:t xml:space="preserve"> المستخدمة في</w:t>
      </w:r>
      <w:r w:rsidR="001665F5">
        <w:rPr>
          <w:rFonts w:hint="eastAsia"/>
          <w:rtl/>
          <w:lang w:val="en-GB"/>
        </w:rPr>
        <w:t> </w:t>
      </w:r>
      <w:r w:rsidR="00C07558">
        <w:rPr>
          <w:rFonts w:hint="cs"/>
          <w:rtl/>
          <w:lang w:val="en-GB"/>
        </w:rPr>
        <w:t>تجميع مجموعة البيانات الإحصائية:</w:t>
      </w:r>
    </w:p>
    <w:p w14:paraId="6A3E3AF7" w14:textId="451694C4" w:rsidR="0076159F" w:rsidRPr="00C07558" w:rsidRDefault="00951558" w:rsidP="00C07558">
      <w:pPr>
        <w:pStyle w:val="enumlev1"/>
        <w:rPr>
          <w:rtl/>
          <w:lang w:val="en-GB" w:bidi="ar-SA"/>
        </w:rPr>
      </w:pPr>
      <w:r w:rsidRPr="001665F5">
        <w:rPr>
          <w:rFonts w:hint="cs"/>
          <w:rtl/>
        </w:rPr>
        <w:t>-</w:t>
      </w:r>
      <w:r w:rsidR="0076159F" w:rsidRPr="001665F5">
        <w:tab/>
      </w:r>
      <w:r w:rsidR="00C07558" w:rsidRPr="001665F5">
        <w:rPr>
          <w:rFonts w:hint="cs"/>
          <w:rtl/>
        </w:rPr>
        <w:t xml:space="preserve">مجموعة بيانات </w:t>
      </w:r>
      <w:proofErr w:type="spellStart"/>
      <w:r w:rsidR="00C07558" w:rsidRPr="001665F5">
        <w:t>ERA5</w:t>
      </w:r>
      <w:proofErr w:type="spellEnd"/>
      <w:r w:rsidR="00C07558" w:rsidRPr="001665F5">
        <w:rPr>
          <w:rFonts w:hint="cs"/>
          <w:rtl/>
        </w:rPr>
        <w:t xml:space="preserve">: </w:t>
      </w:r>
      <w:r w:rsidR="00C07558" w:rsidRPr="001665F5">
        <w:t>reanalysis-</w:t>
      </w:r>
      <w:proofErr w:type="spellStart"/>
      <w:r w:rsidR="00C07558" w:rsidRPr="001665F5">
        <w:t>era5</w:t>
      </w:r>
      <w:proofErr w:type="spellEnd"/>
      <w:r w:rsidR="00C07558" w:rsidRPr="001665F5">
        <w:t>-single-levels</w:t>
      </w:r>
    </w:p>
    <w:p w14:paraId="706903B9" w14:textId="5C973657" w:rsidR="0076159F" w:rsidRPr="00C07558" w:rsidRDefault="00951558" w:rsidP="0076159F">
      <w:pPr>
        <w:pStyle w:val="enumlev1"/>
        <w:rPr>
          <w:rtl/>
          <w:lang w:val="en-GB" w:bidi="ar-SA"/>
        </w:rPr>
      </w:pPr>
      <w:r w:rsidRPr="00CC6A27">
        <w:rPr>
          <w:rFonts w:hint="cs"/>
          <w:rtl/>
        </w:rPr>
        <w:t>-</w:t>
      </w:r>
      <w:r w:rsidR="0076159F">
        <w:tab/>
      </w:r>
      <w:r w:rsidR="00C07558">
        <w:rPr>
          <w:rFonts w:hint="cs"/>
          <w:rtl/>
          <w:lang w:bidi="ar-SA"/>
        </w:rPr>
        <w:t xml:space="preserve">الفترة الزمنية: </w:t>
      </w:r>
      <w:r w:rsidR="00C07558">
        <w:rPr>
          <w:lang w:val="en-GB" w:bidi="ar-SA"/>
        </w:rPr>
        <w:t>10</w:t>
      </w:r>
      <w:r w:rsidR="00C07558">
        <w:rPr>
          <w:rFonts w:hint="cs"/>
          <w:rtl/>
          <w:lang w:val="en-GB" w:bidi="ar-SA"/>
        </w:rPr>
        <w:t xml:space="preserve"> سنوات، من </w:t>
      </w:r>
      <w:r w:rsidR="00C07558">
        <w:rPr>
          <w:lang w:val="en-GB" w:bidi="ar-SA"/>
        </w:rPr>
        <w:t>1</w:t>
      </w:r>
      <w:r w:rsidR="00C07558">
        <w:rPr>
          <w:rFonts w:hint="cs"/>
          <w:rtl/>
          <w:lang w:val="en-GB" w:bidi="ar-SA"/>
        </w:rPr>
        <w:t xml:space="preserve"> يناير </w:t>
      </w:r>
      <w:r w:rsidR="002F482E">
        <w:rPr>
          <w:lang w:val="en-GB" w:bidi="ar-SA"/>
        </w:rPr>
        <w:t>2011</w:t>
      </w:r>
      <w:r w:rsidR="002F482E">
        <w:rPr>
          <w:rFonts w:hint="cs"/>
          <w:rtl/>
          <w:lang w:val="en-GB" w:bidi="ar-SA"/>
        </w:rPr>
        <w:t xml:space="preserve">، الساعة </w:t>
      </w:r>
      <w:r w:rsidR="002F482E">
        <w:rPr>
          <w:lang w:val="en-GB" w:bidi="ar-SA"/>
        </w:rPr>
        <w:t>00:00:00</w:t>
      </w:r>
      <w:r w:rsidR="002F482E">
        <w:rPr>
          <w:rFonts w:hint="cs"/>
          <w:rtl/>
          <w:lang w:val="en-GB" w:bidi="ar-SA"/>
        </w:rPr>
        <w:t xml:space="preserve"> بالتوقيت العالمي المنسق إلى </w:t>
      </w:r>
      <w:r w:rsidR="002F482E">
        <w:rPr>
          <w:lang w:val="en-GB" w:bidi="ar-SA"/>
        </w:rPr>
        <w:t>31</w:t>
      </w:r>
      <w:r w:rsidR="002F482E">
        <w:rPr>
          <w:rFonts w:hint="cs"/>
          <w:rtl/>
          <w:lang w:val="en-GB" w:bidi="ar-SA"/>
        </w:rPr>
        <w:t xml:space="preserve"> ديسمبر </w:t>
      </w:r>
      <w:r w:rsidR="002F482E">
        <w:rPr>
          <w:lang w:val="en-GB" w:bidi="ar-SA"/>
        </w:rPr>
        <w:t>2020</w:t>
      </w:r>
      <w:r w:rsidR="002F482E">
        <w:rPr>
          <w:rFonts w:hint="cs"/>
          <w:rtl/>
          <w:lang w:val="en-GB" w:bidi="ar-SA"/>
        </w:rPr>
        <w:t xml:space="preserve">، الساعة </w:t>
      </w:r>
      <w:r w:rsidR="002F482E">
        <w:rPr>
          <w:lang w:val="en-GB" w:bidi="ar-SA"/>
        </w:rPr>
        <w:t>23:00:00</w:t>
      </w:r>
      <w:r w:rsidR="002F482E">
        <w:rPr>
          <w:rFonts w:hint="cs"/>
          <w:rtl/>
          <w:lang w:val="en-GB" w:bidi="ar-SA"/>
        </w:rPr>
        <w:t xml:space="preserve"> بالتوقيت العالمي المنسق</w:t>
      </w:r>
    </w:p>
    <w:p w14:paraId="58F3AAB7" w14:textId="7D3CD2BE" w:rsidR="0076159F" w:rsidRPr="002F482E" w:rsidRDefault="00951558" w:rsidP="002F482E">
      <w:pPr>
        <w:pStyle w:val="enumlev1"/>
        <w:rPr>
          <w:rtl/>
          <w:lang w:bidi="ar-SA"/>
        </w:rPr>
      </w:pPr>
      <w:r w:rsidRPr="00CC6A27">
        <w:rPr>
          <w:rFonts w:hint="cs"/>
          <w:rtl/>
        </w:rPr>
        <w:t>-</w:t>
      </w:r>
      <w:r w:rsidR="0076159F">
        <w:tab/>
      </w:r>
      <w:r w:rsidR="005444DB">
        <w:rPr>
          <w:rFonts w:hint="cs"/>
          <w:rtl/>
        </w:rPr>
        <w:t>الدقة</w:t>
      </w:r>
      <w:r w:rsidR="002F482E">
        <w:rPr>
          <w:rFonts w:hint="cs"/>
          <w:rtl/>
        </w:rPr>
        <w:t xml:space="preserve"> المكانية: </w:t>
      </w:r>
      <w:r w:rsidR="002F482E">
        <w:rPr>
          <w:lang w:val="en-GB" w:bidi="ar-SA"/>
        </w:rPr>
        <w:t>0,25</w:t>
      </w:r>
      <w:r w:rsidR="002F482E">
        <w:rPr>
          <w:rFonts w:hint="cs"/>
          <w:rtl/>
          <w:lang w:val="en-GB" w:bidi="ar-SA"/>
        </w:rPr>
        <w:t xml:space="preserve"> </w:t>
      </w:r>
      <w:r w:rsidR="002F482E" w:rsidRPr="002F482E">
        <w:rPr>
          <w:lang w:bidi="ar-SA"/>
        </w:rPr>
        <w:t>×</w:t>
      </w:r>
      <w:r w:rsidR="002F482E">
        <w:rPr>
          <w:rFonts w:hint="cs"/>
          <w:rtl/>
          <w:lang w:val="en-GB" w:bidi="ar-SA"/>
        </w:rPr>
        <w:t xml:space="preserve"> </w:t>
      </w:r>
      <w:r w:rsidR="002F482E">
        <w:rPr>
          <w:lang w:val="en-GB" w:bidi="ar-SA"/>
        </w:rPr>
        <w:t>0,25</w:t>
      </w:r>
      <w:r w:rsidR="002F482E">
        <w:rPr>
          <w:rFonts w:hint="cs"/>
          <w:rtl/>
          <w:lang w:val="en-GB" w:bidi="ar-SA"/>
        </w:rPr>
        <w:t xml:space="preserve"> درجة، أي خط العرض = </w:t>
      </w:r>
      <w:r w:rsidR="002F482E" w:rsidRPr="002F482E">
        <w:rPr>
          <w:lang w:bidi="ar-SA"/>
        </w:rPr>
        <w:t>[90°:-0</w:t>
      </w:r>
      <w:r w:rsidR="008707A7">
        <w:rPr>
          <w:lang w:bidi="ar-SA"/>
        </w:rPr>
        <w:t>,</w:t>
      </w:r>
      <w:r w:rsidR="002F482E" w:rsidRPr="002F482E">
        <w:rPr>
          <w:lang w:bidi="ar-SA"/>
        </w:rPr>
        <w:t>25°:-90°]</w:t>
      </w:r>
      <w:r w:rsidR="002F482E">
        <w:rPr>
          <w:rFonts w:hint="cs"/>
          <w:rtl/>
          <w:lang w:bidi="ar-SA"/>
        </w:rPr>
        <w:t xml:space="preserve">، خط الطول = </w:t>
      </w:r>
      <w:r w:rsidR="002F482E" w:rsidRPr="002F482E">
        <w:rPr>
          <w:lang w:bidi="ar-SA"/>
        </w:rPr>
        <w:t>[0°:0</w:t>
      </w:r>
      <w:r w:rsidR="008707A7">
        <w:rPr>
          <w:lang w:bidi="ar-SA"/>
        </w:rPr>
        <w:t>,</w:t>
      </w:r>
      <w:r w:rsidR="002F482E" w:rsidRPr="002F482E">
        <w:rPr>
          <w:lang w:bidi="ar-SA"/>
        </w:rPr>
        <w:t>25°:359</w:t>
      </w:r>
      <w:r w:rsidR="008707A7">
        <w:rPr>
          <w:lang w:bidi="ar-SA"/>
        </w:rPr>
        <w:t>,</w:t>
      </w:r>
      <w:r w:rsidR="002F482E" w:rsidRPr="002F482E">
        <w:rPr>
          <w:lang w:bidi="ar-SA"/>
        </w:rPr>
        <w:t>75°]</w:t>
      </w:r>
    </w:p>
    <w:p w14:paraId="20EBEDCE" w14:textId="65D3C749" w:rsidR="0076159F" w:rsidRDefault="00951558" w:rsidP="0076159F">
      <w:pPr>
        <w:pStyle w:val="enumlev1"/>
        <w:rPr>
          <w:rtl/>
        </w:rPr>
      </w:pPr>
      <w:r w:rsidRPr="00CC6A27">
        <w:rPr>
          <w:rFonts w:hint="cs"/>
          <w:rtl/>
        </w:rPr>
        <w:t>-</w:t>
      </w:r>
      <w:r w:rsidR="0076159F">
        <w:tab/>
      </w:r>
      <w:r w:rsidR="005444DB">
        <w:rPr>
          <w:rFonts w:hint="cs"/>
          <w:rtl/>
        </w:rPr>
        <w:t>الدقة الزمنية: ساعة واحدة.</w:t>
      </w:r>
    </w:p>
    <w:p w14:paraId="1DF6BDDE" w14:textId="051AA33E" w:rsidR="003A3BB1" w:rsidRPr="0076159F" w:rsidRDefault="003A3BB1" w:rsidP="003F3BA1">
      <w:pPr>
        <w:spacing w:before="600"/>
        <w:jc w:val="center"/>
        <w:rPr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  <w:r w:rsidR="001665F5">
        <w:rPr>
          <w:rFonts w:hint="cs"/>
          <w:rtl/>
          <w:lang w:bidi="ar-EG"/>
        </w:rPr>
        <w:t>ــــــــ</w:t>
      </w:r>
    </w:p>
    <w:sectPr w:rsidR="003A3BB1" w:rsidRPr="0076159F" w:rsidSect="006C3242">
      <w:headerReference w:type="default" r:id="rId12"/>
      <w:headerReference w:type="first" r:id="rId13"/>
      <w:footerReference w:type="first" r:id="rId14"/>
      <w:footnotePr>
        <w:numStart w:val="2"/>
      </w:footnotePr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AEF42" w14:textId="77777777" w:rsidR="0070381F" w:rsidRDefault="0070381F" w:rsidP="006C3242">
      <w:pPr>
        <w:spacing w:before="0" w:line="240" w:lineRule="auto"/>
      </w:pPr>
      <w:r>
        <w:separator/>
      </w:r>
    </w:p>
  </w:endnote>
  <w:endnote w:type="continuationSeparator" w:id="0">
    <w:p w14:paraId="0D59ADA7" w14:textId="77777777" w:rsidR="0070381F" w:rsidRDefault="0070381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FE0AB" w14:textId="77777777" w:rsidR="00873048" w:rsidRPr="00202E76" w:rsidRDefault="00873048" w:rsidP="00873048">
    <w:pPr>
      <w:pStyle w:val="FirstFooter"/>
      <w:spacing w:before="120" w:line="192" w:lineRule="auto"/>
      <w:ind w:left="-397" w:right="-397"/>
      <w:jc w:val="center"/>
      <w:rPr>
        <w:rFonts w:ascii="Dubai" w:hAnsi="Dubai" w:cs="Dubai"/>
        <w:color w:val="5B9BD5" w:themeColor="accent1"/>
        <w:sz w:val="19"/>
        <w:szCs w:val="19"/>
        <w:lang w:val="fr-CH"/>
      </w:rPr>
    </w:pP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International </w:t>
    </w:r>
    <w:proofErr w:type="spellStart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Telecommunication</w:t>
    </w:r>
    <w:proofErr w:type="spellEnd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Union • Place des Nations, CH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noBreakHyphen/>
      <w:t xml:space="preserve">1211 Geneva 20, </w:t>
    </w:r>
    <w:proofErr w:type="spellStart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Switzerland</w:t>
    </w:r>
    <w:proofErr w:type="spellEnd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• 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br/>
    </w:r>
    <w:proofErr w:type="gramStart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Tel:</w:t>
    </w:r>
    <w:proofErr w:type="gramEnd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+41 22 730 5111 • E-mail: </w:t>
    </w:r>
    <w:hyperlink r:id="rId1" w:history="1">
      <w:proofErr w:type="spellStart"/>
      <w:r w:rsidRPr="00202E76">
        <w:rPr>
          <w:rStyle w:val="Hyperlink"/>
          <w:sz w:val="19"/>
          <w:szCs w:val="19"/>
          <w:lang w:val="fr-CH"/>
        </w:rPr>
        <w:t>itumail@itu.int</w:t>
      </w:r>
      <w:proofErr w:type="spellEnd"/>
    </w:hyperlink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 • </w:t>
    </w:r>
    <w:r w:rsidRPr="00202E76">
      <w:rPr>
        <w:rFonts w:ascii="Dubai" w:hAnsi="Dubai" w:cs="Dubai"/>
        <w:color w:val="3E8EDE"/>
        <w:sz w:val="18"/>
        <w:szCs w:val="18"/>
        <w:lang w:val="fr-CH"/>
      </w:rPr>
      <w:t xml:space="preserve">Fax: +41 22 733 7256 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• </w:t>
    </w:r>
    <w:proofErr w:type="spellStart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www.itu.int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80AEB" w14:textId="77777777" w:rsidR="0070381F" w:rsidRDefault="0070381F" w:rsidP="006C3242">
      <w:pPr>
        <w:spacing w:before="0" w:line="240" w:lineRule="auto"/>
      </w:pPr>
      <w:r>
        <w:separator/>
      </w:r>
    </w:p>
  </w:footnote>
  <w:footnote w:type="continuationSeparator" w:id="0">
    <w:p w14:paraId="35D4EA28" w14:textId="77777777" w:rsidR="0070381F" w:rsidRDefault="0070381F" w:rsidP="006C3242">
      <w:pPr>
        <w:spacing w:before="0" w:line="240" w:lineRule="auto"/>
      </w:pPr>
      <w:r>
        <w:continuationSeparator/>
      </w:r>
    </w:p>
  </w:footnote>
  <w:footnote w:id="1">
    <w:p w14:paraId="0C8478B4" w14:textId="4EE2BEC7" w:rsidR="002076CF" w:rsidRPr="004E239D" w:rsidRDefault="002076CF" w:rsidP="004E239D">
      <w:pPr>
        <w:pStyle w:val="FootnoteText"/>
        <w:tabs>
          <w:tab w:val="clear" w:pos="794"/>
          <w:tab w:val="left" w:pos="425"/>
        </w:tabs>
        <w:ind w:left="425" w:hanging="425"/>
        <w:rPr>
          <w:sz w:val="18"/>
          <w:szCs w:val="18"/>
          <w:lang w:val="fr-CH" w:bidi="ar-EG"/>
        </w:rPr>
      </w:pPr>
      <w:r w:rsidRPr="004E239D">
        <w:rPr>
          <w:rStyle w:val="FootnoteReference"/>
          <w:rtl/>
        </w:rPr>
        <w:t>1</w:t>
      </w:r>
      <w:r w:rsidR="0069120A" w:rsidRPr="004E239D">
        <w:rPr>
          <w:sz w:val="18"/>
          <w:szCs w:val="18"/>
          <w:rtl/>
        </w:rPr>
        <w:tab/>
      </w:r>
      <w:r w:rsidR="001B5F08" w:rsidRPr="004E239D">
        <w:rPr>
          <w:spacing w:val="-6"/>
          <w:sz w:val="18"/>
          <w:szCs w:val="18"/>
          <w:lang w:val="fr-CH"/>
        </w:rPr>
        <w:t>Aclam, P. I.</w:t>
      </w:r>
      <w:r w:rsidR="007B69FD" w:rsidRPr="004E239D">
        <w:rPr>
          <w:rFonts w:hint="cs"/>
          <w:spacing w:val="-6"/>
          <w:sz w:val="18"/>
          <w:szCs w:val="18"/>
          <w:rtl/>
        </w:rPr>
        <w:t xml:space="preserve"> </w:t>
      </w:r>
      <w:r w:rsidR="001B5F08" w:rsidRPr="004E239D">
        <w:rPr>
          <w:rFonts w:hint="cs"/>
          <w:spacing w:val="-6"/>
          <w:sz w:val="18"/>
          <w:szCs w:val="18"/>
          <w:rtl/>
        </w:rPr>
        <w:t>"خوارزمية لحساب التوزيع التراكمي الطبيعي العكسي"</w:t>
      </w:r>
      <w:r w:rsidR="0069120A" w:rsidRPr="004E239D">
        <w:rPr>
          <w:rFonts w:hint="cs"/>
          <w:spacing w:val="-6"/>
          <w:sz w:val="18"/>
          <w:szCs w:val="18"/>
          <w:rtl/>
        </w:rPr>
        <w:t xml:space="preserve">: </w:t>
      </w:r>
      <w:r w:rsidR="004E239D" w:rsidRPr="004E239D">
        <w:rPr>
          <w:rFonts w:hint="cs"/>
          <w:spacing w:val="-6"/>
          <w:sz w:val="18"/>
          <w:szCs w:val="18"/>
          <w:rtl/>
        </w:rPr>
        <w:t xml:space="preserve"> </w:t>
      </w:r>
      <w:hyperlink r:id="rId1" w:history="1">
        <w:r w:rsidR="005C55D9" w:rsidRPr="004E239D">
          <w:rPr>
            <w:rStyle w:val="Hyperlink"/>
            <w:spacing w:val="-6"/>
            <w:sz w:val="18"/>
            <w:szCs w:val="18"/>
            <w:lang w:val="fr-CH"/>
          </w:rPr>
          <w:t>https://stackedboxes.org/2017/05/01/acklams-normal-quantile-function/</w:t>
        </w:r>
      </w:hyperlink>
    </w:p>
  </w:footnote>
  <w:footnote w:id="2">
    <w:p w14:paraId="4B8C063D" w14:textId="33E30E27" w:rsidR="0069120A" w:rsidRPr="0069120A" w:rsidRDefault="0069120A" w:rsidP="00340F5C">
      <w:pPr>
        <w:pStyle w:val="FootnoteText"/>
        <w:tabs>
          <w:tab w:val="clear" w:pos="794"/>
          <w:tab w:val="left" w:pos="425"/>
        </w:tabs>
        <w:ind w:left="425" w:hanging="425"/>
        <w:rPr>
          <w:sz w:val="18"/>
          <w:szCs w:val="18"/>
          <w:rtl/>
          <w:lang w:bidi="ar-EG"/>
        </w:rPr>
      </w:pPr>
      <w:r w:rsidRPr="009C7C2A">
        <w:rPr>
          <w:rStyle w:val="FootnoteReference"/>
          <w:position w:val="0"/>
        </w:rPr>
        <w:footnoteRef/>
      </w:r>
      <w:r w:rsidRPr="009C7C2A">
        <w:rPr>
          <w:sz w:val="18"/>
          <w:szCs w:val="18"/>
          <w:lang w:val="fr-CH"/>
        </w:rPr>
        <w:tab/>
      </w:r>
      <w:r w:rsidR="00F60D03" w:rsidRPr="009C7C2A">
        <w:rPr>
          <w:rFonts w:hint="cs"/>
          <w:sz w:val="18"/>
          <w:szCs w:val="18"/>
          <w:rtl/>
        </w:rPr>
        <w:t>إن ا</w:t>
      </w:r>
      <w:r w:rsidR="00F60D03" w:rsidRPr="009C7C2A">
        <w:rPr>
          <w:sz w:val="18"/>
          <w:szCs w:val="18"/>
          <w:rtl/>
        </w:rPr>
        <w:t xml:space="preserve">عتماد مشروع مراجعة التوصية </w:t>
      </w:r>
      <w:r w:rsidR="00F60D03" w:rsidRPr="009C7C2A">
        <w:rPr>
          <w:sz w:val="18"/>
          <w:szCs w:val="18"/>
        </w:rPr>
        <w:t>ITU-R P.676-12</w:t>
      </w:r>
      <w:r w:rsidR="00F60D03" w:rsidRPr="009C7C2A">
        <w:rPr>
          <w:sz w:val="18"/>
          <w:szCs w:val="18"/>
          <w:rtl/>
        </w:rPr>
        <w:t xml:space="preserve"> ومشروع التوصية الجديدة </w:t>
      </w:r>
      <w:r w:rsidR="00F60D03" w:rsidRPr="009C7C2A">
        <w:rPr>
          <w:sz w:val="18"/>
          <w:szCs w:val="18"/>
        </w:rPr>
        <w:t>ITU-R P.[P.676 maps]</w:t>
      </w:r>
      <w:r w:rsidR="00F60D03" w:rsidRPr="009C7C2A">
        <w:rPr>
          <w:sz w:val="18"/>
          <w:szCs w:val="18"/>
          <w:rtl/>
        </w:rPr>
        <w:t xml:space="preserve"> </w:t>
      </w:r>
      <w:r w:rsidR="00F60D03" w:rsidRPr="009C7C2A">
        <w:rPr>
          <w:rFonts w:hint="cs"/>
          <w:sz w:val="18"/>
          <w:szCs w:val="18"/>
          <w:rtl/>
        </w:rPr>
        <w:t>والموافقة عليهما مترابطان.</w:t>
      </w:r>
    </w:p>
  </w:footnote>
  <w:footnote w:id="3">
    <w:p w14:paraId="0DD6DCFA" w14:textId="67B0D5FB" w:rsidR="00CC6A27" w:rsidRPr="00EF0410" w:rsidRDefault="00CC6A27" w:rsidP="00340F5C">
      <w:pPr>
        <w:pStyle w:val="FootnoteText"/>
        <w:tabs>
          <w:tab w:val="clear" w:pos="794"/>
          <w:tab w:val="left" w:pos="425"/>
        </w:tabs>
        <w:ind w:left="425" w:hanging="425"/>
        <w:rPr>
          <w:spacing w:val="-2"/>
          <w:sz w:val="18"/>
          <w:szCs w:val="18"/>
          <w:rtl/>
          <w:lang w:bidi="ar-EG"/>
        </w:rPr>
      </w:pPr>
      <w:r w:rsidRPr="00EF0410">
        <w:rPr>
          <w:rStyle w:val="FootnoteReference"/>
          <w:spacing w:val="-2"/>
          <w:position w:val="0"/>
          <w:rtl/>
        </w:rPr>
        <w:t>3</w:t>
      </w:r>
      <w:r w:rsidRPr="00EF0410">
        <w:rPr>
          <w:spacing w:val="-2"/>
          <w:sz w:val="18"/>
          <w:szCs w:val="18"/>
          <w:lang w:val="fr-CH"/>
        </w:rPr>
        <w:tab/>
      </w:r>
      <w:r w:rsidR="004E6898" w:rsidRPr="00EF0410">
        <w:rPr>
          <w:rFonts w:hint="cs"/>
          <w:spacing w:val="-2"/>
          <w:sz w:val="18"/>
          <w:szCs w:val="18"/>
          <w:rtl/>
        </w:rPr>
        <w:t>إن ا</w:t>
      </w:r>
      <w:r w:rsidR="004E6898" w:rsidRPr="00EF0410">
        <w:rPr>
          <w:spacing w:val="-2"/>
          <w:sz w:val="18"/>
          <w:szCs w:val="18"/>
          <w:rtl/>
        </w:rPr>
        <w:t>عتماد مشروع</w:t>
      </w:r>
      <w:r w:rsidR="004E6898" w:rsidRPr="00EF0410">
        <w:rPr>
          <w:rFonts w:hint="cs"/>
          <w:spacing w:val="-2"/>
          <w:sz w:val="18"/>
          <w:szCs w:val="18"/>
          <w:rtl/>
        </w:rPr>
        <w:t>ي</w:t>
      </w:r>
      <w:r w:rsidR="004E6898" w:rsidRPr="00EF0410">
        <w:rPr>
          <w:spacing w:val="-2"/>
          <w:sz w:val="18"/>
          <w:szCs w:val="18"/>
          <w:rtl/>
        </w:rPr>
        <w:t xml:space="preserve"> التوصي</w:t>
      </w:r>
      <w:r w:rsidR="004E6898" w:rsidRPr="00EF0410">
        <w:rPr>
          <w:rFonts w:hint="cs"/>
          <w:spacing w:val="-2"/>
          <w:sz w:val="18"/>
          <w:szCs w:val="18"/>
          <w:rtl/>
        </w:rPr>
        <w:t>تين الجديدتين</w:t>
      </w:r>
      <w:r w:rsidR="004E6898" w:rsidRPr="00EF0410">
        <w:rPr>
          <w:spacing w:val="-2"/>
          <w:sz w:val="18"/>
          <w:szCs w:val="18"/>
          <w:rtl/>
        </w:rPr>
        <w:t xml:space="preserve"> </w:t>
      </w:r>
      <w:r w:rsidR="004E6898" w:rsidRPr="00EF0410">
        <w:rPr>
          <w:spacing w:val="-2"/>
          <w:sz w:val="18"/>
          <w:szCs w:val="18"/>
        </w:rPr>
        <w:t>ITU-R P.[SEA_SURFACE_BISTATIC_SCATTERING]</w:t>
      </w:r>
      <w:r w:rsidR="004E6898" w:rsidRPr="00EF0410">
        <w:rPr>
          <w:spacing w:val="-2"/>
          <w:sz w:val="18"/>
          <w:szCs w:val="18"/>
          <w:rtl/>
        </w:rPr>
        <w:t xml:space="preserve"> </w:t>
      </w:r>
      <w:r w:rsidR="004E6898" w:rsidRPr="00EF0410">
        <w:rPr>
          <w:rFonts w:hint="cs"/>
          <w:spacing w:val="-2"/>
          <w:sz w:val="18"/>
          <w:szCs w:val="18"/>
          <w:rtl/>
        </w:rPr>
        <w:t>و</w:t>
      </w:r>
      <w:r w:rsidR="004E6898" w:rsidRPr="00EF0410">
        <w:rPr>
          <w:spacing w:val="-2"/>
          <w:sz w:val="18"/>
          <w:szCs w:val="18"/>
        </w:rPr>
        <w:t>ITU</w:t>
      </w:r>
      <w:r w:rsidR="004E6898" w:rsidRPr="00EF0410">
        <w:rPr>
          <w:spacing w:val="-2"/>
          <w:sz w:val="18"/>
          <w:szCs w:val="18"/>
        </w:rPr>
        <w:noBreakHyphen/>
        <w:t>R P.[WIND_SPEED_MAPS]</w:t>
      </w:r>
      <w:r w:rsidR="00EF0410" w:rsidRPr="00EF0410">
        <w:rPr>
          <w:rFonts w:hint="cs"/>
          <w:spacing w:val="-2"/>
          <w:sz w:val="18"/>
          <w:szCs w:val="18"/>
          <w:rtl/>
        </w:rPr>
        <w:t xml:space="preserve"> </w:t>
      </w:r>
      <w:r w:rsidR="004E6898" w:rsidRPr="00EF0410">
        <w:rPr>
          <w:rFonts w:hint="cs"/>
          <w:spacing w:val="-2"/>
          <w:sz w:val="18"/>
          <w:szCs w:val="18"/>
          <w:rtl/>
        </w:rPr>
        <w:t>والموافقة عليه</w:t>
      </w:r>
      <w:r w:rsidR="004346DE" w:rsidRPr="00EF0410">
        <w:rPr>
          <w:rFonts w:hint="cs"/>
          <w:spacing w:val="-2"/>
          <w:sz w:val="18"/>
          <w:szCs w:val="18"/>
          <w:rtl/>
        </w:rPr>
        <w:t>م</w:t>
      </w:r>
      <w:r w:rsidR="004E6898" w:rsidRPr="00EF0410">
        <w:rPr>
          <w:rFonts w:hint="cs"/>
          <w:spacing w:val="-2"/>
          <w:sz w:val="18"/>
          <w:szCs w:val="18"/>
          <w:rtl/>
        </w:rPr>
        <w:t xml:space="preserve">ا </w:t>
      </w:r>
      <w:r w:rsidR="006D39AA" w:rsidRPr="00EF0410">
        <w:rPr>
          <w:rFonts w:hint="cs"/>
          <w:spacing w:val="-2"/>
          <w:sz w:val="18"/>
          <w:szCs w:val="18"/>
          <w:rtl/>
        </w:rPr>
        <w:t>مترابطان</w:t>
      </w:r>
      <w:r w:rsidR="004E6898" w:rsidRPr="00EF0410">
        <w:rPr>
          <w:rFonts w:hint="cs"/>
          <w:spacing w:val="-2"/>
          <w:sz w:val="18"/>
          <w:szCs w:val="18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C102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AA003" w14:textId="77777777" w:rsidR="000F7BBE" w:rsidRDefault="000F7BBE" w:rsidP="00B20C86">
    <w:pPr>
      <w:pStyle w:val="Header"/>
      <w:spacing w:before="120" w:after="120"/>
      <w:jc w:val="center"/>
    </w:pPr>
    <w:r w:rsidRPr="008E52B1">
      <w:rPr>
        <w:noProof/>
        <w:color w:val="3399FF"/>
      </w:rPr>
      <w:drawing>
        <wp:inline distT="0" distB="0" distL="0" distR="0" wp14:anchorId="2B28B620" wp14:editId="53DFB7C6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95418284">
    <w:abstractNumId w:val="9"/>
  </w:num>
  <w:num w:numId="2" w16cid:durableId="948664442">
    <w:abstractNumId w:val="7"/>
  </w:num>
  <w:num w:numId="3" w16cid:durableId="2063555882">
    <w:abstractNumId w:val="6"/>
  </w:num>
  <w:num w:numId="4" w16cid:durableId="1211304249">
    <w:abstractNumId w:val="5"/>
  </w:num>
  <w:num w:numId="5" w16cid:durableId="1382679243">
    <w:abstractNumId w:val="4"/>
  </w:num>
  <w:num w:numId="6" w16cid:durableId="499853477">
    <w:abstractNumId w:val="8"/>
  </w:num>
  <w:num w:numId="7" w16cid:durableId="2029090477">
    <w:abstractNumId w:val="3"/>
  </w:num>
  <w:num w:numId="8" w16cid:durableId="697119362">
    <w:abstractNumId w:val="2"/>
  </w:num>
  <w:num w:numId="9" w16cid:durableId="1473478067">
    <w:abstractNumId w:val="1"/>
  </w:num>
  <w:num w:numId="10" w16cid:durableId="432213136">
    <w:abstractNumId w:val="0"/>
  </w:num>
  <w:num w:numId="11" w16cid:durableId="13302520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numStart w:val="2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1F"/>
    <w:rsid w:val="0006468A"/>
    <w:rsid w:val="00065054"/>
    <w:rsid w:val="0008438C"/>
    <w:rsid w:val="00090574"/>
    <w:rsid w:val="000B5AA4"/>
    <w:rsid w:val="000C1C0E"/>
    <w:rsid w:val="000C548A"/>
    <w:rsid w:val="000F7BBE"/>
    <w:rsid w:val="00107E03"/>
    <w:rsid w:val="00142BF4"/>
    <w:rsid w:val="0015071F"/>
    <w:rsid w:val="00150DB9"/>
    <w:rsid w:val="00160BE3"/>
    <w:rsid w:val="001665F5"/>
    <w:rsid w:val="00167E40"/>
    <w:rsid w:val="001835EE"/>
    <w:rsid w:val="001928BA"/>
    <w:rsid w:val="00192DD7"/>
    <w:rsid w:val="001A2573"/>
    <w:rsid w:val="001A2AB1"/>
    <w:rsid w:val="001A4D21"/>
    <w:rsid w:val="001B2082"/>
    <w:rsid w:val="001B5F08"/>
    <w:rsid w:val="001C0169"/>
    <w:rsid w:val="001C453F"/>
    <w:rsid w:val="001D1D50"/>
    <w:rsid w:val="001D6745"/>
    <w:rsid w:val="001E446E"/>
    <w:rsid w:val="001E4C82"/>
    <w:rsid w:val="001F2358"/>
    <w:rsid w:val="00204892"/>
    <w:rsid w:val="002076CF"/>
    <w:rsid w:val="002108B5"/>
    <w:rsid w:val="002154EE"/>
    <w:rsid w:val="002178D1"/>
    <w:rsid w:val="00225845"/>
    <w:rsid w:val="002276D2"/>
    <w:rsid w:val="0023283D"/>
    <w:rsid w:val="00233C1A"/>
    <w:rsid w:val="00246C3F"/>
    <w:rsid w:val="00250817"/>
    <w:rsid w:val="0026373E"/>
    <w:rsid w:val="00271C43"/>
    <w:rsid w:val="00290728"/>
    <w:rsid w:val="002978F4"/>
    <w:rsid w:val="002B028D"/>
    <w:rsid w:val="002C0079"/>
    <w:rsid w:val="002C2C46"/>
    <w:rsid w:val="002D4E67"/>
    <w:rsid w:val="002E6541"/>
    <w:rsid w:val="002E6D93"/>
    <w:rsid w:val="002F482E"/>
    <w:rsid w:val="00323D90"/>
    <w:rsid w:val="00327A5B"/>
    <w:rsid w:val="00334924"/>
    <w:rsid w:val="003409BC"/>
    <w:rsid w:val="00340F5C"/>
    <w:rsid w:val="00357185"/>
    <w:rsid w:val="00374E35"/>
    <w:rsid w:val="00383829"/>
    <w:rsid w:val="003A3BB1"/>
    <w:rsid w:val="003C0887"/>
    <w:rsid w:val="003F3BA1"/>
    <w:rsid w:val="003F4B29"/>
    <w:rsid w:val="00406F77"/>
    <w:rsid w:val="0042686F"/>
    <w:rsid w:val="004317D8"/>
    <w:rsid w:val="00434183"/>
    <w:rsid w:val="004346DE"/>
    <w:rsid w:val="00443869"/>
    <w:rsid w:val="00447F32"/>
    <w:rsid w:val="0047346A"/>
    <w:rsid w:val="0047431A"/>
    <w:rsid w:val="004A650C"/>
    <w:rsid w:val="004D25D7"/>
    <w:rsid w:val="004D2A40"/>
    <w:rsid w:val="004E11DC"/>
    <w:rsid w:val="004E239D"/>
    <w:rsid w:val="004E6898"/>
    <w:rsid w:val="00502E24"/>
    <w:rsid w:val="00517819"/>
    <w:rsid w:val="00522870"/>
    <w:rsid w:val="00523C73"/>
    <w:rsid w:val="00525DDD"/>
    <w:rsid w:val="005409AC"/>
    <w:rsid w:val="00541022"/>
    <w:rsid w:val="005444DB"/>
    <w:rsid w:val="0055516A"/>
    <w:rsid w:val="0058171A"/>
    <w:rsid w:val="00582AE6"/>
    <w:rsid w:val="0058491B"/>
    <w:rsid w:val="005854E2"/>
    <w:rsid w:val="00592EA5"/>
    <w:rsid w:val="005A3170"/>
    <w:rsid w:val="005C55D9"/>
    <w:rsid w:val="005F3AC4"/>
    <w:rsid w:val="00621CC4"/>
    <w:rsid w:val="00632D2B"/>
    <w:rsid w:val="006515C3"/>
    <w:rsid w:val="00653A60"/>
    <w:rsid w:val="00655178"/>
    <w:rsid w:val="00661CC4"/>
    <w:rsid w:val="00671955"/>
    <w:rsid w:val="00677396"/>
    <w:rsid w:val="00681621"/>
    <w:rsid w:val="00686585"/>
    <w:rsid w:val="0069120A"/>
    <w:rsid w:val="0069200F"/>
    <w:rsid w:val="006A65CB"/>
    <w:rsid w:val="006B734A"/>
    <w:rsid w:val="006C3242"/>
    <w:rsid w:val="006C7CC0"/>
    <w:rsid w:val="006D39AA"/>
    <w:rsid w:val="006E4370"/>
    <w:rsid w:val="006F0A9E"/>
    <w:rsid w:val="006F63F7"/>
    <w:rsid w:val="007025C7"/>
    <w:rsid w:val="0070381F"/>
    <w:rsid w:val="00706D7A"/>
    <w:rsid w:val="00710832"/>
    <w:rsid w:val="007212E2"/>
    <w:rsid w:val="00722F0D"/>
    <w:rsid w:val="00733F00"/>
    <w:rsid w:val="0074420E"/>
    <w:rsid w:val="0076159F"/>
    <w:rsid w:val="0076582D"/>
    <w:rsid w:val="00766810"/>
    <w:rsid w:val="007712AF"/>
    <w:rsid w:val="00783E26"/>
    <w:rsid w:val="00785D9F"/>
    <w:rsid w:val="007973CE"/>
    <w:rsid w:val="007B5BC0"/>
    <w:rsid w:val="007B69FD"/>
    <w:rsid w:val="007B6B30"/>
    <w:rsid w:val="007C146B"/>
    <w:rsid w:val="007C3BC7"/>
    <w:rsid w:val="007C3BCD"/>
    <w:rsid w:val="007D4ACF"/>
    <w:rsid w:val="007F0787"/>
    <w:rsid w:val="00802FB8"/>
    <w:rsid w:val="00807289"/>
    <w:rsid w:val="0081012C"/>
    <w:rsid w:val="00810B7B"/>
    <w:rsid w:val="00815085"/>
    <w:rsid w:val="0082358A"/>
    <w:rsid w:val="008235CD"/>
    <w:rsid w:val="008247DE"/>
    <w:rsid w:val="00835138"/>
    <w:rsid w:val="00836509"/>
    <w:rsid w:val="00840B10"/>
    <w:rsid w:val="00850987"/>
    <w:rsid w:val="008513CB"/>
    <w:rsid w:val="0085424D"/>
    <w:rsid w:val="00864513"/>
    <w:rsid w:val="00867A06"/>
    <w:rsid w:val="008707A7"/>
    <w:rsid w:val="00873048"/>
    <w:rsid w:val="0087383D"/>
    <w:rsid w:val="0089148B"/>
    <w:rsid w:val="00897507"/>
    <w:rsid w:val="008A7F84"/>
    <w:rsid w:val="008B1C5B"/>
    <w:rsid w:val="008D7AFA"/>
    <w:rsid w:val="008D7F67"/>
    <w:rsid w:val="008F6E4F"/>
    <w:rsid w:val="00906E67"/>
    <w:rsid w:val="0091702E"/>
    <w:rsid w:val="00923B0C"/>
    <w:rsid w:val="00932548"/>
    <w:rsid w:val="0094021C"/>
    <w:rsid w:val="00951558"/>
    <w:rsid w:val="00952F86"/>
    <w:rsid w:val="00954B60"/>
    <w:rsid w:val="00971237"/>
    <w:rsid w:val="00982B28"/>
    <w:rsid w:val="009A1F18"/>
    <w:rsid w:val="009C6A8D"/>
    <w:rsid w:val="009C7C2A"/>
    <w:rsid w:val="009D313F"/>
    <w:rsid w:val="00A1185E"/>
    <w:rsid w:val="00A20E96"/>
    <w:rsid w:val="00A22F87"/>
    <w:rsid w:val="00A44F8C"/>
    <w:rsid w:val="00A47A5A"/>
    <w:rsid w:val="00A511A6"/>
    <w:rsid w:val="00A6683B"/>
    <w:rsid w:val="00A67F4E"/>
    <w:rsid w:val="00A97F94"/>
    <w:rsid w:val="00AA7EA2"/>
    <w:rsid w:val="00AB25E0"/>
    <w:rsid w:val="00AC1A8C"/>
    <w:rsid w:val="00AC2052"/>
    <w:rsid w:val="00B03099"/>
    <w:rsid w:val="00B05BC8"/>
    <w:rsid w:val="00B20C86"/>
    <w:rsid w:val="00B3122E"/>
    <w:rsid w:val="00B5698E"/>
    <w:rsid w:val="00B64B47"/>
    <w:rsid w:val="00B77943"/>
    <w:rsid w:val="00BE30F4"/>
    <w:rsid w:val="00BF4038"/>
    <w:rsid w:val="00BF6EAA"/>
    <w:rsid w:val="00C00291"/>
    <w:rsid w:val="00C002DE"/>
    <w:rsid w:val="00C07558"/>
    <w:rsid w:val="00C11B62"/>
    <w:rsid w:val="00C24EB0"/>
    <w:rsid w:val="00C53BF8"/>
    <w:rsid w:val="00C66157"/>
    <w:rsid w:val="00C674FE"/>
    <w:rsid w:val="00C67501"/>
    <w:rsid w:val="00C75633"/>
    <w:rsid w:val="00C97C45"/>
    <w:rsid w:val="00CB10B9"/>
    <w:rsid w:val="00CC6A27"/>
    <w:rsid w:val="00CE2EE1"/>
    <w:rsid w:val="00CE331F"/>
    <w:rsid w:val="00CE3349"/>
    <w:rsid w:val="00CE36E5"/>
    <w:rsid w:val="00CF27F5"/>
    <w:rsid w:val="00CF3DD0"/>
    <w:rsid w:val="00CF3FFD"/>
    <w:rsid w:val="00D10CCF"/>
    <w:rsid w:val="00D302D1"/>
    <w:rsid w:val="00D77D0F"/>
    <w:rsid w:val="00D94E9C"/>
    <w:rsid w:val="00DA1CF0"/>
    <w:rsid w:val="00DC1E02"/>
    <w:rsid w:val="00DC24B4"/>
    <w:rsid w:val="00DC5FB0"/>
    <w:rsid w:val="00DE40AD"/>
    <w:rsid w:val="00DF086D"/>
    <w:rsid w:val="00DF16DC"/>
    <w:rsid w:val="00DF5CD8"/>
    <w:rsid w:val="00E14F91"/>
    <w:rsid w:val="00E45211"/>
    <w:rsid w:val="00E473C5"/>
    <w:rsid w:val="00E73407"/>
    <w:rsid w:val="00E842FB"/>
    <w:rsid w:val="00E92863"/>
    <w:rsid w:val="00EB2B67"/>
    <w:rsid w:val="00EB796D"/>
    <w:rsid w:val="00EF0410"/>
    <w:rsid w:val="00EF2D0B"/>
    <w:rsid w:val="00EF68A6"/>
    <w:rsid w:val="00F058DC"/>
    <w:rsid w:val="00F16820"/>
    <w:rsid w:val="00F24FC4"/>
    <w:rsid w:val="00F2676C"/>
    <w:rsid w:val="00F60D03"/>
    <w:rsid w:val="00F725D8"/>
    <w:rsid w:val="00F84366"/>
    <w:rsid w:val="00F85089"/>
    <w:rsid w:val="00F974C5"/>
    <w:rsid w:val="00FA6F46"/>
    <w:rsid w:val="00FB6FAA"/>
    <w:rsid w:val="00FD65BD"/>
    <w:rsid w:val="00FE013F"/>
    <w:rsid w:val="00FE5872"/>
    <w:rsid w:val="00FE6F71"/>
    <w:rsid w:val="00FE7FCA"/>
    <w:rsid w:val="00FF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9B4595D"/>
  <w15:chartTrackingRefBased/>
  <w15:docId w15:val="{BE2C10D3-0334-4419-B30E-1971524C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link w:val="RectitleChar"/>
    <w:uiPriority w:val="99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73048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873048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  <w:style w:type="character" w:customStyle="1" w:styleId="RectitleChar">
    <w:name w:val="Rec_title Char"/>
    <w:link w:val="Rectitle"/>
    <w:uiPriority w:val="99"/>
    <w:rsid w:val="0070381F"/>
    <w:rPr>
      <w:rFonts w:ascii="Dubai" w:hAnsi="Dubai" w:cs="Dubai"/>
      <w:b/>
      <w:bCs/>
      <w:sz w:val="28"/>
      <w:szCs w:val="28"/>
    </w:rPr>
  </w:style>
  <w:style w:type="paragraph" w:customStyle="1" w:styleId="AnnexNo0">
    <w:name w:val="Annex No&amp;"/>
    <w:basedOn w:val="AnnexNo"/>
    <w:rsid w:val="0070381F"/>
    <w:pPr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</w:pPr>
    <w:rPr>
      <w:rFonts w:ascii="Calibri" w:hAnsi="Calibri" w:cs="Traditional Arabic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120A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120A"/>
    <w:rPr>
      <w:rFonts w:ascii="Dubai" w:hAnsi="Dubai" w:cs="Duba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912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ipr/Pages/policy.aspx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rec/R-REC-P.676-12-201908-I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R19-SG03-C-0078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9-SG03-C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tackedboxes.org/2017/05/01/acklams-normal-quantile-functio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A4E97-2DCE-4B78-9C6C-FE23EA54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Elkenany, Hagar</dc:creator>
  <cp:keywords/>
  <dc:description/>
  <cp:lastModifiedBy>ITU -LRT-</cp:lastModifiedBy>
  <cp:revision>37</cp:revision>
  <dcterms:created xsi:type="dcterms:W3CDTF">2022-06-22T14:07:00Z</dcterms:created>
  <dcterms:modified xsi:type="dcterms:W3CDTF">2022-06-23T10:14:00Z</dcterms:modified>
</cp:coreProperties>
</file>