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77777777"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14:paraId="37712629" w14:textId="0D85B505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F16B99">
              <w:rPr>
                <w:b/>
                <w:bCs/>
                <w:szCs w:val="24"/>
                <w:lang w:val="es-ES_tradnl"/>
              </w:rPr>
              <w:t>10</w:t>
            </w:r>
            <w:r w:rsidR="00D92D6F">
              <w:rPr>
                <w:b/>
                <w:bCs/>
                <w:szCs w:val="24"/>
                <w:lang w:val="es-ES_tradnl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0AD1CB2A" w14:textId="31E91438" w:rsidR="00E53DCE" w:rsidRPr="00D00AD1" w:rsidRDefault="00D92D6F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"/>
              </w:rPr>
              <w:t>3</w:t>
            </w:r>
            <w:r w:rsidR="0067480E">
              <w:rPr>
                <w:rFonts w:cs="Arial"/>
                <w:szCs w:val="24"/>
                <w:lang w:val="es-ES"/>
              </w:rPr>
              <w:t>1</w:t>
            </w:r>
            <w:r w:rsidR="00F82D11">
              <w:rPr>
                <w:rFonts w:cs="Arial"/>
                <w:szCs w:val="24"/>
                <w:lang w:val="es-ES"/>
              </w:rPr>
              <w:t xml:space="preserve"> de </w:t>
            </w:r>
            <w:r>
              <w:rPr>
                <w:rFonts w:cs="Arial"/>
                <w:szCs w:val="24"/>
                <w:lang w:val="es-ES"/>
              </w:rPr>
              <w:t>marzo</w:t>
            </w:r>
            <w:r w:rsidR="00F82D11">
              <w:rPr>
                <w:rFonts w:cs="Arial"/>
                <w:szCs w:val="24"/>
                <w:lang w:val="es-ES"/>
              </w:rPr>
              <w:t xml:space="preserve"> de 202</w:t>
            </w:r>
            <w:r>
              <w:rPr>
                <w:rFonts w:cs="Arial"/>
                <w:szCs w:val="24"/>
                <w:lang w:val="es-ES"/>
              </w:rPr>
              <w:t>2</w:t>
            </w:r>
          </w:p>
        </w:tc>
      </w:tr>
      <w:tr w:rsidR="00E53DCE" w:rsidRPr="00D00AD1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93095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26F61F69" w:rsidR="00E53DCE" w:rsidRPr="00D00AD1" w:rsidRDefault="002E6646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367ECB">
              <w:rPr>
                <w:b/>
                <w:bCs/>
                <w:lang w:val="es-ES_tradnl"/>
              </w:rPr>
              <w:br/>
            </w:r>
            <w:r w:rsidRPr="00D00AD1">
              <w:rPr>
                <w:b/>
                <w:bCs/>
                <w:lang w:val="es-ES_tradnl"/>
              </w:rPr>
              <w:t xml:space="preserve">Comisión de Estudio </w:t>
            </w:r>
            <w:r w:rsidR="00F16B99">
              <w:rPr>
                <w:b/>
                <w:bCs/>
                <w:lang w:val="es-ES_tradnl"/>
              </w:rPr>
              <w:t>6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193095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93095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93095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2A6192" w14:textId="7B2775EC" w:rsidR="00DD5D1C" w:rsidRPr="007E322D" w:rsidRDefault="00DD5D1C" w:rsidP="00DD5D1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E322D">
              <w:rPr>
                <w:b/>
                <w:bCs/>
                <w:szCs w:val="24"/>
                <w:lang w:val="es-ES"/>
              </w:rPr>
              <w:t xml:space="preserve">Comisión de </w:t>
            </w:r>
            <w:r w:rsidRPr="00F16B99">
              <w:rPr>
                <w:b/>
                <w:bCs/>
                <w:szCs w:val="24"/>
                <w:lang w:val="es-ES"/>
              </w:rPr>
              <w:t xml:space="preserve">Estudio </w:t>
            </w:r>
            <w:r w:rsidR="00F16B99" w:rsidRPr="00F16B99">
              <w:rPr>
                <w:rStyle w:val="Style1"/>
                <w:szCs w:val="24"/>
                <w:lang w:val="es-ES"/>
              </w:rPr>
              <w:t>6</w:t>
            </w:r>
            <w:r w:rsidRPr="00F16B99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F16B99" w:rsidRPr="00F16B99">
              <w:rPr>
                <w:rStyle w:val="Style2"/>
                <w:szCs w:val="24"/>
                <w:lang w:val="es-ES"/>
              </w:rPr>
              <w:t>(Servicio de radiodifusión)</w:t>
            </w:r>
          </w:p>
          <w:p w14:paraId="2320FFB2" w14:textId="53D88EF6" w:rsidR="002E6646" w:rsidRPr="00D00AD1" w:rsidRDefault="002E6646" w:rsidP="00F16B99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F16B99">
              <w:rPr>
                <w:b/>
                <w:bCs/>
                <w:lang w:val="es-ES"/>
              </w:rPr>
              <w:t>1</w:t>
            </w:r>
            <w:r w:rsidRPr="003428EF">
              <w:rPr>
                <w:b/>
                <w:bCs/>
                <w:lang w:val="es-ES"/>
              </w:rPr>
              <w:t xml:space="preserve"> proyecto</w:t>
            </w:r>
            <w:r w:rsidR="00552165">
              <w:rPr>
                <w:b/>
                <w:bCs/>
                <w:lang w:val="es-ES"/>
              </w:rPr>
              <w:t xml:space="preserve"> de nueva </w:t>
            </w:r>
            <w:r w:rsidR="00A33D80">
              <w:rPr>
                <w:b/>
                <w:bCs/>
                <w:lang w:val="es-ES"/>
              </w:rPr>
              <w:t>Recomendación</w:t>
            </w:r>
            <w:r w:rsidR="00552165">
              <w:rPr>
                <w:b/>
                <w:bCs/>
                <w:lang w:val="es-ES"/>
              </w:rPr>
              <w:t xml:space="preserve"> UIT-</w:t>
            </w:r>
            <w:r w:rsidRPr="003428EF">
              <w:rPr>
                <w:b/>
                <w:bCs/>
                <w:lang w:val="es-ES"/>
              </w:rPr>
              <w:t xml:space="preserve">R y </w:t>
            </w:r>
            <w:r w:rsidR="00D92D6F">
              <w:rPr>
                <w:b/>
                <w:bCs/>
                <w:lang w:val="es-ES"/>
              </w:rPr>
              <w:t>3</w:t>
            </w:r>
            <w:r w:rsidR="00F16B99">
              <w:rPr>
                <w:b/>
                <w:bCs/>
                <w:lang w:val="es-ES"/>
              </w:rPr>
              <w:t> </w:t>
            </w:r>
            <w:r w:rsidRPr="003428EF">
              <w:rPr>
                <w:b/>
                <w:bCs/>
                <w:lang w:val="es-ES"/>
              </w:rPr>
              <w:t>proyecto</w:t>
            </w:r>
            <w:r w:rsidR="00F16B99">
              <w:rPr>
                <w:b/>
                <w:bCs/>
                <w:lang w:val="es-ES"/>
              </w:rPr>
              <w:t>s</w:t>
            </w:r>
            <w:r w:rsidRPr="003428EF">
              <w:rPr>
                <w:b/>
                <w:bCs/>
                <w:lang w:val="es-ES"/>
              </w:rPr>
              <w:t xml:space="preserve"> de </w:t>
            </w:r>
            <w:r w:rsidR="005F011A" w:rsidRPr="003428EF">
              <w:rPr>
                <w:b/>
                <w:bCs/>
                <w:lang w:val="es-ES"/>
              </w:rPr>
              <w:t>Recomendación</w:t>
            </w:r>
            <w:r w:rsidRPr="003428EF">
              <w:rPr>
                <w:b/>
                <w:bCs/>
                <w:lang w:val="es-ES"/>
              </w:rPr>
              <w:t xml:space="preserve"> UIT-R revisada y su aprobación simultánea por correspondencia de conformidad con el § A2.6.2.4 de la Resolución UIT</w:t>
            </w:r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</w:r>
            <w:r w:rsidR="005F011A">
              <w:rPr>
                <w:b/>
                <w:bCs/>
                <w:lang w:val="es-ES"/>
              </w:rPr>
              <w:t>8</w:t>
            </w:r>
            <w:r w:rsidRPr="003428EF">
              <w:rPr>
                <w:b/>
                <w:bCs/>
                <w:lang w:val="es-ES"/>
              </w:rPr>
              <w:t xml:space="preserve"> (Procedimiento para la adopción y aprobación simultánea por correspondencia)</w:t>
            </w:r>
          </w:p>
        </w:tc>
      </w:tr>
      <w:tr w:rsidR="00E53DCE" w:rsidRPr="00193095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93095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93095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93095" w14:paraId="28671EE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1623C5" w14:textId="77777777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30157F6A" w14:textId="5D560EC3" w:rsidR="00BD4DC1" w:rsidRDefault="002E6646" w:rsidP="00F16B99">
      <w:pPr>
        <w:spacing w:before="240"/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 w:rsidR="00F16B99">
        <w:rPr>
          <w:lang w:val="es-ES_tradnl"/>
        </w:rPr>
        <w:t>6</w:t>
      </w:r>
      <w:r w:rsidRPr="00D00AD1">
        <w:rPr>
          <w:lang w:val="es-ES_tradnl"/>
        </w:rPr>
        <w:t xml:space="preserve"> de Radiocomunicaciones celebrada </w:t>
      </w:r>
      <w:r w:rsidR="00F16B99">
        <w:rPr>
          <w:lang w:val="es-ES_tradnl"/>
        </w:rPr>
        <w:t xml:space="preserve">el </w:t>
      </w:r>
      <w:r w:rsidR="00D92D6F">
        <w:rPr>
          <w:lang w:val="es-ES_tradnl"/>
        </w:rPr>
        <w:t>18</w:t>
      </w:r>
      <w:r w:rsidR="00F16B99">
        <w:rPr>
          <w:lang w:val="es-ES_tradnl"/>
        </w:rPr>
        <w:t xml:space="preserve"> de </w:t>
      </w:r>
      <w:r w:rsidR="00D92D6F">
        <w:rPr>
          <w:lang w:val="es-ES_tradnl"/>
        </w:rPr>
        <w:t>marzo</w:t>
      </w:r>
      <w:r w:rsidR="00F16B99">
        <w:rPr>
          <w:lang w:val="es-ES_tradnl"/>
        </w:rPr>
        <w:t xml:space="preserve"> de</w:t>
      </w:r>
      <w:r w:rsidR="00D92D6F">
        <w:rPr>
          <w:lang w:val="es-ES_tradnl"/>
        </w:rPr>
        <w:t> </w:t>
      </w:r>
      <w:r w:rsidR="00F16B99">
        <w:rPr>
          <w:lang w:val="es-ES_tradnl"/>
        </w:rPr>
        <w:t>202</w:t>
      </w:r>
      <w:r w:rsidR="00D92D6F">
        <w:rPr>
          <w:lang w:val="es-ES_tradnl"/>
        </w:rPr>
        <w:t>2</w:t>
      </w:r>
      <w:r w:rsidRPr="00D00AD1">
        <w:rPr>
          <w:lang w:val="es-ES_tradnl"/>
        </w:rPr>
        <w:t xml:space="preserve">, la Comisión de Estudio decidió solicitar la adopción de </w:t>
      </w:r>
      <w:r w:rsidR="00F16B99" w:rsidRPr="00B61E98">
        <w:rPr>
          <w:lang w:val="es-ES_tradnl"/>
        </w:rPr>
        <w:t>1</w:t>
      </w:r>
      <w:r w:rsidRPr="00D00AD1">
        <w:rPr>
          <w:lang w:val="es-ES_tradnl"/>
        </w:rPr>
        <w:t xml:space="preserve"> proyecto de nueva </w:t>
      </w:r>
      <w:r w:rsidR="005F011A" w:rsidRPr="00D00AD1">
        <w:rPr>
          <w:lang w:val="es-ES_tradnl"/>
        </w:rPr>
        <w:t>Recomendación</w:t>
      </w:r>
      <w:r w:rsidRPr="00D00AD1">
        <w:rPr>
          <w:lang w:val="es-ES_tradnl"/>
        </w:rPr>
        <w:t xml:space="preserve"> UIT-R y de </w:t>
      </w:r>
      <w:r w:rsidR="00D92D6F">
        <w:rPr>
          <w:lang w:val="es-ES_tradnl"/>
        </w:rPr>
        <w:t>3</w:t>
      </w:r>
      <w:r w:rsidRPr="00D00AD1">
        <w:rPr>
          <w:lang w:val="es-ES_tradnl"/>
        </w:rPr>
        <w:t xml:space="preserve"> proyecto</w:t>
      </w:r>
      <w:r w:rsidR="00F16B99">
        <w:rPr>
          <w:lang w:val="es-ES_tradnl"/>
        </w:rPr>
        <w:t>s</w:t>
      </w:r>
      <w:r w:rsidRPr="00D00AD1">
        <w:rPr>
          <w:lang w:val="es-ES_tradnl"/>
        </w:rPr>
        <w:t xml:space="preserve"> de </w:t>
      </w:r>
      <w:r w:rsidR="005F011A" w:rsidRPr="00D00AD1">
        <w:rPr>
          <w:lang w:val="es-ES_tradnl"/>
        </w:rPr>
        <w:t>Recomendación</w:t>
      </w:r>
      <w:r w:rsidRPr="00D00AD1">
        <w:rPr>
          <w:lang w:val="es-ES_tradnl"/>
        </w:rPr>
        <w:t xml:space="preserve"> UIT-R revisada por correspondencia </w:t>
      </w:r>
      <w:r w:rsidRPr="00F16B99">
        <w:rPr>
          <w:lang w:val="es-ES_tradnl"/>
        </w:rPr>
        <w:t>(§ A2.6.2 de la Resolución UIT</w:t>
      </w:r>
      <w:r w:rsidRPr="00F16B99">
        <w:rPr>
          <w:lang w:val="es-ES_tradnl"/>
        </w:rPr>
        <w:noBreakHyphen/>
        <w:t>R 1</w:t>
      </w:r>
      <w:r w:rsidRPr="00F16B99">
        <w:rPr>
          <w:lang w:val="es-ES_tradnl"/>
        </w:rPr>
        <w:noBreakHyphen/>
      </w:r>
      <w:r w:rsidR="005F011A" w:rsidRPr="00F16B99">
        <w:rPr>
          <w:lang w:val="es-ES_tradnl"/>
        </w:rPr>
        <w:t>8</w:t>
      </w:r>
      <w:r w:rsidRPr="00F16B99">
        <w:rPr>
          <w:lang w:val="es-ES_tradnl"/>
        </w:rPr>
        <w:t>) y además decidió aplicar el procedimiento de adopción y aprobación simultáneas por correspondencia (PAAS</w:t>
      </w:r>
      <w:r w:rsidR="00DE3CEB" w:rsidRPr="00F16B99">
        <w:rPr>
          <w:lang w:val="es-ES_tradnl"/>
        </w:rPr>
        <w:t xml:space="preserve">, </w:t>
      </w:r>
      <w:r w:rsidRPr="00F16B99">
        <w:rPr>
          <w:lang w:val="es-ES_tradnl"/>
        </w:rPr>
        <w:t>§ A2.6.2.4 de la Resolución UIT</w:t>
      </w:r>
      <w:r w:rsidRPr="00F16B99">
        <w:rPr>
          <w:lang w:val="es-ES_tradnl"/>
        </w:rPr>
        <w:noBreakHyphen/>
        <w:t>R 1</w:t>
      </w:r>
      <w:r w:rsidRPr="00F16B99">
        <w:rPr>
          <w:lang w:val="es-ES_tradnl"/>
        </w:rPr>
        <w:noBreakHyphen/>
      </w:r>
      <w:r w:rsidR="005F011A" w:rsidRPr="00F16B99">
        <w:rPr>
          <w:lang w:val="es-ES_tradnl"/>
        </w:rPr>
        <w:t>8</w:t>
      </w:r>
      <w:r w:rsidR="00F23AE7" w:rsidRPr="00F16B99">
        <w:rPr>
          <w:lang w:val="es-ES_tradnl"/>
        </w:rPr>
        <w:t>)</w:t>
      </w:r>
      <w:r w:rsidRPr="00F16B99">
        <w:rPr>
          <w:lang w:val="es-ES_tradnl"/>
        </w:rPr>
        <w:t>. Los título</w:t>
      </w:r>
      <w:r w:rsidR="00F16B99" w:rsidRPr="00F16B99">
        <w:rPr>
          <w:lang w:val="es-ES_tradnl"/>
        </w:rPr>
        <w:t>s</w:t>
      </w:r>
      <w:r w:rsidRPr="00F16B99">
        <w:rPr>
          <w:lang w:val="es-ES_tradnl"/>
        </w:rPr>
        <w:t xml:space="preserve"> y </w:t>
      </w:r>
      <w:r w:rsidR="005F011A" w:rsidRPr="00F16B99">
        <w:rPr>
          <w:lang w:val="es-ES_tradnl"/>
        </w:rPr>
        <w:t>res</w:t>
      </w:r>
      <w:r w:rsidR="001119C8" w:rsidRPr="00F16B99">
        <w:rPr>
          <w:lang w:val="es-ES_tradnl"/>
        </w:rPr>
        <w:t>ú</w:t>
      </w:r>
      <w:r w:rsidR="005F011A" w:rsidRPr="00F16B99">
        <w:rPr>
          <w:lang w:val="es-ES_tradnl"/>
        </w:rPr>
        <w:t>men</w:t>
      </w:r>
      <w:r w:rsidRPr="00F16B99">
        <w:rPr>
          <w:lang w:val="es-ES_tradnl"/>
        </w:rPr>
        <w:t>e</w:t>
      </w:r>
      <w:r w:rsidR="00F16B99" w:rsidRPr="00F16B99">
        <w:rPr>
          <w:lang w:val="es-ES_tradnl"/>
        </w:rPr>
        <w:t>s</w:t>
      </w:r>
      <w:r w:rsidRPr="00F16B99">
        <w:rPr>
          <w:lang w:val="es-ES_tradnl"/>
        </w:rPr>
        <w:t xml:space="preserve"> de los proyectos de </w:t>
      </w:r>
      <w:r w:rsidR="005F011A" w:rsidRPr="00F16B99">
        <w:rPr>
          <w:lang w:val="es-ES_tradnl"/>
        </w:rPr>
        <w:t>Recomendación</w:t>
      </w:r>
      <w:r w:rsidRPr="00F16B99">
        <w:rPr>
          <w:lang w:val="es-ES_tradnl"/>
        </w:rPr>
        <w:t xml:space="preserve"> aparece</w:t>
      </w:r>
      <w:r w:rsidR="001119C8" w:rsidRPr="00F16B99">
        <w:rPr>
          <w:lang w:val="es-ES_tradnl"/>
        </w:rPr>
        <w:t>n</w:t>
      </w:r>
      <w:r w:rsidRPr="00F16B99">
        <w:rPr>
          <w:lang w:val="es-ES_tradnl"/>
        </w:rPr>
        <w:t xml:space="preserve"> en el Anexo a la presente Carta.</w:t>
      </w:r>
      <w:r w:rsidRPr="00D00AD1">
        <w:rPr>
          <w:lang w:val="es-ES_tradnl"/>
        </w:rPr>
        <w:t xml:space="preserve"> Todo Estado Miembro que objete la adopción de un proyecto de Recomendación debe informar al </w:t>
      </w:r>
      <w:proofErr w:type="gramStart"/>
      <w:r w:rsidRPr="00D00AD1">
        <w:rPr>
          <w:lang w:val="es-ES_tradnl"/>
        </w:rPr>
        <w:t>Director</w:t>
      </w:r>
      <w:proofErr w:type="gramEnd"/>
      <w:r w:rsidRPr="00D00AD1">
        <w:rPr>
          <w:lang w:val="es-ES_tradnl"/>
        </w:rPr>
        <w:t xml:space="preserve"> y al Presidente de la Comisión de Estudio de los motivos de dicha objeción.</w:t>
      </w:r>
    </w:p>
    <w:p w14:paraId="171836D8" w14:textId="45B9254B" w:rsidR="002E6646" w:rsidRPr="00F16B99" w:rsidRDefault="00CD1697" w:rsidP="00BD4DC1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="00D92D6F">
        <w:rPr>
          <w:u w:val="single"/>
          <w:lang w:val="es-ES_tradnl"/>
        </w:rPr>
        <w:t>3</w:t>
      </w:r>
      <w:r w:rsidR="0067480E">
        <w:rPr>
          <w:u w:val="single"/>
          <w:lang w:val="es-ES_tradnl"/>
        </w:rPr>
        <w:t>1</w:t>
      </w:r>
      <w:r w:rsidR="00D92D6F">
        <w:rPr>
          <w:u w:val="single"/>
          <w:lang w:val="es-ES_tradnl"/>
        </w:rPr>
        <w:t xml:space="preserve"> de mayo</w:t>
      </w:r>
      <w:r w:rsidR="00F16B99">
        <w:rPr>
          <w:u w:val="single"/>
          <w:lang w:val="es-ES_tradnl"/>
        </w:rPr>
        <w:t xml:space="preserve"> de 202</w:t>
      </w:r>
      <w:r w:rsidR="00912172">
        <w:rPr>
          <w:u w:val="single"/>
          <w:lang w:val="es-ES_tradnl"/>
        </w:rPr>
        <w:t>2</w:t>
      </w:r>
      <w:r>
        <w:rPr>
          <w:lang w:val="es-ES_tradnl"/>
        </w:rPr>
        <w:t xml:space="preserve">. </w:t>
      </w:r>
      <w:r w:rsidRPr="00CD1697">
        <w:rPr>
          <w:lang w:val="es-ES_tradnl"/>
        </w:rPr>
        <w:t xml:space="preserve">Si </w:t>
      </w:r>
      <w:r w:rsidRPr="00F16B99">
        <w:rPr>
          <w:lang w:val="es-ES_tradnl"/>
        </w:rPr>
        <w:t xml:space="preserve">durante este periodo no se reciben objeciones de los Estados Miembros, se considerarán adoptados los proyectos de Recomendación por la Comisión de Estudio </w:t>
      </w:r>
      <w:r w:rsidR="00F16B99" w:rsidRPr="00F16B99">
        <w:rPr>
          <w:lang w:val="es-ES_tradnl"/>
        </w:rPr>
        <w:t>6</w:t>
      </w:r>
      <w:r w:rsidRPr="00F16B99">
        <w:rPr>
          <w:lang w:val="es-ES_tradnl"/>
        </w:rPr>
        <w:t>. Además, dado que se ha seguido el procedimiento de PAAS, los proyectos de Recomendación también se considerarán aprobados.</w:t>
      </w:r>
    </w:p>
    <w:p w14:paraId="4480824D" w14:textId="39FF72F0" w:rsidR="002E6646" w:rsidRPr="00D00AD1" w:rsidRDefault="002E6646" w:rsidP="00BD4DC1">
      <w:pPr>
        <w:rPr>
          <w:lang w:val="es-ES_tradnl"/>
        </w:rPr>
      </w:pPr>
      <w:r w:rsidRPr="00F16B99">
        <w:rPr>
          <w:lang w:val="es-ES_tradnl"/>
        </w:rPr>
        <w:t>Tras la fecha límite mencionada, los resultados</w:t>
      </w:r>
      <w:r w:rsidR="005E40B8" w:rsidRPr="00F16B99">
        <w:rPr>
          <w:lang w:val="es-ES_tradnl"/>
        </w:rPr>
        <w:t xml:space="preserve"> de</w:t>
      </w:r>
      <w:r w:rsidRPr="00F16B99">
        <w:rPr>
          <w:lang w:val="es-ES_tradnl"/>
        </w:rPr>
        <w:t xml:space="preserve"> </w:t>
      </w:r>
      <w:r w:rsidR="004B6204" w:rsidRPr="00F16B99">
        <w:rPr>
          <w:lang w:val="es-ES_tradnl"/>
        </w:rPr>
        <w:t>los procedimientos arriba citados</w:t>
      </w:r>
      <w:r w:rsidRPr="00F16B99">
        <w:rPr>
          <w:lang w:val="es-ES_tradnl"/>
        </w:rPr>
        <w:t xml:space="preserve"> se comunicarán mediante Circular Administrativa y se publicarán las Recomendaci</w:t>
      </w:r>
      <w:r w:rsidR="00F16B99" w:rsidRPr="00F16B99">
        <w:rPr>
          <w:lang w:val="es-ES_tradnl"/>
        </w:rPr>
        <w:t>o</w:t>
      </w:r>
      <w:r w:rsidRPr="00F16B99">
        <w:rPr>
          <w:lang w:val="es-ES_tradnl"/>
        </w:rPr>
        <w:t>ne</w:t>
      </w:r>
      <w:r w:rsidR="00F16B99" w:rsidRPr="00F16B99">
        <w:rPr>
          <w:lang w:val="es-ES_tradnl"/>
        </w:rPr>
        <w:t>s</w:t>
      </w:r>
      <w:r w:rsidRPr="00F16B99">
        <w:rPr>
          <w:lang w:val="es-ES_tradnl"/>
        </w:rPr>
        <w:t xml:space="preserve"> aprobadas tan pronto como</w:t>
      </w:r>
      <w:r w:rsidRPr="00D00AD1">
        <w:rPr>
          <w:lang w:val="es-ES_tradnl"/>
        </w:rPr>
        <w:t xml:space="preserve">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http://www.itu.int/pub/R-REC</w:t>
        </w:r>
      </w:hyperlink>
      <w:r w:rsidRPr="00D00AD1">
        <w:rPr>
          <w:lang w:val="es-ES_tradnl"/>
        </w:rPr>
        <w:t>).</w:t>
      </w:r>
    </w:p>
    <w:p w14:paraId="7F0FD878" w14:textId="77777777" w:rsidR="00F16B99" w:rsidRDefault="00F16B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11139BB8" w14:textId="24F12D5B" w:rsidR="006A124F" w:rsidRDefault="002E6646" w:rsidP="005E40B8">
      <w:pPr>
        <w:keepLines/>
        <w:rPr>
          <w:lang w:val="es-ES_tradnl"/>
        </w:rPr>
      </w:pPr>
      <w:r w:rsidRPr="00D00AD1">
        <w:rPr>
          <w:lang w:val="es-ES_tradnl"/>
        </w:rPr>
        <w:lastRenderedPageBreak/>
        <w:t xml:space="preserve">Se solicita a toda organización miembro de la UIT que tenga conocimiento de una patente, de su </w:t>
      </w:r>
      <w:r w:rsidRPr="00F16B99">
        <w:rPr>
          <w:lang w:val="es-ES_tradnl"/>
        </w:rPr>
        <w:t xml:space="preserve">propiedad o de propiedad ajena, que cubra total o parcialmente elementos </w:t>
      </w:r>
      <w:r w:rsidR="005E40B8" w:rsidRPr="00F16B99">
        <w:rPr>
          <w:lang w:val="es-ES_tradnl"/>
        </w:rPr>
        <w:t xml:space="preserve">de los </w:t>
      </w:r>
      <w:r w:rsidRPr="00F16B99">
        <w:rPr>
          <w:lang w:val="es-ES_tradnl"/>
        </w:rPr>
        <w:t xml:space="preserve">proyectos de </w:t>
      </w:r>
      <w:r w:rsidR="00475DD1" w:rsidRPr="00F16B99">
        <w:rPr>
          <w:lang w:val="es-ES_tradnl"/>
        </w:rPr>
        <w:t>Recomendación</w:t>
      </w:r>
      <w:r w:rsidRPr="00F16B99">
        <w:rPr>
          <w:lang w:val="es-ES_tradnl"/>
        </w:rPr>
        <w:t xml:space="preserve"> mencionados en esta carta, que comunique dicha información a la Secretaría tan pronto como sea posible. La Política común en materia de patentes para UIT</w:t>
      </w:r>
      <w:r w:rsidR="00A33D80" w:rsidRPr="00F16B99">
        <w:rPr>
          <w:lang w:val="es-ES_tradnl"/>
        </w:rPr>
        <w:noBreakHyphen/>
      </w:r>
      <w:r w:rsidRPr="00F16B99">
        <w:rPr>
          <w:lang w:val="es-ES_tradnl"/>
        </w:rPr>
        <w:t>T/UIT</w:t>
      </w:r>
      <w:r w:rsidR="00A33D80" w:rsidRPr="00F16B99">
        <w:rPr>
          <w:lang w:val="es-ES_tradnl"/>
        </w:rPr>
        <w:noBreakHyphen/>
      </w:r>
      <w:r w:rsidRPr="00F16B99">
        <w:rPr>
          <w:lang w:val="es-ES_tradnl"/>
        </w:rPr>
        <w:t>R/ISO/CEI puede</w:t>
      </w:r>
      <w:r w:rsidRPr="00D00AD1">
        <w:rPr>
          <w:lang w:val="es-ES_tradnl"/>
        </w:rPr>
        <w:t xml:space="preserve"> consultarse en</w:t>
      </w:r>
      <w:r w:rsidR="006A124F">
        <w:rPr>
          <w:lang w:val="es-ES_tradnl"/>
        </w:rPr>
        <w:t xml:space="preserve"> </w:t>
      </w:r>
      <w:hyperlink r:id="rId9" w:history="1">
        <w:r w:rsidR="006A124F" w:rsidRPr="006A124F">
          <w:rPr>
            <w:rStyle w:val="Hyperlink"/>
            <w:lang w:val="es-ES_tradnl"/>
          </w:rPr>
          <w:t>http://www.itu.int/en/ITU-T/ipr/Pages/policy.aspx</w:t>
        </w:r>
      </w:hyperlink>
      <w:r w:rsidR="006A124F">
        <w:rPr>
          <w:lang w:val="es-ES_tradnl"/>
        </w:rPr>
        <w:t>.</w:t>
      </w:r>
    </w:p>
    <w:p w14:paraId="384989DB" w14:textId="02635BD6" w:rsidR="002E6646" w:rsidRPr="0062522E" w:rsidRDefault="00475DD1" w:rsidP="00193095">
      <w:pPr>
        <w:spacing w:before="1200" w:line="240" w:lineRule="auto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>Mario Maniewicz</w:t>
      </w:r>
      <w:r w:rsidR="0062522E" w:rsidRPr="0012191D">
        <w:rPr>
          <w:szCs w:val="24"/>
          <w:lang w:val="es-ES_tradnl"/>
        </w:rPr>
        <w:br/>
      </w:r>
      <w:proofErr w:type="gramStart"/>
      <w:r w:rsidR="002E6646" w:rsidRPr="0062522E">
        <w:rPr>
          <w:szCs w:val="24"/>
          <w:lang w:val="es-ES_tradnl"/>
        </w:rPr>
        <w:t>Director</w:t>
      </w:r>
      <w:proofErr w:type="gramEnd"/>
    </w:p>
    <w:p w14:paraId="783A703F" w14:textId="2ED8DC9F" w:rsidR="002E6646" w:rsidRPr="00D00AD1" w:rsidRDefault="002E6646" w:rsidP="00193095">
      <w:pPr>
        <w:spacing w:before="1800"/>
        <w:rPr>
          <w:lang w:val="es-ES_tradnl"/>
        </w:rPr>
      </w:pPr>
      <w:r w:rsidRPr="00F16B99">
        <w:rPr>
          <w:b/>
          <w:bCs/>
          <w:lang w:val="es-ES_tradnl"/>
        </w:rPr>
        <w:t>Anexo</w:t>
      </w:r>
      <w:bookmarkStart w:id="0" w:name="_GoBack"/>
      <w:r w:rsidRPr="00F16B99">
        <w:rPr>
          <w:b/>
          <w:bCs/>
          <w:lang w:val="es-ES_tradnl"/>
        </w:rPr>
        <w:t>:</w:t>
      </w:r>
      <w:r w:rsidRPr="00F16B99">
        <w:rPr>
          <w:lang w:val="es-ES_tradnl"/>
        </w:rPr>
        <w:t xml:space="preserve"> </w:t>
      </w:r>
      <w:r w:rsidR="001F1D56" w:rsidRPr="00F16B99">
        <w:rPr>
          <w:lang w:val="es-ES_tradnl"/>
        </w:rPr>
        <w:tab/>
      </w:r>
      <w:r w:rsidRPr="00F16B99">
        <w:rPr>
          <w:lang w:val="es-ES_tradnl"/>
        </w:rPr>
        <w:t>Títulos y res</w:t>
      </w:r>
      <w:r w:rsidR="00BD4DC1" w:rsidRPr="00F16B99">
        <w:rPr>
          <w:lang w:val="es-ES_tradnl"/>
        </w:rPr>
        <w:t>ú</w:t>
      </w:r>
      <w:r w:rsidRPr="00F16B99">
        <w:rPr>
          <w:lang w:val="es-ES_tradnl"/>
        </w:rPr>
        <w:t xml:space="preserve">menes </w:t>
      </w:r>
      <w:r w:rsidR="00475DD1" w:rsidRPr="00F16B99">
        <w:rPr>
          <w:lang w:val="es-ES_tradnl"/>
        </w:rPr>
        <w:t>de</w:t>
      </w:r>
      <w:r w:rsidRPr="00F16B99">
        <w:rPr>
          <w:lang w:val="es-ES_tradnl"/>
        </w:rPr>
        <w:t xml:space="preserve"> los proyec</w:t>
      </w:r>
      <w:bookmarkEnd w:id="0"/>
      <w:r w:rsidRPr="00F16B99">
        <w:rPr>
          <w:lang w:val="es-ES_tradnl"/>
        </w:rPr>
        <w:t>tos de Recomendación</w:t>
      </w:r>
    </w:p>
    <w:p w14:paraId="3C9A7D43" w14:textId="26CE690A" w:rsidR="002E6646" w:rsidRPr="00F16B99" w:rsidRDefault="002E6646" w:rsidP="00A621D6">
      <w:pPr>
        <w:spacing w:before="1320"/>
        <w:rPr>
          <w:lang w:val="es-ES_tradnl"/>
        </w:rPr>
      </w:pPr>
      <w:r w:rsidRPr="00F16B99">
        <w:rPr>
          <w:b/>
          <w:bCs/>
          <w:lang w:val="es-ES_tradnl"/>
        </w:rPr>
        <w:t>Documentos:</w:t>
      </w:r>
      <w:r w:rsidRPr="00F16B99">
        <w:rPr>
          <w:lang w:val="es-ES_tradnl"/>
        </w:rPr>
        <w:t xml:space="preserve"> </w:t>
      </w:r>
      <w:r w:rsidR="001F1D56" w:rsidRPr="00F16B99">
        <w:rPr>
          <w:lang w:val="es-ES_tradnl"/>
        </w:rPr>
        <w:tab/>
      </w:r>
      <w:r w:rsidRPr="00F16B99">
        <w:rPr>
          <w:lang w:val="es-ES_tradnl"/>
        </w:rPr>
        <w:t>Documento</w:t>
      </w:r>
      <w:r w:rsidR="00F16B99" w:rsidRPr="00F16B99">
        <w:rPr>
          <w:lang w:val="es-ES_tradnl"/>
        </w:rPr>
        <w:t>s</w:t>
      </w:r>
      <w:r w:rsidRPr="00F16B99">
        <w:rPr>
          <w:lang w:val="es-ES_tradnl"/>
        </w:rPr>
        <w:t xml:space="preserve"> </w:t>
      </w:r>
      <w:r w:rsidR="00715131" w:rsidRPr="0067480E">
        <w:rPr>
          <w:szCs w:val="24"/>
          <w:lang w:val="es-ES"/>
        </w:rPr>
        <w:t>6/215, 6/216, 6/227, 6/235</w:t>
      </w:r>
    </w:p>
    <w:p w14:paraId="1436AB58" w14:textId="77777777" w:rsidR="00F16B99" w:rsidRDefault="002E6646" w:rsidP="00F82D11">
      <w:pPr>
        <w:spacing w:before="360"/>
        <w:jc w:val="left"/>
        <w:rPr>
          <w:lang w:val="es-ES_tradnl"/>
        </w:rPr>
      </w:pPr>
      <w:r w:rsidRPr="00F16B99">
        <w:rPr>
          <w:lang w:val="es-ES_tradnl"/>
        </w:rPr>
        <w:t>Dichos documentos están disponibles en formato electrónico en la dirección:</w:t>
      </w:r>
      <w:r w:rsidR="00475DD1" w:rsidRPr="00EF4CF9">
        <w:rPr>
          <w:lang w:val="es-ES"/>
        </w:rPr>
        <w:t xml:space="preserve"> </w:t>
      </w:r>
      <w:hyperlink r:id="rId10" w:history="1">
        <w:r w:rsidR="00F16B99" w:rsidRPr="00F16B99">
          <w:rPr>
            <w:rStyle w:val="Hyperlink"/>
            <w:lang w:val="es-ES_tradnl"/>
          </w:rPr>
          <w:t>https://www.itu.int/md/R19-SG06-C/en</w:t>
        </w:r>
      </w:hyperlink>
    </w:p>
    <w:p w14:paraId="64353B33" w14:textId="77777777" w:rsidR="00475DD1" w:rsidRDefault="00475D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EF4CF9">
        <w:rPr>
          <w:lang w:val="es-ES"/>
        </w:rPr>
        <w:br w:type="page"/>
      </w:r>
    </w:p>
    <w:p w14:paraId="658643B2" w14:textId="5EBC3FF0" w:rsidR="002E6646" w:rsidRPr="00BD4DC1" w:rsidRDefault="002E6646" w:rsidP="00BD4DC1">
      <w:pPr>
        <w:pStyle w:val="AnnexNotitle0"/>
        <w:rPr>
          <w:rFonts w:asciiTheme="minorHAnsi" w:hAnsiTheme="minorHAnsi" w:cstheme="minorHAnsi"/>
        </w:rPr>
      </w:pPr>
      <w:r w:rsidRPr="00BD4DC1">
        <w:rPr>
          <w:rFonts w:asciiTheme="minorHAnsi" w:hAnsiTheme="minorHAnsi" w:cstheme="minorHAnsi"/>
        </w:rPr>
        <w:lastRenderedPageBreak/>
        <w:t>Anexo</w:t>
      </w:r>
      <w:r w:rsidR="00623AE3" w:rsidRPr="00BD4DC1">
        <w:rPr>
          <w:rFonts w:asciiTheme="minorHAnsi" w:hAnsiTheme="minorHAnsi" w:cstheme="minorHAnsi"/>
        </w:rPr>
        <w:br/>
      </w:r>
      <w:r w:rsidR="00623AE3" w:rsidRPr="00BD4DC1">
        <w:rPr>
          <w:rFonts w:asciiTheme="minorHAnsi" w:hAnsiTheme="minorHAnsi" w:cstheme="minorHAnsi"/>
        </w:rPr>
        <w:br/>
      </w:r>
      <w:r w:rsidR="001E212A" w:rsidRPr="00F16B99">
        <w:rPr>
          <w:rFonts w:asciiTheme="minorHAnsi" w:hAnsiTheme="minorHAnsi" w:cstheme="minorHAnsi"/>
        </w:rPr>
        <w:t>Títulos y res</w:t>
      </w:r>
      <w:r w:rsidR="00BD4DC1" w:rsidRPr="00F16B99">
        <w:rPr>
          <w:rFonts w:asciiTheme="minorHAnsi" w:hAnsiTheme="minorHAnsi" w:cstheme="minorHAnsi"/>
        </w:rPr>
        <w:t>ú</w:t>
      </w:r>
      <w:r w:rsidRPr="00F16B99">
        <w:rPr>
          <w:rFonts w:asciiTheme="minorHAnsi" w:hAnsiTheme="minorHAnsi" w:cstheme="minorHAnsi"/>
        </w:rPr>
        <w:t>menes de los proyectos de Recomendación</w:t>
      </w:r>
      <w:r w:rsidR="00A000AE" w:rsidRPr="00F16B99">
        <w:rPr>
          <w:rFonts w:asciiTheme="minorHAnsi" w:hAnsiTheme="minorHAnsi" w:cstheme="minorHAnsi"/>
        </w:rPr>
        <w:t xml:space="preserve"> UIT-R</w:t>
      </w:r>
    </w:p>
    <w:p w14:paraId="2C944942" w14:textId="2C4D15D6" w:rsidR="002E6646" w:rsidRPr="00715131" w:rsidRDefault="002E6646" w:rsidP="00E13A4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600" w:line="259" w:lineRule="auto"/>
        <w:jc w:val="left"/>
        <w:textAlignment w:val="auto"/>
        <w:rPr>
          <w:rFonts w:eastAsia="SimSun"/>
          <w:szCs w:val="24"/>
          <w:lang w:val="es-ES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t xml:space="preserve">Proyecto de </w:t>
      </w:r>
      <w:r w:rsidR="006259E9" w:rsidRPr="00F16B99">
        <w:rPr>
          <w:rFonts w:eastAsia="SimSun"/>
          <w:szCs w:val="24"/>
          <w:u w:val="single"/>
          <w:lang w:val="es-ES_tradnl" w:eastAsia="zh-CN"/>
        </w:rPr>
        <w:t>n</w:t>
      </w:r>
      <w:r w:rsidRPr="00F16B99">
        <w:rPr>
          <w:rFonts w:eastAsia="SimSun"/>
          <w:szCs w:val="24"/>
          <w:u w:val="single"/>
          <w:lang w:val="es-ES_tradnl" w:eastAsia="zh-CN"/>
        </w:rPr>
        <w:t xml:space="preserve">ueva Recomendación UIT-R </w:t>
      </w:r>
      <w:proofErr w:type="gramStart"/>
      <w:r w:rsidR="00715131" w:rsidRPr="00715131">
        <w:rPr>
          <w:rFonts w:asciiTheme="minorHAnsi" w:hAnsiTheme="minorHAnsi" w:cstheme="minorHAnsi"/>
          <w:u w:val="single"/>
          <w:lang w:val="es-ES" w:eastAsia="zh-CN"/>
        </w:rPr>
        <w:t>BT.[</w:t>
      </w:r>
      <w:proofErr w:type="gramEnd"/>
      <w:r w:rsidR="00715131" w:rsidRPr="00715131">
        <w:rPr>
          <w:rFonts w:asciiTheme="minorHAnsi" w:hAnsiTheme="minorHAnsi" w:cstheme="minorHAnsi"/>
          <w:u w:val="single"/>
          <w:lang w:val="es-ES" w:eastAsia="zh-CN"/>
        </w:rPr>
        <w:t>INTRO-NEWTECH]</w:t>
      </w:r>
      <w:r w:rsidR="00715131" w:rsidRPr="00715131">
        <w:rPr>
          <w:rFonts w:asciiTheme="minorHAnsi" w:hAnsiTheme="minorHAnsi" w:cstheme="minorHAnsi"/>
          <w:szCs w:val="24"/>
          <w:lang w:val="es-ES"/>
        </w:rPr>
        <w:tab/>
        <w:t>Doc. 6/227</w:t>
      </w:r>
    </w:p>
    <w:p w14:paraId="6C6E54E5" w14:textId="77777777" w:rsidR="009B7CEC" w:rsidRPr="00800D27" w:rsidRDefault="009B7CEC" w:rsidP="009B7CEC">
      <w:pPr>
        <w:pStyle w:val="Rectitle"/>
        <w:rPr>
          <w:rFonts w:eastAsia="MS Mincho"/>
          <w:lang w:val="es-ES_tradnl"/>
        </w:rPr>
      </w:pPr>
      <w:r w:rsidRPr="00800D27">
        <w:rPr>
          <w:rFonts w:eastAsia="MS Mincho"/>
          <w:lang w:val="es-ES_tradnl"/>
        </w:rPr>
        <w:t>Orientaciones para la introducción de nuevos sistemas,</w:t>
      </w:r>
      <w:r>
        <w:rPr>
          <w:rFonts w:eastAsia="MS Mincho"/>
          <w:lang w:val="es-ES_tradnl"/>
        </w:rPr>
        <w:br/>
      </w:r>
      <w:r w:rsidRPr="00800D27">
        <w:rPr>
          <w:rFonts w:eastAsia="MS Mincho"/>
          <w:lang w:val="es-ES_tradnl"/>
        </w:rPr>
        <w:t>tecnologías</w:t>
      </w:r>
      <w:r>
        <w:rPr>
          <w:rFonts w:eastAsia="MS Mincho"/>
          <w:lang w:val="es-ES_tradnl"/>
        </w:rPr>
        <w:t xml:space="preserve"> </w:t>
      </w:r>
      <w:r w:rsidRPr="00800D27">
        <w:rPr>
          <w:rFonts w:eastAsia="MS Mincho"/>
          <w:lang w:val="es-ES_tradnl"/>
        </w:rPr>
        <w:t>y aplicaciones DTTB de radiodifusión</w:t>
      </w:r>
      <w:r>
        <w:rPr>
          <w:rFonts w:eastAsia="MS Mincho"/>
          <w:lang w:val="es-ES_tradnl"/>
        </w:rPr>
        <w:br/>
      </w:r>
      <w:r w:rsidRPr="00800D27">
        <w:rPr>
          <w:rFonts w:eastAsia="MS Mincho"/>
          <w:lang w:val="es-ES_tradnl"/>
        </w:rPr>
        <w:t>en el servicio de radiodifusión</w:t>
      </w:r>
    </w:p>
    <w:p w14:paraId="5FBBB6C6" w14:textId="77777777" w:rsidR="009B7CEC" w:rsidRPr="00800D27" w:rsidRDefault="009B7CEC" w:rsidP="0079049E">
      <w:pPr>
        <w:pStyle w:val="Normalaftertitle"/>
        <w:spacing w:before="240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 xml:space="preserve">Este proyecto de nueva Recomendación proporciona orientaciones para la introducción de nuevos sistemas, </w:t>
      </w:r>
      <w:r w:rsidRPr="00800D27">
        <w:rPr>
          <w:rFonts w:eastAsia="SimSun"/>
          <w:lang w:val="es-ES_tradnl"/>
        </w:rPr>
        <w:t>tecnologías</w:t>
      </w:r>
      <w:r w:rsidRPr="00800D27">
        <w:rPr>
          <w:rFonts w:eastAsia="SimSun"/>
          <w:lang w:val="es-ES_tradnl" w:eastAsia="zh-CN"/>
        </w:rPr>
        <w:t xml:space="preserve"> y aplicaciones de radiodifusión de televisión digital terrenal (TDT) en el servicio de radiodifusión. Se puede elegir un método adecuado en función de las necesidades y situaciones de un país o región</w:t>
      </w:r>
      <w:r>
        <w:rPr>
          <w:rFonts w:eastAsia="SimSun"/>
          <w:lang w:val="es-ES_tradnl" w:eastAsia="zh-CN"/>
        </w:rPr>
        <w:t>.</w:t>
      </w:r>
    </w:p>
    <w:p w14:paraId="1901CB4E" w14:textId="0FC63371" w:rsidR="00F16B99" w:rsidRPr="00715131" w:rsidRDefault="00F16B99" w:rsidP="00F16B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t xml:space="preserve">Proyecto de revisión de la Recomendación UIT-R </w:t>
      </w:r>
      <w:r w:rsidR="00715131" w:rsidRPr="00715131">
        <w:rPr>
          <w:rFonts w:asciiTheme="minorHAnsi" w:hAnsiTheme="minorHAnsi" w:cstheme="minorHAnsi"/>
          <w:szCs w:val="24"/>
          <w:u w:val="single"/>
          <w:lang w:val="es-ES"/>
        </w:rPr>
        <w:t>BT.1790-0</w:t>
      </w:r>
      <w:r w:rsidR="00715131" w:rsidRPr="00715131">
        <w:rPr>
          <w:rFonts w:asciiTheme="minorHAnsi" w:hAnsiTheme="minorHAnsi" w:cstheme="minorHAnsi"/>
          <w:szCs w:val="24"/>
          <w:lang w:val="es-ES"/>
        </w:rPr>
        <w:tab/>
        <w:t>Doc. 6/215</w:t>
      </w:r>
    </w:p>
    <w:p w14:paraId="7651BFBF" w14:textId="77777777" w:rsidR="009B7CEC" w:rsidRPr="00800D27" w:rsidRDefault="009B7CEC" w:rsidP="009B7CEC">
      <w:pPr>
        <w:pStyle w:val="Rectitle"/>
        <w:rPr>
          <w:rFonts w:eastAsia="MS Mincho"/>
          <w:lang w:val="es-ES_tradnl"/>
        </w:rPr>
      </w:pPr>
      <w:r w:rsidRPr="00800D27">
        <w:rPr>
          <w:rFonts w:eastAsia="MS Mincho"/>
          <w:lang w:val="es-ES_tradnl"/>
        </w:rPr>
        <w:t>Requisitos para la supervisión de las cadenas de radiodifusión</w:t>
      </w:r>
      <w:r>
        <w:rPr>
          <w:rFonts w:eastAsia="MS Mincho"/>
          <w:lang w:val="es-ES_tradnl"/>
        </w:rPr>
        <w:br/>
      </w:r>
      <w:r w:rsidRPr="00800D27">
        <w:rPr>
          <w:rFonts w:eastAsia="MS Mincho"/>
          <w:lang w:val="es-ES_tradnl"/>
        </w:rPr>
        <w:t>durante el funcionamiento</w:t>
      </w:r>
    </w:p>
    <w:p w14:paraId="3936042A" w14:textId="77777777" w:rsidR="009B7CEC" w:rsidRPr="00800D27" w:rsidRDefault="009B7CEC" w:rsidP="0079049E">
      <w:pPr>
        <w:pStyle w:val="Normalaftertitle"/>
        <w:spacing w:before="240"/>
        <w:rPr>
          <w:rFonts w:eastAsia="SimSun"/>
          <w:lang w:val="es-ES_tradnl" w:eastAsia="zh-CN"/>
        </w:rPr>
      </w:pPr>
      <w:r w:rsidRPr="00800D27">
        <w:rPr>
          <w:rFonts w:asciiTheme="minorHAnsi" w:eastAsia="SimSun" w:hAnsiTheme="minorHAnsi" w:cstheme="minorHAnsi"/>
          <w:szCs w:val="24"/>
          <w:lang w:val="es-ES_tradnl" w:eastAsia="zh-CN"/>
        </w:rPr>
        <w:t xml:space="preserve">Esta revisión </w:t>
      </w:r>
      <w:r w:rsidRPr="00800D27">
        <w:rPr>
          <w:rFonts w:eastAsia="SimSun"/>
          <w:lang w:val="es-ES_tradnl" w:eastAsia="zh-CN"/>
        </w:rPr>
        <w:t>proporciona una nueva visión general de alto nivel de los procedimientos y requisitos operativos para la supervisión de las cadenas de radiodifusión durante su funcionamiento. Esta revisión también proporciona información actualizada de las tecnologías y procedimientos relativos a los requisitos para el estado objetivo operacional y la supervisión de la calidad de una cadena de radiodifusión. El resumen de esta revisión es el siguiente:</w:t>
      </w:r>
    </w:p>
    <w:p w14:paraId="684A89CF" w14:textId="77777777" w:rsidR="009B7CEC" w:rsidRPr="00800D27" w:rsidRDefault="009B7CEC" w:rsidP="009B7CEC">
      <w:pPr>
        <w:pStyle w:val="enumlev1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>–</w:t>
      </w:r>
      <w:r w:rsidRPr="00800D27">
        <w:rPr>
          <w:rFonts w:eastAsia="SimSun"/>
          <w:lang w:val="es-ES_tradnl" w:eastAsia="zh-CN"/>
        </w:rPr>
        <w:tab/>
        <w:t>palabras clave añadidas;</w:t>
      </w:r>
    </w:p>
    <w:p w14:paraId="0E95C024" w14:textId="77777777" w:rsidR="009B7CEC" w:rsidRPr="00800D27" w:rsidRDefault="009B7CEC" w:rsidP="009B7CEC">
      <w:pPr>
        <w:pStyle w:val="enumlev1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>–</w:t>
      </w:r>
      <w:r w:rsidRPr="00800D27">
        <w:rPr>
          <w:rFonts w:eastAsia="SimSun"/>
          <w:lang w:val="es-ES_tradnl" w:eastAsia="zh-CN"/>
        </w:rPr>
        <w:tab/>
        <w:t xml:space="preserve">revisión de los </w:t>
      </w:r>
      <w:r w:rsidRPr="00800D27">
        <w:rPr>
          <w:rFonts w:eastAsia="SimSun"/>
          <w:i/>
          <w:lang w:val="es-ES_tradnl" w:eastAsia="zh-CN"/>
        </w:rPr>
        <w:t>considerandos</w:t>
      </w:r>
      <w:r w:rsidRPr="00800D27">
        <w:rPr>
          <w:rFonts w:eastAsia="SimSun"/>
          <w:lang w:val="es-ES_tradnl" w:eastAsia="zh-CN"/>
        </w:rPr>
        <w:t>;</w:t>
      </w:r>
    </w:p>
    <w:p w14:paraId="21F8D4CF" w14:textId="77777777" w:rsidR="009B7CEC" w:rsidRPr="00800D27" w:rsidRDefault="009B7CEC" w:rsidP="009B7CEC">
      <w:pPr>
        <w:pStyle w:val="enumlev1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>–</w:t>
      </w:r>
      <w:r w:rsidRPr="00800D27">
        <w:rPr>
          <w:rFonts w:eastAsia="SimSun"/>
          <w:lang w:val="es-ES_tradnl" w:eastAsia="zh-CN"/>
        </w:rPr>
        <w:tab/>
        <w:t>supresión de la bibliografía y otras referencias;</w:t>
      </w:r>
    </w:p>
    <w:p w14:paraId="6208D7B9" w14:textId="77777777" w:rsidR="009B7CEC" w:rsidRPr="00800D27" w:rsidRDefault="009B7CEC" w:rsidP="009B7CEC">
      <w:pPr>
        <w:pStyle w:val="enumlev1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>–</w:t>
      </w:r>
      <w:r w:rsidRPr="00800D27">
        <w:rPr>
          <w:rFonts w:eastAsia="SimSun"/>
          <w:lang w:val="es-ES_tradnl" w:eastAsia="zh-CN"/>
        </w:rPr>
        <w:tab/>
        <w:t>revisión y reestructuración del texto principal.</w:t>
      </w:r>
    </w:p>
    <w:p w14:paraId="63632B7B" w14:textId="6FDA8AD3" w:rsidR="00F16B99" w:rsidRPr="00715131" w:rsidRDefault="00F16B99" w:rsidP="00F16B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t xml:space="preserve">Proyecto de revisión de la Recomendación UIT-R </w:t>
      </w:r>
      <w:r w:rsidR="00715131" w:rsidRPr="00715131">
        <w:rPr>
          <w:rFonts w:asciiTheme="minorHAnsi" w:hAnsiTheme="minorHAnsi" w:cstheme="minorHAnsi"/>
          <w:u w:val="single"/>
          <w:lang w:val="es-ES" w:eastAsia="ja-JP"/>
        </w:rPr>
        <w:t>BS.2051-2</w:t>
      </w:r>
      <w:r w:rsidR="00715131" w:rsidRPr="00715131">
        <w:rPr>
          <w:rFonts w:asciiTheme="minorHAnsi" w:hAnsiTheme="minorHAnsi" w:cstheme="minorHAnsi"/>
          <w:szCs w:val="24"/>
          <w:lang w:val="es-ES"/>
        </w:rPr>
        <w:tab/>
        <w:t>Doc. 6/216</w:t>
      </w:r>
    </w:p>
    <w:p w14:paraId="12A365AB" w14:textId="77777777" w:rsidR="009B7CEC" w:rsidRPr="00800D27" w:rsidRDefault="009B7CEC" w:rsidP="009B7CEC">
      <w:pPr>
        <w:pStyle w:val="Rectitle"/>
        <w:rPr>
          <w:rFonts w:eastAsia="MS Mincho"/>
          <w:lang w:val="es-ES_tradnl"/>
        </w:rPr>
      </w:pPr>
      <w:r w:rsidRPr="00800D27">
        <w:rPr>
          <w:rFonts w:eastAsia="MS Mincho"/>
          <w:lang w:val="es-ES_tradnl"/>
        </w:rPr>
        <w:t>Sistemas de sonido avanzados para la producción de programas</w:t>
      </w:r>
    </w:p>
    <w:p w14:paraId="217FFB28" w14:textId="77777777" w:rsidR="009B7CEC" w:rsidRPr="00800D27" w:rsidRDefault="009B7CEC" w:rsidP="0079049E">
      <w:pPr>
        <w:pStyle w:val="Normalaftertitle"/>
        <w:spacing w:before="240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 xml:space="preserve">Este proyecto de revisión aclara las especificaciones de los canales de efectos de baja frecuencia (LFE, </w:t>
      </w:r>
      <w:proofErr w:type="spellStart"/>
      <w:r w:rsidRPr="00800D27">
        <w:rPr>
          <w:rFonts w:eastAsia="SimSun"/>
          <w:lang w:val="es-ES_tradnl" w:eastAsia="zh-CN"/>
        </w:rPr>
        <w:t>low</w:t>
      </w:r>
      <w:proofErr w:type="spellEnd"/>
      <w:r w:rsidRPr="00800D27">
        <w:rPr>
          <w:rFonts w:eastAsia="SimSun"/>
          <w:lang w:val="es-ES_tradnl" w:eastAsia="zh-CN"/>
        </w:rPr>
        <w:t xml:space="preserve"> </w:t>
      </w:r>
      <w:proofErr w:type="spellStart"/>
      <w:r w:rsidRPr="00800D27">
        <w:rPr>
          <w:rFonts w:eastAsia="SimSun"/>
          <w:lang w:val="es-ES_tradnl" w:eastAsia="zh-CN"/>
        </w:rPr>
        <w:t>frequency</w:t>
      </w:r>
      <w:proofErr w:type="spellEnd"/>
      <w:r w:rsidRPr="00800D27">
        <w:rPr>
          <w:rFonts w:eastAsia="SimSun"/>
          <w:lang w:val="es-ES_tradnl" w:eastAsia="zh-CN"/>
        </w:rPr>
        <w:t xml:space="preserve"> </w:t>
      </w:r>
      <w:proofErr w:type="spellStart"/>
      <w:r w:rsidRPr="00800D27">
        <w:rPr>
          <w:rFonts w:eastAsia="SimSun"/>
          <w:lang w:val="es-ES_tradnl" w:eastAsia="zh-CN"/>
        </w:rPr>
        <w:t>effect</w:t>
      </w:r>
      <w:proofErr w:type="spellEnd"/>
      <w:r w:rsidRPr="00800D27">
        <w:rPr>
          <w:rFonts w:eastAsia="SimSun"/>
          <w:lang w:val="es-ES_tradnl" w:eastAsia="zh-CN"/>
        </w:rPr>
        <w:t>) del Cuadro</w:t>
      </w:r>
      <w:r>
        <w:rPr>
          <w:rFonts w:eastAsia="SimSun"/>
          <w:lang w:val="es-ES_tradnl" w:eastAsia="zh-CN"/>
        </w:rPr>
        <w:t> </w:t>
      </w:r>
      <w:r w:rsidRPr="00800D27">
        <w:rPr>
          <w:rFonts w:eastAsia="SimSun"/>
          <w:lang w:val="es-ES_tradnl" w:eastAsia="zh-CN"/>
        </w:rPr>
        <w:t>1 para que concuerden con las especificaciones de los sistemas de sonido B a J.</w:t>
      </w:r>
    </w:p>
    <w:p w14:paraId="45D3038D" w14:textId="77777777" w:rsidR="009B7CEC" w:rsidRPr="00800D27" w:rsidRDefault="009B7CEC" w:rsidP="009B7CEC">
      <w:pPr>
        <w:pStyle w:val="enumlev1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>–</w:t>
      </w:r>
      <w:r w:rsidRPr="00800D27">
        <w:rPr>
          <w:rFonts w:eastAsia="SimSun"/>
          <w:lang w:val="es-ES_tradnl" w:eastAsia="zh-CN"/>
        </w:rPr>
        <w:tab/>
        <w:t>se eliminan las posiciones de los altavoces LFE en el Cuadro 1;</w:t>
      </w:r>
    </w:p>
    <w:p w14:paraId="4B3BFFC7" w14:textId="77777777" w:rsidR="009B7CEC" w:rsidRPr="00800D27" w:rsidRDefault="009B7CEC" w:rsidP="009B7CEC">
      <w:pPr>
        <w:pStyle w:val="enumlev1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>–</w:t>
      </w:r>
      <w:r w:rsidRPr="00800D27">
        <w:rPr>
          <w:rFonts w:eastAsia="SimSun"/>
          <w:lang w:val="es-ES_tradnl" w:eastAsia="zh-CN"/>
        </w:rPr>
        <w:tab/>
        <w:t>se suprime la innecesaria Nota 2;</w:t>
      </w:r>
    </w:p>
    <w:p w14:paraId="57D0610A" w14:textId="77777777" w:rsidR="009B7CEC" w:rsidRPr="00800D27" w:rsidRDefault="009B7CEC" w:rsidP="009B7CEC">
      <w:pPr>
        <w:pStyle w:val="enumlev1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>–</w:t>
      </w:r>
      <w:r w:rsidRPr="00800D27">
        <w:rPr>
          <w:rFonts w:eastAsia="SimSun"/>
          <w:lang w:val="es-ES_tradnl" w:eastAsia="zh-CN"/>
        </w:rPr>
        <w:tab/>
        <w:t>se insertan nuevas Notas 2 a 5 para aclarar las características de las señales de sonido y las posiciones de los altavoces, incluidos los canales LFE</w:t>
      </w:r>
      <w:r>
        <w:rPr>
          <w:rFonts w:eastAsia="SimSun"/>
          <w:lang w:val="es-ES_tradnl" w:eastAsia="zh-CN"/>
        </w:rPr>
        <w:t>.</w:t>
      </w:r>
    </w:p>
    <w:p w14:paraId="76A4A8A5" w14:textId="77777777" w:rsidR="009B7CEC" w:rsidRDefault="009B7C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Cs w:val="24"/>
          <w:u w:val="single"/>
          <w:lang w:val="es-ES_tradnl" w:eastAsia="zh-CN"/>
        </w:rPr>
      </w:pPr>
      <w:r>
        <w:rPr>
          <w:rFonts w:eastAsia="SimSun"/>
          <w:szCs w:val="24"/>
          <w:u w:val="single"/>
          <w:lang w:val="es-ES_tradnl" w:eastAsia="zh-CN"/>
        </w:rPr>
        <w:br w:type="page"/>
      </w:r>
    </w:p>
    <w:p w14:paraId="31AD2F59" w14:textId="305637BA" w:rsidR="00F16B99" w:rsidRPr="00715131" w:rsidRDefault="00F16B99" w:rsidP="00F16B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lastRenderedPageBreak/>
        <w:t xml:space="preserve">Proyecto de revisión de la Recomendación UIT-R </w:t>
      </w:r>
      <w:r w:rsidR="00715131" w:rsidRPr="00715131">
        <w:rPr>
          <w:rFonts w:asciiTheme="minorHAnsi" w:hAnsiTheme="minorHAnsi" w:cstheme="minorHAnsi"/>
          <w:u w:val="single"/>
          <w:lang w:val="es-ES"/>
        </w:rPr>
        <w:t>BS.2125-0</w:t>
      </w:r>
      <w:r w:rsidR="00715131" w:rsidRPr="00715131">
        <w:rPr>
          <w:rFonts w:asciiTheme="minorHAnsi" w:hAnsiTheme="minorHAnsi" w:cstheme="minorHAnsi"/>
          <w:szCs w:val="24"/>
          <w:lang w:val="es-ES"/>
        </w:rPr>
        <w:tab/>
        <w:t>Doc. 6/235</w:t>
      </w:r>
    </w:p>
    <w:p w14:paraId="00C1F490" w14:textId="77777777" w:rsidR="009B7CEC" w:rsidRPr="00800D27" w:rsidRDefault="009B7CEC" w:rsidP="009B7CEC">
      <w:pPr>
        <w:pStyle w:val="Rectitle"/>
        <w:rPr>
          <w:rFonts w:eastAsia="MS Mincho"/>
          <w:lang w:val="es-ES_tradnl"/>
        </w:rPr>
      </w:pPr>
      <w:r w:rsidRPr="00800D27">
        <w:rPr>
          <w:rFonts w:eastAsia="MS Mincho"/>
          <w:lang w:val="es-ES_tradnl"/>
        </w:rPr>
        <w:t>Representación en serie del modelo de definición de audio</w:t>
      </w:r>
    </w:p>
    <w:p w14:paraId="2BCFE199" w14:textId="77777777" w:rsidR="009B7CEC" w:rsidRPr="00800D27" w:rsidRDefault="009B7CEC" w:rsidP="0079049E">
      <w:pPr>
        <w:pStyle w:val="Normalaftertitle"/>
        <w:spacing w:before="240"/>
        <w:rPr>
          <w:rFonts w:eastAsia="SimSun"/>
          <w:lang w:val="es-ES_tradnl" w:eastAsia="zh-CN"/>
        </w:rPr>
      </w:pPr>
      <w:r w:rsidRPr="00800D27">
        <w:rPr>
          <w:rFonts w:eastAsia="SimSun"/>
          <w:lang w:val="es-ES_tradnl" w:eastAsia="zh-CN"/>
        </w:rPr>
        <w:t xml:space="preserve">Esta revisión corrige varios errores en las figuras y </w:t>
      </w:r>
      <w:r w:rsidRPr="00800D27">
        <w:rPr>
          <w:rFonts w:eastAsia="SimSun"/>
          <w:lang w:val="es-ES_tradnl"/>
        </w:rPr>
        <w:t>cuadro</w:t>
      </w:r>
      <w:r w:rsidRPr="00800D27">
        <w:rPr>
          <w:rFonts w:eastAsia="SimSun"/>
          <w:lang w:val="es-ES_tradnl" w:eastAsia="zh-CN"/>
        </w:rPr>
        <w:t>s, además de</w:t>
      </w:r>
      <w:r>
        <w:rPr>
          <w:rFonts w:eastAsia="SimSun"/>
          <w:lang w:val="es-ES_tradnl" w:eastAsia="zh-CN"/>
        </w:rPr>
        <w:t>:</w:t>
      </w:r>
    </w:p>
    <w:p w14:paraId="610E87A4" w14:textId="77777777" w:rsidR="009B7CEC" w:rsidRPr="00800D27" w:rsidRDefault="009B7CEC" w:rsidP="009B7CEC">
      <w:pPr>
        <w:pStyle w:val="enumlev1"/>
        <w:rPr>
          <w:rFonts w:eastAsia="SimSun"/>
          <w:lang w:val="es-ES_tradnl"/>
        </w:rPr>
      </w:pPr>
      <w:r w:rsidRPr="00800D27">
        <w:rPr>
          <w:rFonts w:eastAsia="SimSun"/>
          <w:lang w:val="es-ES_tradnl"/>
        </w:rPr>
        <w:t>–</w:t>
      </w:r>
      <w:r w:rsidRPr="00800D27">
        <w:rPr>
          <w:rFonts w:eastAsia="SimSun"/>
          <w:lang w:val="es-ES_tradnl"/>
        </w:rPr>
        <w:tab/>
        <w:t>texto y una figura sobre la alineación temporal de un programa de audio y un marco para eliminar cualquier ambigüedad;</w:t>
      </w:r>
    </w:p>
    <w:p w14:paraId="05769ADA" w14:textId="77777777" w:rsidR="009B7CEC" w:rsidRPr="00800D27" w:rsidRDefault="009B7CEC" w:rsidP="009B7CEC">
      <w:pPr>
        <w:pStyle w:val="enumlev1"/>
        <w:rPr>
          <w:rFonts w:eastAsia="SimSun"/>
          <w:lang w:val="es-ES_tradnl"/>
        </w:rPr>
      </w:pPr>
      <w:r w:rsidRPr="00800D27">
        <w:rPr>
          <w:rFonts w:eastAsia="SimSun"/>
          <w:lang w:val="es-ES_tradnl"/>
        </w:rPr>
        <w:t>–</w:t>
      </w:r>
      <w:r w:rsidRPr="00800D27">
        <w:rPr>
          <w:rFonts w:eastAsia="SimSun"/>
          <w:lang w:val="es-ES_tradnl"/>
        </w:rPr>
        <w:tab/>
        <w:t>se han añadido un texto y un cuadro adicionales que aclaran las notaciones numéricas y las representaciones de índices/contadores</w:t>
      </w:r>
      <w:r>
        <w:rPr>
          <w:rFonts w:eastAsia="SimSun"/>
          <w:lang w:val="es-ES_tradnl"/>
        </w:rPr>
        <w:t>;</w:t>
      </w:r>
    </w:p>
    <w:p w14:paraId="321F4728" w14:textId="77777777" w:rsidR="009B7CEC" w:rsidRPr="00800D27" w:rsidRDefault="009B7CEC" w:rsidP="009B7CEC">
      <w:pPr>
        <w:pStyle w:val="enumlev1"/>
        <w:rPr>
          <w:rFonts w:eastAsia="SimSun"/>
          <w:lang w:val="es-ES_tradnl"/>
        </w:rPr>
      </w:pPr>
      <w:r w:rsidRPr="00800D27">
        <w:rPr>
          <w:rFonts w:eastAsia="SimSun"/>
          <w:lang w:val="es-ES_tradnl"/>
        </w:rPr>
        <w:t>–</w:t>
      </w:r>
      <w:r w:rsidRPr="00800D27">
        <w:rPr>
          <w:rFonts w:eastAsia="SimSun"/>
          <w:lang w:val="es-ES_tradnl"/>
        </w:rPr>
        <w:tab/>
        <w:t>se han añadido atributos adicionales para el elemento trama con el fin de proporcionar un método de versionado de flujos y la señalización del cumplimiento del perfil</w:t>
      </w:r>
      <w:r>
        <w:rPr>
          <w:rFonts w:eastAsia="SimSun"/>
          <w:lang w:val="es-ES_tradnl"/>
        </w:rPr>
        <w:t>;</w:t>
      </w:r>
    </w:p>
    <w:p w14:paraId="74F99894" w14:textId="77777777" w:rsidR="009B7CEC" w:rsidRPr="00800D27" w:rsidRDefault="009B7CEC" w:rsidP="009B7CEC">
      <w:pPr>
        <w:pStyle w:val="enumlev1"/>
        <w:rPr>
          <w:rFonts w:eastAsia="SimSun"/>
          <w:lang w:val="es-ES_tradnl"/>
        </w:rPr>
      </w:pPr>
      <w:r w:rsidRPr="00800D27">
        <w:rPr>
          <w:rFonts w:eastAsia="SimSun"/>
          <w:lang w:val="es-ES_tradnl"/>
        </w:rPr>
        <w:t>–</w:t>
      </w:r>
      <w:r w:rsidRPr="00800D27">
        <w:rPr>
          <w:rFonts w:eastAsia="SimSun"/>
          <w:lang w:val="es-ES_tradnl"/>
        </w:rPr>
        <w:tab/>
        <w:t xml:space="preserve">texto y cuadros para describir más claramente </w:t>
      </w:r>
      <w:proofErr w:type="gramStart"/>
      <w:r w:rsidRPr="00800D27">
        <w:rPr>
          <w:rFonts w:eastAsia="SimSun"/>
          <w:lang w:val="es-ES_tradnl"/>
        </w:rPr>
        <w:t>los subelementos</w:t>
      </w:r>
      <w:proofErr w:type="gramEnd"/>
      <w:r w:rsidRPr="00800D27">
        <w:rPr>
          <w:rFonts w:eastAsia="SimSun"/>
          <w:lang w:val="es-ES_tradnl"/>
        </w:rPr>
        <w:t xml:space="preserve"> </w:t>
      </w:r>
      <w:proofErr w:type="spellStart"/>
      <w:r w:rsidRPr="00800D27">
        <w:rPr>
          <w:rFonts w:eastAsia="SimSun"/>
          <w:b/>
          <w:bCs/>
          <w:lang w:val="es-ES_tradnl"/>
        </w:rPr>
        <w:t>format</w:t>
      </w:r>
      <w:proofErr w:type="spellEnd"/>
      <w:r w:rsidRPr="00800D27">
        <w:rPr>
          <w:rFonts w:eastAsia="SimSun"/>
          <w:lang w:val="es-ES_tradnl"/>
        </w:rPr>
        <w:t xml:space="preserve"> y </w:t>
      </w:r>
      <w:proofErr w:type="spellStart"/>
      <w:r w:rsidRPr="00800D27">
        <w:rPr>
          <w:rFonts w:eastAsia="SimSun"/>
          <w:b/>
          <w:bCs/>
          <w:lang w:val="es-ES_tradnl"/>
        </w:rPr>
        <w:t>coreMetadata</w:t>
      </w:r>
      <w:proofErr w:type="spellEnd"/>
      <w:r w:rsidRPr="00800D27">
        <w:rPr>
          <w:rFonts w:eastAsia="SimSun"/>
          <w:lang w:val="es-ES_tradnl"/>
        </w:rPr>
        <w:t>;</w:t>
      </w:r>
    </w:p>
    <w:p w14:paraId="265F57CF" w14:textId="77777777" w:rsidR="009B7CEC" w:rsidRDefault="009B7CEC" w:rsidP="009B7CEC">
      <w:pPr>
        <w:pStyle w:val="enumlev1"/>
        <w:rPr>
          <w:rFonts w:eastAsia="SimSun"/>
          <w:lang w:val="es-ES_tradnl"/>
        </w:rPr>
      </w:pPr>
      <w:r w:rsidRPr="00800D27">
        <w:rPr>
          <w:rFonts w:eastAsia="SimSun"/>
          <w:lang w:val="es-ES_tradnl"/>
        </w:rPr>
        <w:t>–</w:t>
      </w:r>
      <w:r w:rsidRPr="00800D27">
        <w:rPr>
          <w:rFonts w:eastAsia="SimSun"/>
          <w:lang w:val="es-ES_tradnl"/>
        </w:rPr>
        <w:tab/>
        <w:t>reestructuración editorial de algunas partes del documento, incluido el orden de las secciones y los cuadros.</w:t>
      </w:r>
    </w:p>
    <w:p w14:paraId="31AB5BD1" w14:textId="77777777" w:rsidR="00623AE3" w:rsidRPr="00F16B99" w:rsidRDefault="00623AE3" w:rsidP="0079049E">
      <w:pPr>
        <w:spacing w:before="360"/>
        <w:jc w:val="center"/>
        <w:rPr>
          <w:lang w:val="es-ES"/>
        </w:rPr>
      </w:pPr>
      <w:r w:rsidRPr="00F16B99">
        <w:rPr>
          <w:lang w:val="es-ES"/>
        </w:rPr>
        <w:t>______________</w:t>
      </w:r>
    </w:p>
    <w:sectPr w:rsidR="00623AE3" w:rsidRPr="00F16B99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503B" w14:textId="079ABC7B" w:rsidR="00CD1697" w:rsidRPr="009440C7" w:rsidRDefault="00307AFE" w:rsidP="00307AF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440C7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440C7">
      <w:rPr>
        <w:color w:val="4F81BD" w:themeColor="accent1"/>
        <w:sz w:val="19"/>
        <w:szCs w:val="19"/>
        <w:lang w:val="es-ES"/>
      </w:rPr>
      <w:t>Nations</w:t>
    </w:r>
    <w:proofErr w:type="spellEnd"/>
    <w:r w:rsidRPr="009440C7">
      <w:rPr>
        <w:color w:val="4F81BD" w:themeColor="accent1"/>
        <w:sz w:val="19"/>
        <w:szCs w:val="19"/>
        <w:lang w:val="es-ES"/>
      </w:rPr>
      <w:t>, CH</w:t>
    </w:r>
    <w:r w:rsidRPr="009440C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440C7">
      <w:rPr>
        <w:color w:val="4F81BD" w:themeColor="accent1"/>
        <w:sz w:val="19"/>
        <w:szCs w:val="19"/>
        <w:lang w:val="es-ES"/>
      </w:rPr>
      <w:br/>
      <w:t>Tel</w:t>
    </w:r>
    <w:r w:rsidR="00643B50" w:rsidRPr="009440C7">
      <w:rPr>
        <w:color w:val="4F81BD" w:themeColor="accent1"/>
        <w:sz w:val="19"/>
        <w:szCs w:val="19"/>
        <w:lang w:val="es-ES"/>
      </w:rPr>
      <w:t>.</w:t>
    </w:r>
    <w:r w:rsidRPr="009440C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440C7">
        <w:rPr>
          <w:rStyle w:val="Hyperlink"/>
          <w:sz w:val="19"/>
          <w:szCs w:val="19"/>
          <w:lang w:val="es-ES"/>
        </w:rPr>
        <w:t>itumail@itu.int</w:t>
      </w:r>
    </w:hyperlink>
    <w:r w:rsidRPr="009440C7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9440C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3E3A" w14:textId="35FAC7A8" w:rsidR="00CD1697" w:rsidRPr="00D239B4" w:rsidRDefault="00CD1697" w:rsidP="00307AF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EEA1" w14:textId="3DA22ADA" w:rsidR="00CD1697" w:rsidRPr="00367ECB" w:rsidRDefault="005F011A" w:rsidP="00367ECB"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240" w:line="360" w:lineRule="auto"/>
      <w:jc w:val="center"/>
      <w:textAlignment w:val="auto"/>
      <w:rPr>
        <w:rFonts w:eastAsia="SimSun" w:cs="Arial"/>
        <w:sz w:val="22"/>
        <w:lang w:val="en-GB" w:eastAsia="zh-CN"/>
      </w:rPr>
    </w:pPr>
    <w:r w:rsidRPr="005F011A">
      <w:rPr>
        <w:rFonts w:eastAsia="SimSun" w:cs="Arial"/>
        <w:noProof/>
        <w:sz w:val="22"/>
        <w:lang w:val="en-GB" w:eastAsia="zh-CN"/>
      </w:rPr>
      <w:drawing>
        <wp:inline distT="0" distB="0" distL="0" distR="0" wp14:anchorId="2346E9F2" wp14:editId="7289BFF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264"/>
    <w:rsid w:val="000C03C7"/>
    <w:rsid w:val="000C2AD0"/>
    <w:rsid w:val="000D3F3B"/>
    <w:rsid w:val="000E3DEE"/>
    <w:rsid w:val="000E4BCD"/>
    <w:rsid w:val="00100B72"/>
    <w:rsid w:val="00101F7D"/>
    <w:rsid w:val="00103C76"/>
    <w:rsid w:val="001119C8"/>
    <w:rsid w:val="0011265F"/>
    <w:rsid w:val="00117282"/>
    <w:rsid w:val="00117389"/>
    <w:rsid w:val="0012191D"/>
    <w:rsid w:val="00121C2D"/>
    <w:rsid w:val="00134404"/>
    <w:rsid w:val="00144DFB"/>
    <w:rsid w:val="00187CA3"/>
    <w:rsid w:val="00193095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563F5"/>
    <w:rsid w:val="00266E74"/>
    <w:rsid w:val="0028193E"/>
    <w:rsid w:val="00283C3B"/>
    <w:rsid w:val="002861E6"/>
    <w:rsid w:val="00287D18"/>
    <w:rsid w:val="002A2618"/>
    <w:rsid w:val="002A5DD7"/>
    <w:rsid w:val="002A693B"/>
    <w:rsid w:val="002B0A1E"/>
    <w:rsid w:val="002B0CAC"/>
    <w:rsid w:val="002C09A3"/>
    <w:rsid w:val="002C1F1C"/>
    <w:rsid w:val="002D5A15"/>
    <w:rsid w:val="002D5BDD"/>
    <w:rsid w:val="002E3D27"/>
    <w:rsid w:val="002E6646"/>
    <w:rsid w:val="002F0890"/>
    <w:rsid w:val="002F2531"/>
    <w:rsid w:val="002F2EB3"/>
    <w:rsid w:val="002F481E"/>
    <w:rsid w:val="002F4967"/>
    <w:rsid w:val="00306452"/>
    <w:rsid w:val="00307AFE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67ECB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3186"/>
    <w:rsid w:val="003C4471"/>
    <w:rsid w:val="003C4BB8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75DD1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1627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40B8"/>
    <w:rsid w:val="005E5EB3"/>
    <w:rsid w:val="005F011A"/>
    <w:rsid w:val="005F3CB6"/>
    <w:rsid w:val="005F657C"/>
    <w:rsid w:val="005F78BF"/>
    <w:rsid w:val="00602D53"/>
    <w:rsid w:val="006047E5"/>
    <w:rsid w:val="00623AE3"/>
    <w:rsid w:val="0062522E"/>
    <w:rsid w:val="006259E9"/>
    <w:rsid w:val="0062700F"/>
    <w:rsid w:val="00631740"/>
    <w:rsid w:val="0064371D"/>
    <w:rsid w:val="00643B50"/>
    <w:rsid w:val="00650543"/>
    <w:rsid w:val="00650B2A"/>
    <w:rsid w:val="00651777"/>
    <w:rsid w:val="006550F8"/>
    <w:rsid w:val="006628A0"/>
    <w:rsid w:val="0067480E"/>
    <w:rsid w:val="006829F3"/>
    <w:rsid w:val="006A124F"/>
    <w:rsid w:val="006A518B"/>
    <w:rsid w:val="006B0590"/>
    <w:rsid w:val="006B49DA"/>
    <w:rsid w:val="006C53F8"/>
    <w:rsid w:val="006C7CDE"/>
    <w:rsid w:val="00715131"/>
    <w:rsid w:val="007234B1"/>
    <w:rsid w:val="00723D08"/>
    <w:rsid w:val="00725FDA"/>
    <w:rsid w:val="00727816"/>
    <w:rsid w:val="00730B9A"/>
    <w:rsid w:val="0073399A"/>
    <w:rsid w:val="00750CFA"/>
    <w:rsid w:val="007553DA"/>
    <w:rsid w:val="00770D9E"/>
    <w:rsid w:val="00775DB8"/>
    <w:rsid w:val="00782354"/>
    <w:rsid w:val="0079049E"/>
    <w:rsid w:val="007921A7"/>
    <w:rsid w:val="007A7FF8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172"/>
    <w:rsid w:val="00912DAB"/>
    <w:rsid w:val="009151BA"/>
    <w:rsid w:val="00925023"/>
    <w:rsid w:val="009277BC"/>
    <w:rsid w:val="00927D57"/>
    <w:rsid w:val="00927E24"/>
    <w:rsid w:val="00931A51"/>
    <w:rsid w:val="009440C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7CEC"/>
    <w:rsid w:val="009C161F"/>
    <w:rsid w:val="009C56B4"/>
    <w:rsid w:val="009D51A2"/>
    <w:rsid w:val="009E04A8"/>
    <w:rsid w:val="009E4595"/>
    <w:rsid w:val="009E4AEC"/>
    <w:rsid w:val="009E5BD8"/>
    <w:rsid w:val="009E681E"/>
    <w:rsid w:val="00A000AE"/>
    <w:rsid w:val="00A119E6"/>
    <w:rsid w:val="00A20FBC"/>
    <w:rsid w:val="00A243E2"/>
    <w:rsid w:val="00A31370"/>
    <w:rsid w:val="00A33D80"/>
    <w:rsid w:val="00A34D6F"/>
    <w:rsid w:val="00A41F91"/>
    <w:rsid w:val="00A621D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34CF9"/>
    <w:rsid w:val="00B37559"/>
    <w:rsid w:val="00B4054B"/>
    <w:rsid w:val="00B52E07"/>
    <w:rsid w:val="00B579B0"/>
    <w:rsid w:val="00B57D11"/>
    <w:rsid w:val="00B61E98"/>
    <w:rsid w:val="00B649D7"/>
    <w:rsid w:val="00B81C2F"/>
    <w:rsid w:val="00B90743"/>
    <w:rsid w:val="00B90C45"/>
    <w:rsid w:val="00B933BE"/>
    <w:rsid w:val="00BD4DC1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E1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3BE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2D6F"/>
    <w:rsid w:val="00D97EF5"/>
    <w:rsid w:val="00DA06EA"/>
    <w:rsid w:val="00DA4037"/>
    <w:rsid w:val="00DD5D1C"/>
    <w:rsid w:val="00DE3CEB"/>
    <w:rsid w:val="00DE66A5"/>
    <w:rsid w:val="00DF2B50"/>
    <w:rsid w:val="00E01059"/>
    <w:rsid w:val="00E04C86"/>
    <w:rsid w:val="00E13A4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037"/>
    <w:rsid w:val="00E915AF"/>
    <w:rsid w:val="00E96415"/>
    <w:rsid w:val="00EA15B3"/>
    <w:rsid w:val="00EA5A71"/>
    <w:rsid w:val="00EB2358"/>
    <w:rsid w:val="00EB3EB8"/>
    <w:rsid w:val="00EC00EF"/>
    <w:rsid w:val="00EC02FE"/>
    <w:rsid w:val="00EC4A96"/>
    <w:rsid w:val="00EE03A0"/>
    <w:rsid w:val="00EE738A"/>
    <w:rsid w:val="00EF4CF9"/>
    <w:rsid w:val="00F16B99"/>
    <w:rsid w:val="00F23AE7"/>
    <w:rsid w:val="00F424BF"/>
    <w:rsid w:val="00F44FC3"/>
    <w:rsid w:val="00F46107"/>
    <w:rsid w:val="00F468C5"/>
    <w:rsid w:val="00F52F39"/>
    <w:rsid w:val="00F6184F"/>
    <w:rsid w:val="00F82D11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563F5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2563F5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6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1AA5-FF7D-42D2-8E17-F623C3D1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44</TotalTime>
  <Pages>4</Pages>
  <Words>821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13</cp:revision>
  <cp:lastPrinted>2020-02-07T14:00:00Z</cp:lastPrinted>
  <dcterms:created xsi:type="dcterms:W3CDTF">2021-11-16T08:48:00Z</dcterms:created>
  <dcterms:modified xsi:type="dcterms:W3CDTF">2022-03-31T09:40:00Z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