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14:paraId="1DCD282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0B671F" w14:textId="77777777"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B7FD0D9" w14:textId="77777777"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517C04B3" w14:textId="77777777"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46051" w14:paraId="5AB710BB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8989C6" w14:textId="77777777"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14:paraId="51776092" w14:textId="6F32DB77" w:rsidR="00E53DCE" w:rsidRPr="00C9308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646051">
              <w:rPr>
                <w:b/>
                <w:bCs/>
                <w:szCs w:val="24"/>
                <w:lang w:val="es-ES_tradnl"/>
              </w:rPr>
              <w:t>1015</w:t>
            </w:r>
          </w:p>
        </w:tc>
        <w:tc>
          <w:tcPr>
            <w:tcW w:w="2835" w:type="dxa"/>
            <w:shd w:val="clear" w:color="auto" w:fill="auto"/>
          </w:tcPr>
          <w:sdt>
            <w:sdtPr>
              <w:rPr>
                <w:bCs/>
                <w:szCs w:val="24"/>
                <w:lang w:val="es-ES_tradnl"/>
              </w:rPr>
              <w:alias w:val="Fecha"/>
              <w:tag w:val="dia de mes de año"/>
              <w:id w:val="328804096"/>
              <w:placeholder>
                <w:docPart w:val="DefaultPlaceholder_1081868576"/>
              </w:placeholder>
              <w:date w:fullDate="2022-01-31T00:00:00Z">
                <w:dateFormat w:val="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21601709" w14:textId="200E8F27" w:rsidR="00C30ED8" w:rsidRPr="00AC36B2" w:rsidRDefault="00646051" w:rsidP="006160CB">
                <w:pPr>
                  <w:spacing w:before="0"/>
                  <w:jc w:val="right"/>
                  <w:rPr>
                    <w:bCs/>
                    <w:szCs w:val="24"/>
                    <w:lang w:val="es-ES"/>
                  </w:rPr>
                </w:pPr>
                <w:r w:rsidRPr="001E37D0">
                  <w:rPr>
                    <w:bCs/>
                    <w:szCs w:val="24"/>
                    <w:lang w:val="es-ES"/>
                  </w:rPr>
                  <w:t>31 de enero de 2022</w:t>
                </w:r>
              </w:p>
            </w:sdtContent>
          </w:sdt>
          <w:p w14:paraId="6BC0B39A" w14:textId="3E2EC5FE" w:rsidR="00E53DCE" w:rsidRPr="00AC36B2" w:rsidRDefault="00E53DCE" w:rsidP="006160CB">
            <w:pPr>
              <w:spacing w:before="0"/>
              <w:jc w:val="right"/>
              <w:rPr>
                <w:szCs w:val="24"/>
                <w:lang w:val="es-ES"/>
              </w:rPr>
            </w:pPr>
          </w:p>
        </w:tc>
      </w:tr>
      <w:tr w:rsidR="00E53DCE" w:rsidRPr="00646051" w14:paraId="5DC26CE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9C474" w14:textId="77777777" w:rsidR="00E53DCE" w:rsidRPr="00AC36B2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646051" w14:paraId="4A28D26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8E729" w14:textId="77777777" w:rsidR="00E53DCE" w:rsidRPr="00AC36B2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E37D0" w14:paraId="5C3D397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DAB31" w14:textId="0328CC17" w:rsidR="00E53DCE" w:rsidRPr="00C93087" w:rsidRDefault="005F2578" w:rsidP="005B56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</w:t>
            </w:r>
            <w:r w:rsidR="004173F7">
              <w:rPr>
                <w:b/>
                <w:lang w:val="es-ES_tradnl"/>
              </w:rPr>
              <w:br/>
            </w:r>
            <w:r w:rsidRPr="00C93087">
              <w:rPr>
                <w:b/>
                <w:lang w:val="es-ES_tradnl"/>
              </w:rPr>
              <w:t xml:space="preserve">Comisión de Estudio </w:t>
            </w:r>
            <w:r w:rsidR="00646051">
              <w:rPr>
                <w:b/>
                <w:lang w:val="es-ES_tradnl"/>
              </w:rPr>
              <w:t>4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1E37D0" w14:paraId="49E0216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D33D36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E37D0" w14:paraId="60312B9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6F2026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E37D0" w14:paraId="4DAE45D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9614ABE" w14:textId="77777777" w:rsidR="00E53DCE" w:rsidRPr="00646051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646051">
              <w:rPr>
                <w:szCs w:val="24"/>
                <w:lang w:val="es-ES_tradnl"/>
              </w:rPr>
              <w:t>Asunto</w:t>
            </w:r>
            <w:r w:rsidR="00A96D3A" w:rsidRPr="00646051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5184925" w14:textId="74E548E9" w:rsidR="009E00B9" w:rsidRPr="00646051" w:rsidRDefault="009E00B9" w:rsidP="009E00B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646051">
              <w:rPr>
                <w:b/>
                <w:bCs/>
                <w:szCs w:val="24"/>
                <w:lang w:val="es-ES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E9FA628000C142B298CF2DAFCB798D10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646051" w:rsidRPr="00646051">
                  <w:rPr>
                    <w:rStyle w:val="Style1"/>
                    <w:szCs w:val="24"/>
                    <w:lang w:val="es-ES"/>
                  </w:rPr>
                  <w:t>4</w:t>
                </w:r>
              </w:sdtContent>
            </w:sdt>
            <w:r w:rsidRPr="00646051">
              <w:rPr>
                <w:b/>
                <w:bCs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F019FE24E433441FA7D5D9FC8DF29461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646051" w:rsidRPr="00646051">
                  <w:rPr>
                    <w:rStyle w:val="Style2"/>
                    <w:szCs w:val="24"/>
                    <w:lang w:val="es-ES"/>
                  </w:rPr>
                  <w:t>(Servicios por satélite)</w:t>
                </w:r>
              </w:sdtContent>
            </w:sdt>
          </w:p>
          <w:p w14:paraId="29877C0A" w14:textId="4BBFBCC7" w:rsidR="005F2578" w:rsidRPr="00646051" w:rsidRDefault="005F2578" w:rsidP="00646051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646051">
              <w:rPr>
                <w:b/>
                <w:bCs/>
                <w:lang w:val="es-ES_tradnl"/>
              </w:rPr>
              <w:t>–</w:t>
            </w:r>
            <w:r w:rsidRPr="00646051">
              <w:rPr>
                <w:b/>
                <w:bCs/>
                <w:lang w:val="es-ES_tradnl"/>
              </w:rPr>
              <w:tab/>
              <w:t xml:space="preserve">Aprobación de </w:t>
            </w:r>
            <w:r w:rsidR="00646051" w:rsidRPr="00646051">
              <w:rPr>
                <w:b/>
                <w:bCs/>
                <w:lang w:val="es-ES_tradnl"/>
              </w:rPr>
              <w:t>2</w:t>
            </w:r>
            <w:r w:rsidRPr="00646051">
              <w:rPr>
                <w:b/>
                <w:bCs/>
                <w:lang w:val="es-ES_tradnl"/>
              </w:rPr>
              <w:t xml:space="preserve"> </w:t>
            </w:r>
            <w:r w:rsidR="00CD3002" w:rsidRPr="00646051">
              <w:rPr>
                <w:b/>
                <w:bCs/>
                <w:lang w:val="es-ES_tradnl"/>
              </w:rPr>
              <w:t>Recomendaci</w:t>
            </w:r>
            <w:r w:rsidR="00646051" w:rsidRPr="00646051">
              <w:rPr>
                <w:b/>
                <w:bCs/>
                <w:lang w:val="es-ES_tradnl"/>
              </w:rPr>
              <w:t>o</w:t>
            </w:r>
            <w:r w:rsidR="00CD3002" w:rsidRPr="00646051">
              <w:rPr>
                <w:b/>
                <w:bCs/>
                <w:lang w:val="es-ES_tradnl"/>
              </w:rPr>
              <w:t>n</w:t>
            </w:r>
            <w:r w:rsidRPr="00646051">
              <w:rPr>
                <w:b/>
                <w:bCs/>
                <w:lang w:val="es-ES_tradnl"/>
              </w:rPr>
              <w:t>e</w:t>
            </w:r>
            <w:r w:rsidR="00646051" w:rsidRPr="00646051">
              <w:rPr>
                <w:b/>
                <w:bCs/>
                <w:lang w:val="es-ES_tradnl"/>
              </w:rPr>
              <w:t>s</w:t>
            </w:r>
            <w:r w:rsidRPr="00646051">
              <w:rPr>
                <w:b/>
                <w:bCs/>
                <w:lang w:val="es-ES_tradnl"/>
              </w:rPr>
              <w:t xml:space="preserve"> UIT-R revisadas</w:t>
            </w:r>
          </w:p>
        </w:tc>
      </w:tr>
      <w:tr w:rsidR="00E53DCE" w:rsidRPr="001E37D0" w14:paraId="78CA896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BA9B3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E10004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E37D0" w14:paraId="33F85FC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D05CFC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007795" w14:textId="77777777"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E37D0" w14:paraId="36912F0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7E33AC" w14:textId="77777777"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1E37D0" w14:paraId="2C164EC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67F80" w14:textId="77777777"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6ED91D1B" w14:textId="6471B63A" w:rsidR="005F2578" w:rsidRPr="00646051" w:rsidRDefault="005F2578" w:rsidP="000F4463">
      <w:pPr>
        <w:spacing w:before="240"/>
        <w:rPr>
          <w:lang w:val="es-ES_tradnl"/>
        </w:rPr>
      </w:pPr>
      <w:r w:rsidRPr="00646051">
        <w:rPr>
          <w:lang w:val="es-ES_tradnl"/>
        </w:rPr>
        <w:t xml:space="preserve">Mediante la Circular Administrativa </w:t>
      </w:r>
      <w:hyperlink r:id="rId8" w:history="1">
        <w:r w:rsidRPr="004173F7">
          <w:rPr>
            <w:rStyle w:val="Hyperlink"/>
            <w:lang w:val="es-ES_tradnl"/>
          </w:rPr>
          <w:t>CACE/</w:t>
        </w:r>
        <w:r w:rsidR="00646051" w:rsidRPr="004173F7">
          <w:rPr>
            <w:rStyle w:val="Hyperlink"/>
            <w:lang w:val="es-ES_tradnl"/>
          </w:rPr>
          <w:t>1003</w:t>
        </w:r>
      </w:hyperlink>
      <w:r w:rsidRPr="00646051">
        <w:rPr>
          <w:lang w:val="es-ES_tradnl"/>
        </w:rPr>
        <w:t xml:space="preserve"> de </w:t>
      </w:r>
      <w:r w:rsidR="00646051" w:rsidRPr="00646051">
        <w:rPr>
          <w:lang w:val="es-ES_tradnl"/>
        </w:rPr>
        <w:t>26 de noviembre de 2021, 2</w:t>
      </w:r>
      <w:r w:rsidRPr="00646051">
        <w:rPr>
          <w:lang w:val="es-ES_tradnl"/>
        </w:rPr>
        <w:t xml:space="preserve"> proyectos de Recomendación </w:t>
      </w:r>
      <w:r w:rsidR="00FA4894" w:rsidRPr="00646051">
        <w:rPr>
          <w:lang w:val="es-ES_tradnl"/>
        </w:rPr>
        <w:t xml:space="preserve">UIT-R </w:t>
      </w:r>
      <w:r w:rsidRPr="00646051">
        <w:rPr>
          <w:lang w:val="es-ES_tradnl"/>
        </w:rPr>
        <w:t>revisada fueron sometidos a aprobación de conformidad con el procedimiento descrito en la Resolución UIT</w:t>
      </w:r>
      <w:r w:rsidRPr="00646051">
        <w:rPr>
          <w:lang w:val="es-ES_tradnl"/>
        </w:rPr>
        <w:noBreakHyphen/>
        <w:t>R 1-</w:t>
      </w:r>
      <w:r w:rsidR="00CD3002" w:rsidRPr="00646051">
        <w:rPr>
          <w:lang w:val="es-ES_tradnl"/>
        </w:rPr>
        <w:t>8</w:t>
      </w:r>
      <w:r w:rsidRPr="00646051">
        <w:rPr>
          <w:lang w:val="es-ES_tradnl"/>
        </w:rPr>
        <w:t xml:space="preserve"> (§ A2.6.2.3).</w:t>
      </w:r>
    </w:p>
    <w:p w14:paraId="1A3E7578" w14:textId="79EF8C18" w:rsidR="005F2578" w:rsidRPr="00646051" w:rsidRDefault="005F2578" w:rsidP="005F2578">
      <w:pPr>
        <w:rPr>
          <w:lang w:val="es-ES_tradnl"/>
        </w:rPr>
      </w:pPr>
      <w:r w:rsidRPr="00646051">
        <w:rPr>
          <w:lang w:val="es-ES_tradnl"/>
        </w:rPr>
        <w:t xml:space="preserve">El </w:t>
      </w:r>
      <w:r w:rsidR="00646051" w:rsidRPr="00646051">
        <w:rPr>
          <w:lang w:val="es-ES_tradnl"/>
        </w:rPr>
        <w:t>26 de enero de 2022</w:t>
      </w:r>
      <w:r w:rsidRPr="00646051">
        <w:rPr>
          <w:lang w:val="es-ES_tradnl"/>
        </w:rPr>
        <w:t xml:space="preserve"> quedaron satisfechas las condiciones de dicho procedimiento.</w:t>
      </w:r>
    </w:p>
    <w:p w14:paraId="692D3C5B" w14:textId="3130601E" w:rsidR="005F2578" w:rsidRPr="00646051" w:rsidRDefault="005F2578" w:rsidP="00FA4894">
      <w:pPr>
        <w:rPr>
          <w:lang w:val="es-ES_tradnl"/>
        </w:rPr>
      </w:pPr>
      <w:r w:rsidRPr="00646051">
        <w:rPr>
          <w:lang w:val="es-ES_tradnl"/>
        </w:rPr>
        <w:t>Las Recomendaci</w:t>
      </w:r>
      <w:r w:rsidR="00646051" w:rsidRPr="00646051">
        <w:rPr>
          <w:lang w:val="es-ES_tradnl"/>
        </w:rPr>
        <w:t>o</w:t>
      </w:r>
      <w:r w:rsidRPr="00646051">
        <w:rPr>
          <w:lang w:val="es-ES_tradnl"/>
        </w:rPr>
        <w:t>nes aprobadas serán publicadas por la UIT. En el Anexo</w:t>
      </w:r>
      <w:r w:rsidR="00FA4894" w:rsidRPr="00646051">
        <w:rPr>
          <w:lang w:val="es-ES_tradnl"/>
        </w:rPr>
        <w:t xml:space="preserve"> a la presente Circular</w:t>
      </w:r>
      <w:r w:rsidRPr="00646051">
        <w:rPr>
          <w:lang w:val="es-ES_tradnl"/>
        </w:rPr>
        <w:t xml:space="preserve"> figuran sus títulos junto con el número que se les ha asignado.</w:t>
      </w:r>
    </w:p>
    <w:p w14:paraId="07715F01" w14:textId="7968B92A" w:rsidR="005F2578" w:rsidRPr="00C93087" w:rsidRDefault="00CD3002" w:rsidP="00583F36">
      <w:pPr>
        <w:spacing w:before="1400" w:line="240" w:lineRule="auto"/>
        <w:jc w:val="left"/>
        <w:rPr>
          <w:szCs w:val="24"/>
          <w:lang w:val="es-ES_tradnl"/>
        </w:rPr>
      </w:pPr>
      <w:r w:rsidRPr="004173F7">
        <w:rPr>
          <w:szCs w:val="24"/>
          <w:lang w:val="es-ES_tradnl"/>
        </w:rPr>
        <w:t>Mario Maniewicz</w:t>
      </w:r>
      <w:r w:rsidR="005F2578" w:rsidRPr="00646051">
        <w:rPr>
          <w:szCs w:val="24"/>
          <w:u w:val="single"/>
          <w:lang w:val="es-ES_tradnl"/>
        </w:rPr>
        <w:br/>
      </w:r>
      <w:r w:rsidR="005F2578" w:rsidRPr="00C93087">
        <w:rPr>
          <w:szCs w:val="24"/>
          <w:lang w:val="es-ES_tradnl"/>
        </w:rPr>
        <w:t xml:space="preserve">Director </w:t>
      </w:r>
    </w:p>
    <w:p w14:paraId="23566B14" w14:textId="3EC3417B" w:rsidR="005F2578" w:rsidRPr="00C93087" w:rsidRDefault="005F2578" w:rsidP="00535436">
      <w:pPr>
        <w:tabs>
          <w:tab w:val="left" w:pos="4820"/>
        </w:tabs>
        <w:spacing w:before="1800"/>
        <w:rPr>
          <w:bCs/>
          <w:lang w:val="es-ES_tradnl"/>
        </w:rPr>
      </w:pPr>
      <w:r w:rsidRPr="00C93087">
        <w:rPr>
          <w:b/>
          <w:lang w:val="es-ES_tradnl"/>
        </w:rPr>
        <w:t>Anexo</w:t>
      </w:r>
      <w:r w:rsidRPr="000F4463">
        <w:rPr>
          <w:b/>
          <w:lang w:val="es-ES_tradnl"/>
        </w:rPr>
        <w:t>:</w:t>
      </w:r>
      <w:r w:rsidR="00646051">
        <w:rPr>
          <w:b/>
          <w:lang w:val="es-ES_tradnl"/>
        </w:rPr>
        <w:tab/>
      </w:r>
      <w:r w:rsidR="00646051" w:rsidRPr="004173F7">
        <w:rPr>
          <w:bCs/>
          <w:lang w:val="es-ES_tradnl"/>
        </w:rPr>
        <w:t>1</w:t>
      </w:r>
    </w:p>
    <w:p w14:paraId="3F4E7E06" w14:textId="5DBF1D05" w:rsidR="005F2578" w:rsidRPr="00F00793" w:rsidRDefault="005F2578" w:rsidP="004173F7">
      <w:pPr>
        <w:pStyle w:val="AnnexNotitle0"/>
        <w:spacing w:before="360" w:after="840"/>
        <w:rPr>
          <w:rFonts w:asciiTheme="minorHAnsi" w:hAnsiTheme="minorHAnsi" w:cstheme="minorHAnsi"/>
        </w:rPr>
      </w:pPr>
      <w:bookmarkStart w:id="0" w:name="_GoBack"/>
      <w:bookmarkEnd w:id="0"/>
      <w:r w:rsidRPr="00C93087">
        <w:br w:type="page"/>
      </w:r>
      <w:r w:rsidRPr="00F00793">
        <w:rPr>
          <w:rFonts w:asciiTheme="minorHAnsi" w:hAnsiTheme="minorHAnsi" w:cstheme="minorHAnsi"/>
        </w:rPr>
        <w:lastRenderedPageBreak/>
        <w:t xml:space="preserve">Anexo </w:t>
      </w:r>
      <w:r w:rsidRPr="00F00793">
        <w:rPr>
          <w:rFonts w:asciiTheme="minorHAnsi" w:hAnsiTheme="minorHAnsi" w:cstheme="minorHAnsi"/>
          <w:bCs/>
        </w:rPr>
        <w:br/>
      </w:r>
      <w:r w:rsidRPr="00F00793">
        <w:rPr>
          <w:rFonts w:asciiTheme="minorHAnsi" w:hAnsiTheme="minorHAnsi" w:cstheme="minorHAnsi"/>
          <w:bCs/>
        </w:rPr>
        <w:br/>
      </w:r>
      <w:r w:rsidRPr="00646051">
        <w:rPr>
          <w:rFonts w:asciiTheme="minorHAnsi" w:hAnsiTheme="minorHAnsi" w:cstheme="minorHAnsi"/>
        </w:rPr>
        <w:t xml:space="preserve">Títulos de las </w:t>
      </w:r>
      <w:r w:rsidRPr="00646051">
        <w:rPr>
          <w:rFonts w:asciiTheme="minorHAnsi" w:hAnsiTheme="minorHAnsi" w:cstheme="minorHAnsi"/>
          <w:bCs/>
        </w:rPr>
        <w:t>Recomendaci</w:t>
      </w:r>
      <w:r w:rsidR="00646051" w:rsidRPr="00646051">
        <w:rPr>
          <w:rFonts w:asciiTheme="minorHAnsi" w:hAnsiTheme="minorHAnsi" w:cstheme="minorHAnsi"/>
          <w:bCs/>
        </w:rPr>
        <w:t>o</w:t>
      </w:r>
      <w:r w:rsidRPr="00646051">
        <w:rPr>
          <w:rFonts w:asciiTheme="minorHAnsi" w:hAnsiTheme="minorHAnsi" w:cstheme="minorHAnsi"/>
          <w:bCs/>
        </w:rPr>
        <w:t>nes</w:t>
      </w:r>
      <w:r w:rsidRPr="00646051">
        <w:rPr>
          <w:rFonts w:asciiTheme="minorHAnsi" w:hAnsiTheme="minorHAnsi" w:cstheme="minorHAnsi"/>
        </w:rPr>
        <w:t xml:space="preserve"> UIT-R aprobadas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954"/>
        <w:gridCol w:w="1984"/>
      </w:tblGrid>
      <w:tr w:rsidR="00CD3002" w:rsidRPr="00F00793" w14:paraId="4F17044F" w14:textId="2099AFDE" w:rsidTr="00646051">
        <w:trPr>
          <w:jc w:val="center"/>
        </w:trPr>
        <w:tc>
          <w:tcPr>
            <w:tcW w:w="1696" w:type="dxa"/>
            <w:vAlign w:val="center"/>
          </w:tcPr>
          <w:p w14:paraId="019FCCF7" w14:textId="77777777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F00793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5954" w:type="dxa"/>
            <w:vAlign w:val="center"/>
          </w:tcPr>
          <w:p w14:paraId="6A86C3EB" w14:textId="77777777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1984" w:type="dxa"/>
            <w:vAlign w:val="center"/>
          </w:tcPr>
          <w:p w14:paraId="42FC995C" w14:textId="336162DB" w:rsidR="00CD3002" w:rsidRPr="00F00793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F00793">
              <w:rPr>
                <w:rFonts w:asciiTheme="minorHAnsi" w:hAnsiTheme="minorHAnsi" w:cstheme="minorHAnsi"/>
                <w:lang w:val="es-ES_tradnl"/>
              </w:rPr>
              <w:t xml:space="preserve">Doc. </w:t>
            </w:r>
            <w:r w:rsidR="009E00B9" w:rsidRPr="00F00793">
              <w:rPr>
                <w:rFonts w:asciiTheme="minorHAnsi" w:hAnsiTheme="minorHAnsi" w:cstheme="minorHAnsi"/>
                <w:lang w:val="es-ES_tradnl"/>
              </w:rPr>
              <w:t>núm</w:t>
            </w:r>
            <w:r w:rsidRPr="00F0079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</w:tr>
      <w:tr w:rsidR="00CD3002" w:rsidRPr="00F00793" w14:paraId="706AB9F6" w14:textId="6F9443B9" w:rsidTr="00646051">
        <w:trPr>
          <w:jc w:val="center"/>
        </w:trPr>
        <w:tc>
          <w:tcPr>
            <w:tcW w:w="1696" w:type="dxa"/>
          </w:tcPr>
          <w:p w14:paraId="410D2C42" w14:textId="6E45C298" w:rsidR="00CD3002" w:rsidRPr="00646051" w:rsidRDefault="00646051" w:rsidP="00646051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646051">
              <w:rPr>
                <w:lang w:val="es-ES_tradnl"/>
              </w:rPr>
              <w:t>M.1787-</w:t>
            </w:r>
            <w:r w:rsidR="004173F7">
              <w:rPr>
                <w:lang w:val="es-ES_tradnl"/>
              </w:rPr>
              <w:t>4</w:t>
            </w:r>
          </w:p>
        </w:tc>
        <w:tc>
          <w:tcPr>
            <w:tcW w:w="5954" w:type="dxa"/>
          </w:tcPr>
          <w:p w14:paraId="3167A67C" w14:textId="413F73B2" w:rsidR="00CD3002" w:rsidRPr="00F00793" w:rsidRDefault="00646051" w:rsidP="00646051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302EC8">
              <w:rPr>
                <w:lang w:val="es-ES_tradnl"/>
              </w:rPr>
              <w:t>Descripción de sistemas y redes del servicio de radionavegación por satélite (espacio-Tierra y espacio-espacio) y características técnicas de estaciones espaciales transmisoras que funcionan en las bandas 1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164-1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215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MHz, 1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215</w:t>
            </w:r>
            <w:r>
              <w:rPr>
                <w:lang w:val="es-ES_tradnl"/>
              </w:rPr>
              <w:noBreakHyphen/>
            </w:r>
            <w:r w:rsidRPr="00302EC8">
              <w:rPr>
                <w:lang w:val="es-ES_tradnl"/>
              </w:rPr>
              <w:t>1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300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MHz y 1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559-1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610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MHz</w:t>
            </w:r>
          </w:p>
        </w:tc>
        <w:tc>
          <w:tcPr>
            <w:tcW w:w="1984" w:type="dxa"/>
          </w:tcPr>
          <w:p w14:paraId="25F7003A" w14:textId="7DE27B22" w:rsidR="00CD3002" w:rsidRPr="004173F7" w:rsidRDefault="00646051" w:rsidP="004173F7">
            <w:pPr>
              <w:tabs>
                <w:tab w:val="left" w:pos="7938"/>
              </w:tabs>
              <w:spacing w:before="40"/>
              <w:jc w:val="center"/>
              <w:rPr>
                <w:rFonts w:asciiTheme="minorHAnsi" w:hAnsiTheme="minorHAnsi" w:cstheme="minorHAnsi"/>
                <w:sz w:val="20"/>
                <w:szCs w:val="18"/>
                <w:lang w:val="es-ES_tradnl"/>
              </w:rPr>
            </w:pPr>
            <w:r w:rsidRPr="004173F7">
              <w:rPr>
                <w:sz w:val="20"/>
                <w:szCs w:val="18"/>
                <w:lang w:val="es-ES_tradnl"/>
              </w:rPr>
              <w:t>4/28(Rev.1)</w:t>
            </w:r>
          </w:p>
        </w:tc>
      </w:tr>
      <w:tr w:rsidR="00646051" w:rsidRPr="00F00793" w14:paraId="53355D0C" w14:textId="77777777" w:rsidTr="00646051">
        <w:trPr>
          <w:jc w:val="center"/>
        </w:trPr>
        <w:tc>
          <w:tcPr>
            <w:tcW w:w="1696" w:type="dxa"/>
          </w:tcPr>
          <w:p w14:paraId="4DBFEB9D" w14:textId="7013B428" w:rsidR="00646051" w:rsidRPr="00646051" w:rsidRDefault="00646051" w:rsidP="00DF7981">
            <w:pPr>
              <w:pStyle w:val="Tabletext"/>
              <w:jc w:val="center"/>
              <w:rPr>
                <w:lang w:val="es-ES_tradnl"/>
              </w:rPr>
            </w:pPr>
            <w:r w:rsidRPr="00646051">
              <w:rPr>
                <w:lang w:val="es-ES_tradnl"/>
              </w:rPr>
              <w:t>M.1902-2</w:t>
            </w:r>
          </w:p>
        </w:tc>
        <w:tc>
          <w:tcPr>
            <w:tcW w:w="5954" w:type="dxa"/>
          </w:tcPr>
          <w:p w14:paraId="56BEC318" w14:textId="5892FF0A" w:rsidR="00646051" w:rsidRPr="00302EC8" w:rsidRDefault="00646051" w:rsidP="00646051">
            <w:pPr>
              <w:pStyle w:val="Tabletext"/>
              <w:rPr>
                <w:lang w:val="es-ES_tradnl"/>
              </w:rPr>
            </w:pPr>
            <w:r w:rsidRPr="00302EC8">
              <w:rPr>
                <w:lang w:val="es-ES_tradnl"/>
              </w:rPr>
              <w:t>Características y criterios de protección de las estaciones terrenas receptoras del servicio de radionavegación por satélite (espacio-Tierra) que funcionan en la banda 1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215-1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300</w:t>
            </w:r>
            <w:r>
              <w:rPr>
                <w:lang w:val="es-ES_tradnl"/>
              </w:rPr>
              <w:t> </w:t>
            </w:r>
            <w:r w:rsidRPr="00302EC8">
              <w:rPr>
                <w:lang w:val="es-ES_tradnl"/>
              </w:rPr>
              <w:t>MHz</w:t>
            </w:r>
          </w:p>
        </w:tc>
        <w:tc>
          <w:tcPr>
            <w:tcW w:w="1984" w:type="dxa"/>
          </w:tcPr>
          <w:p w14:paraId="6F4F607C" w14:textId="1A4F0684" w:rsidR="00646051" w:rsidRPr="004173F7" w:rsidRDefault="00646051" w:rsidP="00646051">
            <w:pPr>
              <w:tabs>
                <w:tab w:val="left" w:pos="7938"/>
              </w:tabs>
              <w:spacing w:before="40"/>
              <w:jc w:val="center"/>
              <w:rPr>
                <w:sz w:val="20"/>
                <w:szCs w:val="18"/>
                <w:lang w:val="es-ES_tradnl"/>
              </w:rPr>
            </w:pPr>
            <w:r w:rsidRPr="004173F7">
              <w:rPr>
                <w:sz w:val="20"/>
                <w:szCs w:val="18"/>
                <w:lang w:val="es-ES_tradnl"/>
              </w:rPr>
              <w:t>4/30(Rev.1)</w:t>
            </w:r>
          </w:p>
        </w:tc>
      </w:tr>
    </w:tbl>
    <w:p w14:paraId="6239DAAA" w14:textId="77777777" w:rsidR="005F2578" w:rsidRPr="00F00793" w:rsidRDefault="005F2578" w:rsidP="00E93ACC">
      <w:pPr>
        <w:rPr>
          <w:rFonts w:asciiTheme="minorHAnsi" w:hAnsiTheme="minorHAnsi" w:cstheme="minorHAnsi"/>
          <w:lang w:val="es-ES_tradnl"/>
        </w:rPr>
      </w:pPr>
    </w:p>
    <w:p w14:paraId="337CF312" w14:textId="77777777" w:rsidR="008B037E" w:rsidRPr="00F00793" w:rsidRDefault="008B037E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5B85D6D3" w14:textId="77777777" w:rsidR="008B037E" w:rsidRPr="00F00793" w:rsidRDefault="008B037E">
      <w:pPr>
        <w:jc w:val="center"/>
        <w:rPr>
          <w:rFonts w:asciiTheme="minorHAnsi" w:hAnsiTheme="minorHAnsi" w:cstheme="minorHAnsi"/>
          <w:lang w:val="es-ES_tradnl"/>
        </w:rPr>
      </w:pPr>
      <w:r w:rsidRPr="00F00793">
        <w:rPr>
          <w:rFonts w:asciiTheme="minorHAnsi" w:hAnsiTheme="minorHAnsi" w:cstheme="minorHAnsi"/>
          <w:lang w:val="es-ES_tradnl"/>
        </w:rPr>
        <w:t>______________</w:t>
      </w:r>
    </w:p>
    <w:sectPr w:rsidR="008B037E" w:rsidRPr="00F0079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03D4" w14:textId="77777777" w:rsidR="005F2578" w:rsidRDefault="005F2578">
      <w:r>
        <w:separator/>
      </w:r>
    </w:p>
  </w:endnote>
  <w:endnote w:type="continuationSeparator" w:id="0">
    <w:p w14:paraId="03F8D722" w14:textId="77777777"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17D5" w14:textId="46EE0686" w:rsidR="00A80EFE" w:rsidRPr="000F4463" w:rsidRDefault="000F4463" w:rsidP="000F446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 • 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2801" w14:textId="77777777" w:rsidR="005F2578" w:rsidRDefault="005F2578">
      <w:r>
        <w:t>____________________</w:t>
      </w:r>
    </w:p>
  </w:footnote>
  <w:footnote w:type="continuationSeparator" w:id="0">
    <w:p w14:paraId="16289ADE" w14:textId="77777777"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0EE7" w14:textId="012CD40A" w:rsidR="00E915AF" w:rsidRPr="00D239B4" w:rsidRDefault="00D97EF5" w:rsidP="000F446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A489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7D97" w14:textId="77777777"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6B6CE6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9556" w14:textId="77777777" w:rsidR="00CD3002" w:rsidRPr="00A52F57" w:rsidRDefault="00CD3002" w:rsidP="00CD3002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7A39D53D" wp14:editId="17B66C90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0E503" w14:textId="77777777"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4463"/>
    <w:rsid w:val="00100B72"/>
    <w:rsid w:val="00101F7D"/>
    <w:rsid w:val="00103C76"/>
    <w:rsid w:val="0011265F"/>
    <w:rsid w:val="00117282"/>
    <w:rsid w:val="00117389"/>
    <w:rsid w:val="00121C2D"/>
    <w:rsid w:val="001266A3"/>
    <w:rsid w:val="00134404"/>
    <w:rsid w:val="00144DFB"/>
    <w:rsid w:val="0017792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37D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60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2092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73F7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7158"/>
    <w:rsid w:val="004F178E"/>
    <w:rsid w:val="004F4543"/>
    <w:rsid w:val="004F57BB"/>
    <w:rsid w:val="00500749"/>
    <w:rsid w:val="00505309"/>
    <w:rsid w:val="0050789B"/>
    <w:rsid w:val="005224A1"/>
    <w:rsid w:val="00534372"/>
    <w:rsid w:val="0053543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36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E5EB3"/>
    <w:rsid w:val="005F2578"/>
    <w:rsid w:val="005F3CB6"/>
    <w:rsid w:val="005F657C"/>
    <w:rsid w:val="00602D53"/>
    <w:rsid w:val="006047E5"/>
    <w:rsid w:val="0064371D"/>
    <w:rsid w:val="00646051"/>
    <w:rsid w:val="00650543"/>
    <w:rsid w:val="00650B2A"/>
    <w:rsid w:val="00651777"/>
    <w:rsid w:val="006550F8"/>
    <w:rsid w:val="006829F3"/>
    <w:rsid w:val="006A518B"/>
    <w:rsid w:val="006A68FB"/>
    <w:rsid w:val="006B0590"/>
    <w:rsid w:val="006B49DA"/>
    <w:rsid w:val="006B6CE6"/>
    <w:rsid w:val="006C53F8"/>
    <w:rsid w:val="006C60A0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ADB"/>
    <w:rsid w:val="009B3F43"/>
    <w:rsid w:val="009B5CFA"/>
    <w:rsid w:val="009C0329"/>
    <w:rsid w:val="009C161F"/>
    <w:rsid w:val="009C56B4"/>
    <w:rsid w:val="009D51A2"/>
    <w:rsid w:val="009D604E"/>
    <w:rsid w:val="009E00B9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512A"/>
    <w:rsid w:val="00A63355"/>
    <w:rsid w:val="00A7596D"/>
    <w:rsid w:val="00A80EFE"/>
    <w:rsid w:val="00A963DF"/>
    <w:rsid w:val="00A96D3A"/>
    <w:rsid w:val="00AC0C22"/>
    <w:rsid w:val="00AC36B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0ED8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1779"/>
    <w:rsid w:val="00CA3F44"/>
    <w:rsid w:val="00CA4E58"/>
    <w:rsid w:val="00CB3771"/>
    <w:rsid w:val="00CB44BF"/>
    <w:rsid w:val="00CB5153"/>
    <w:rsid w:val="00CD3002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00793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A4894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3F11D3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link w:val="Header"/>
    <w:rsid w:val="00CD3002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3F36"/>
    <w:rPr>
      <w:color w:val="808080"/>
    </w:rPr>
  </w:style>
  <w:style w:type="character" w:customStyle="1" w:styleId="Style1">
    <w:name w:val="Style1"/>
    <w:basedOn w:val="DefaultParagraphFont"/>
    <w:uiPriority w:val="1"/>
    <w:rsid w:val="009E00B9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9E00B9"/>
    <w:rPr>
      <w:rFonts w:ascii="Calibri" w:hAnsi="Calibri"/>
      <w:b/>
      <w:sz w:val="24"/>
    </w:rPr>
  </w:style>
  <w:style w:type="character" w:customStyle="1" w:styleId="RectitleChar">
    <w:name w:val="Rec_title Char"/>
    <w:basedOn w:val="DefaultParagraphFont"/>
    <w:link w:val="Rectitle"/>
    <w:rsid w:val="00646051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8E3B-99E8-4D56-BD37-E6A5ED69EF23}"/>
      </w:docPartPr>
      <w:docPartBody>
        <w:p w:rsidR="00623B24" w:rsidRDefault="002C0745" w:rsidP="002C0745">
          <w:pPr>
            <w:pStyle w:val="DefaultPlaceholder1081868576"/>
          </w:pPr>
          <w:r>
            <w:rPr>
              <w:bCs/>
              <w:szCs w:val="24"/>
              <w:lang w:val="es-ES_tradnl"/>
            </w:rPr>
            <w:t>día de mes de año</w:t>
          </w:r>
        </w:p>
      </w:docPartBody>
    </w:docPart>
    <w:docPart>
      <w:docPartPr>
        <w:name w:val="E9FA628000C142B298CF2DAFCB79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0776-2F52-4B03-823E-DA082DAFBA58}"/>
      </w:docPartPr>
      <w:docPartBody>
        <w:p w:rsidR="0031063F" w:rsidRDefault="00543674" w:rsidP="00543674">
          <w:pPr>
            <w:pStyle w:val="E9FA628000C142B298CF2DAFCB798D10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F019FE24E433441FA7D5D9FC8DF2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7908-E4B0-48E7-A5FC-F5CEFE4C3624}"/>
      </w:docPartPr>
      <w:docPartBody>
        <w:p w:rsidR="0031063F" w:rsidRDefault="00543674" w:rsidP="00543674">
          <w:pPr>
            <w:pStyle w:val="F019FE24E433441FA7D5D9FC8DF29461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CC"/>
    <w:rsid w:val="002C0745"/>
    <w:rsid w:val="0031063F"/>
    <w:rsid w:val="00543674"/>
    <w:rsid w:val="00623B24"/>
    <w:rsid w:val="00E0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745"/>
    <w:rPr>
      <w:color w:val="808080"/>
    </w:rPr>
  </w:style>
  <w:style w:type="paragraph" w:customStyle="1" w:styleId="E9FA628000C142B298CF2DAFCB798D10">
    <w:name w:val="E9FA628000C142B298CF2DAFCB798D10"/>
    <w:rsid w:val="00543674"/>
  </w:style>
  <w:style w:type="paragraph" w:customStyle="1" w:styleId="F019FE24E433441FA7D5D9FC8DF29461">
    <w:name w:val="F019FE24E433441FA7D5D9FC8DF29461"/>
    <w:rsid w:val="00543674"/>
  </w:style>
  <w:style w:type="paragraph" w:customStyle="1" w:styleId="DefaultPlaceholder1081868576">
    <w:name w:val="DefaultPlaceholder_1081868576"/>
    <w:rsid w:val="002C07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F9FA-0E4A-4701-8DD8-5312EC6D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51</TotalTime>
  <Pages>2</Pages>
  <Words>232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14</cp:revision>
  <cp:lastPrinted>2020-02-03T10:14:00Z</cp:lastPrinted>
  <dcterms:created xsi:type="dcterms:W3CDTF">2020-02-06T13:19:00Z</dcterms:created>
  <dcterms:modified xsi:type="dcterms:W3CDTF">2022-01-28T16:09:00Z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