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45D5EE9" w14:textId="77777777" w:rsidTr="00153E23">
        <w:tc>
          <w:tcPr>
            <w:tcW w:w="5000" w:type="pct"/>
            <w:gridSpan w:val="3"/>
            <w:shd w:val="clear" w:color="auto" w:fill="auto"/>
          </w:tcPr>
          <w:p w14:paraId="0DFBDFE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2C89734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4C0379F" w14:textId="77777777" w:rsidTr="00153E23">
        <w:tc>
          <w:tcPr>
            <w:tcW w:w="2707" w:type="pct"/>
            <w:gridSpan w:val="2"/>
            <w:shd w:val="clear" w:color="auto" w:fill="auto"/>
          </w:tcPr>
          <w:p w14:paraId="7D0EF33F" w14:textId="2BC817CB" w:rsidR="000F7BBE" w:rsidRPr="000F7BBE" w:rsidRDefault="000F7BBE" w:rsidP="00487ADF">
            <w:pPr>
              <w:spacing w:before="80" w:line="300" w:lineRule="exact"/>
              <w:rPr>
                <w:position w:val="2"/>
                <w:lang w:bidi="ar-EG"/>
              </w:rPr>
            </w:pPr>
            <w:r w:rsidRPr="00AF29C4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196B996" w14:textId="32B8AFDB" w:rsidR="000F7BBE" w:rsidRPr="000F7BBE" w:rsidRDefault="000F7BBE" w:rsidP="00487ADF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AF29C4">
              <w:rPr>
                <w:b/>
                <w:bCs/>
                <w:position w:val="2"/>
                <w:lang w:bidi="ar-EG"/>
              </w:rPr>
              <w:t>1004</w:t>
            </w:r>
          </w:p>
        </w:tc>
        <w:tc>
          <w:tcPr>
            <w:tcW w:w="2293" w:type="pct"/>
            <w:shd w:val="clear" w:color="auto" w:fill="auto"/>
          </w:tcPr>
          <w:p w14:paraId="4E5A9984" w14:textId="1E4A0961" w:rsidR="000F7BBE" w:rsidRPr="00AF29C4" w:rsidRDefault="00AF29C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AF29C4">
              <w:rPr>
                <w:position w:val="2"/>
                <w:lang w:val="fr-FR" w:bidi="ar-EG"/>
              </w:rPr>
              <w:t>26</w:t>
            </w:r>
            <w:r w:rsidR="00F16820" w:rsidRPr="00AF29C4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AF29C4">
              <w:rPr>
                <w:rFonts w:hint="cs"/>
                <w:position w:val="2"/>
                <w:rtl/>
                <w:lang w:bidi="ar-SY"/>
              </w:rPr>
              <w:t>نوفمبر</w:t>
            </w:r>
            <w:r w:rsidR="000F7BBE" w:rsidRPr="00AF29C4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AF29C4">
              <w:rPr>
                <w:position w:val="2"/>
                <w:lang w:bidi="ar-EG"/>
              </w:rPr>
              <w:t>202</w:t>
            </w:r>
            <w:r w:rsidR="006515C3" w:rsidRPr="00AF29C4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0EAEFE10" w14:textId="77777777" w:rsidTr="00153E23">
        <w:tc>
          <w:tcPr>
            <w:tcW w:w="5000" w:type="pct"/>
            <w:gridSpan w:val="3"/>
            <w:shd w:val="clear" w:color="auto" w:fill="auto"/>
          </w:tcPr>
          <w:p w14:paraId="5D2279FE" w14:textId="77777777" w:rsidR="000F7BBE" w:rsidRPr="000F7BBE" w:rsidRDefault="000F7BBE" w:rsidP="00B56FD3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6715F87C" w14:textId="77777777" w:rsidTr="00153E23">
        <w:tc>
          <w:tcPr>
            <w:tcW w:w="5000" w:type="pct"/>
            <w:gridSpan w:val="3"/>
            <w:shd w:val="clear" w:color="auto" w:fill="auto"/>
          </w:tcPr>
          <w:p w14:paraId="6A5557CB" w14:textId="77777777" w:rsidR="000F7BBE" w:rsidRPr="000F7BBE" w:rsidRDefault="000F7BBE" w:rsidP="00B56FD3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7893C5" w14:textId="77777777" w:rsidTr="00153E23">
        <w:tc>
          <w:tcPr>
            <w:tcW w:w="5000" w:type="pct"/>
            <w:gridSpan w:val="3"/>
            <w:shd w:val="clear" w:color="auto" w:fill="auto"/>
          </w:tcPr>
          <w:p w14:paraId="50EAA2E9" w14:textId="20ABBB8E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AF29C4">
              <w:rPr>
                <w:b/>
                <w:bCs/>
                <w:position w:val="2"/>
                <w:lang w:val="en-GB" w:bidi="ar-EG"/>
              </w:rPr>
              <w:t>4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6B961DE" w14:textId="77777777" w:rsidTr="00153E23">
        <w:tc>
          <w:tcPr>
            <w:tcW w:w="5000" w:type="pct"/>
            <w:gridSpan w:val="3"/>
            <w:shd w:val="clear" w:color="auto" w:fill="auto"/>
          </w:tcPr>
          <w:p w14:paraId="30C9BF37" w14:textId="77777777" w:rsidR="000F7BBE" w:rsidRPr="000F7BBE" w:rsidRDefault="000F7BBE" w:rsidP="00B56FD3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39482B" w14:textId="77777777" w:rsidTr="00153E23">
        <w:tc>
          <w:tcPr>
            <w:tcW w:w="5000" w:type="pct"/>
            <w:gridSpan w:val="3"/>
            <w:shd w:val="clear" w:color="auto" w:fill="auto"/>
          </w:tcPr>
          <w:p w14:paraId="50EC6707" w14:textId="77777777" w:rsidR="000F7BBE" w:rsidRPr="000F7BBE" w:rsidRDefault="000F7BBE" w:rsidP="00B56FD3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BAA1F3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8925E2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233EC44" w14:textId="724E4AA7" w:rsidR="000F7BBE" w:rsidRPr="000F7BBE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AF29C4">
              <w:rPr>
                <w:b/>
                <w:bCs/>
                <w:position w:val="2"/>
                <w:lang w:bidi="ar-EG"/>
              </w:rPr>
              <w:t>4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487ADF">
              <w:rPr>
                <w:rFonts w:hint="cs"/>
                <w:b/>
                <w:bCs/>
                <w:position w:val="2"/>
                <w:rtl/>
                <w:lang w:bidi="ar-EG"/>
              </w:rPr>
              <w:t>(الخدمات الساتلية)</w:t>
            </w:r>
          </w:p>
          <w:p w14:paraId="54D6B351" w14:textId="7C4653F1" w:rsidR="000F7BBE" w:rsidRPr="000F7BBE" w:rsidRDefault="00150DB9" w:rsidP="00AF29C4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 w:rsidR="00AF29C4" w:rsidRPr="00AF29C4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="00AF29C4" w:rsidRPr="00AF29C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>اعتماد</w:t>
            </w:r>
            <w:r w:rsidR="00AF29C4" w:rsidRPr="00AF29C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487ADF">
              <w:rPr>
                <w:rFonts w:hint="cs"/>
                <w:b/>
                <w:bCs/>
                <w:position w:val="2"/>
                <w:rtl/>
                <w:lang w:bidi="ar-EG"/>
              </w:rPr>
              <w:t>مشاريع</w:t>
            </w:r>
            <w:r w:rsidR="00487ADF">
              <w:rPr>
                <w:rFonts w:hint="cs"/>
                <w:b/>
                <w:bCs/>
                <w:position w:val="2"/>
                <w:rtl/>
              </w:rPr>
              <w:t xml:space="preserve"> مراجعة </w:t>
            </w:r>
            <w:r w:rsidR="00487ADF">
              <w:rPr>
                <w:b/>
                <w:bCs/>
                <w:position w:val="2"/>
              </w:rPr>
              <w:t>3</w:t>
            </w:r>
            <w:r w:rsidR="00AF29C4" w:rsidRPr="00AF29C4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487ADF">
              <w:rPr>
                <w:rFonts w:hint="cs"/>
                <w:b/>
                <w:bCs/>
                <w:position w:val="2"/>
                <w:rtl/>
              </w:rPr>
              <w:t>توصيات</w:t>
            </w:r>
            <w:r w:rsidR="00AF29C4" w:rsidRPr="00AF29C4">
              <w:rPr>
                <w:rFonts w:hint="cs"/>
                <w:b/>
                <w:bCs/>
                <w:position w:val="2"/>
                <w:rtl/>
              </w:rPr>
              <w:t xml:space="preserve"> لقطاع الاتصالات الراديوية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 xml:space="preserve"> والموافقة عليها في</w:t>
            </w:r>
            <w:r w:rsidR="00AF29C4" w:rsidRPr="00AF29C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>نفس الوقت</w:t>
            </w:r>
            <w:r w:rsidR="00AF29C4" w:rsidRPr="00AF29C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بالمراسلة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 xml:space="preserve"> وفقاً للفقرة</w:t>
            </w:r>
            <w:r w:rsidR="00AF29C4" w:rsidRPr="00AF29C4">
              <w:rPr>
                <w:rFonts w:hint="cs"/>
                <w:b/>
                <w:bCs/>
                <w:position w:val="2"/>
                <w:rtl/>
                <w:lang w:bidi="ar-EG"/>
              </w:rPr>
              <w:t> </w:t>
            </w:r>
            <w:r w:rsidR="00AF29C4" w:rsidRPr="00AF29C4">
              <w:rPr>
                <w:b/>
                <w:bCs/>
                <w:position w:val="2"/>
                <w:lang w:val="fr-FR" w:bidi="ar-EG"/>
              </w:rPr>
              <w:t>4.2.6.A2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="00AF29C4" w:rsidRPr="00AF29C4">
              <w:rPr>
                <w:b/>
                <w:bCs/>
                <w:position w:val="2"/>
                <w:lang w:val="fr-FR" w:bidi="ar-EG"/>
              </w:rPr>
              <w:t>ITU-R 1-8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="00AF29C4" w:rsidRPr="00AF29C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 xml:space="preserve">نفس الوقت </w:t>
            </w:r>
            <w:r w:rsidR="00AF29C4" w:rsidRPr="00AF29C4">
              <w:rPr>
                <w:rFonts w:hint="cs"/>
                <w:b/>
                <w:bCs/>
                <w:position w:val="2"/>
                <w:rtl/>
                <w:lang w:bidi="ar-EG"/>
              </w:rPr>
              <w:t>عن طريق المراسلة</w:t>
            </w:r>
            <w:r w:rsidR="00AF29C4" w:rsidRPr="00AF29C4">
              <w:rPr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32BE423A" w14:textId="77777777" w:rsidR="00CB371C" w:rsidRPr="00CB371C" w:rsidRDefault="00CB371C" w:rsidP="00CB371C">
      <w:pPr>
        <w:spacing w:before="360"/>
        <w:rPr>
          <w:rtl/>
          <w:lang w:bidi="ar-EG"/>
        </w:rPr>
      </w:pPr>
      <w:r w:rsidRPr="00CB371C">
        <w:rPr>
          <w:rFonts w:hint="cs"/>
          <w:rtl/>
          <w:lang w:bidi="ar-EG"/>
        </w:rPr>
        <w:t>تحية طيبة وبعد،</w:t>
      </w:r>
    </w:p>
    <w:p w14:paraId="4F8C4252" w14:textId="55ACEDD3" w:rsidR="00CB371C" w:rsidRDefault="00CB371C" w:rsidP="00CB371C">
      <w:pPr>
        <w:rPr>
          <w:rtl/>
          <w:lang w:bidi="ar-EG"/>
        </w:rPr>
      </w:pPr>
      <w:r w:rsidRPr="00E071D0">
        <w:rPr>
          <w:rtl/>
          <w:lang w:bidi="ar-EG"/>
        </w:rPr>
        <w:t>قررت لجنة الدراسات</w:t>
      </w:r>
      <w:r w:rsidRPr="00E071D0">
        <w:rPr>
          <w:rFonts w:hint="cs"/>
          <w:rtl/>
          <w:lang w:bidi="ar-EG"/>
        </w:rPr>
        <w:t> </w:t>
      </w:r>
      <w:r>
        <w:rPr>
          <w:lang w:val="en-GB" w:bidi="ar-EG"/>
        </w:rPr>
        <w:t>4</w:t>
      </w:r>
      <w:r w:rsidRPr="00E071D0">
        <w:rPr>
          <w:rtl/>
          <w:lang w:bidi="ar-EG"/>
        </w:rPr>
        <w:t xml:space="preserve"> للاتصالات الراديوية في اجتماعها</w:t>
      </w:r>
      <w:r w:rsidR="00BF6D1D">
        <w:rPr>
          <w:rFonts w:hint="cs"/>
          <w:rtl/>
        </w:rPr>
        <w:t xml:space="preserve"> الذي عُقد</w:t>
      </w:r>
      <w:r w:rsidRPr="00E071D0">
        <w:rPr>
          <w:rtl/>
          <w:lang w:bidi="ar-EG"/>
        </w:rPr>
        <w:t xml:space="preserve"> </w:t>
      </w:r>
      <w:r w:rsidRPr="00E071D0">
        <w:rPr>
          <w:rFonts w:hint="cs"/>
          <w:rtl/>
          <w:lang w:bidi="ar-EG"/>
        </w:rPr>
        <w:t xml:space="preserve">في </w:t>
      </w:r>
      <w:r w:rsidRPr="00CB371C">
        <w:rPr>
          <w:lang w:bidi="ar-EG"/>
        </w:rPr>
        <w:t>5</w:t>
      </w:r>
      <w:r w:rsidRPr="00CB371C">
        <w:rPr>
          <w:rFonts w:hint="eastAsia"/>
          <w:rtl/>
          <w:lang w:bidi="ar-EG"/>
        </w:rPr>
        <w:t> </w:t>
      </w:r>
      <w:r w:rsidRPr="00CB371C">
        <w:rPr>
          <w:rFonts w:hint="cs"/>
          <w:rtl/>
          <w:lang w:bidi="ar-EG"/>
        </w:rPr>
        <w:t>نوفمبر</w:t>
      </w:r>
      <w:r w:rsidRPr="00CB371C">
        <w:rPr>
          <w:rFonts w:hint="eastAsia"/>
          <w:rtl/>
          <w:lang w:bidi="ar-EG"/>
        </w:rPr>
        <w:t> </w:t>
      </w:r>
      <w:r>
        <w:rPr>
          <w:lang w:bidi="ar-EG"/>
        </w:rPr>
        <w:t>2021</w:t>
      </w:r>
      <w:r w:rsidRPr="00E071D0">
        <w:rPr>
          <w:rtl/>
          <w:lang w:bidi="ar-EG"/>
        </w:rPr>
        <w:t xml:space="preserve"> أن تلتمس اعتماد </w:t>
      </w:r>
      <w:r w:rsidR="00487ADF">
        <w:rPr>
          <w:rFonts w:hint="cs"/>
          <w:rtl/>
          <w:lang w:bidi="ar-EG"/>
        </w:rPr>
        <w:t>مشاريع</w:t>
      </w:r>
      <w:r w:rsidRPr="008D3F8E">
        <w:rPr>
          <w:rFonts w:hint="cs"/>
          <w:rtl/>
          <w:lang w:bidi="ar-EG"/>
        </w:rPr>
        <w:t xml:space="preserve"> مراج</w:t>
      </w:r>
      <w:r>
        <w:rPr>
          <w:rFonts w:hint="cs"/>
          <w:rtl/>
          <w:lang w:bidi="ar-EG"/>
        </w:rPr>
        <w:t>َ</w:t>
      </w:r>
      <w:r w:rsidRPr="008D3F8E">
        <w:rPr>
          <w:rFonts w:hint="cs"/>
          <w:rtl/>
          <w:lang w:bidi="ar-EG"/>
        </w:rPr>
        <w:t xml:space="preserve">عة </w:t>
      </w:r>
      <w:r w:rsidR="00487ADF">
        <w:rPr>
          <w:lang w:bidi="ar-EG"/>
        </w:rPr>
        <w:t>3</w:t>
      </w:r>
      <w:r w:rsidR="00487ADF">
        <w:rPr>
          <w:rFonts w:hint="eastAsia"/>
          <w:rtl/>
          <w:lang w:bidi="ar-EG"/>
        </w:rPr>
        <w:t> </w:t>
      </w:r>
      <w:r w:rsidR="00487ADF">
        <w:rPr>
          <w:rFonts w:hint="cs"/>
          <w:rtl/>
          <w:lang w:bidi="ar-EG"/>
        </w:rPr>
        <w:t>توصيات</w:t>
      </w:r>
      <w:r w:rsidRPr="008D3F8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8D3F8E">
        <w:rPr>
          <w:rFonts w:hint="cs"/>
          <w:rtl/>
          <w:lang w:bidi="ar-EG"/>
        </w:rPr>
        <w:t>عن طريق المراسلة (الفقرة</w:t>
      </w:r>
      <w:r w:rsidRPr="008D3F8E">
        <w:rPr>
          <w:rFonts w:hint="eastAsia"/>
          <w:rtl/>
          <w:lang w:bidi="ar-EG"/>
        </w:rPr>
        <w:t> </w:t>
      </w:r>
      <w:r>
        <w:t>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8</w:t>
      </w:r>
      <w:r w:rsidRPr="008D3F8E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D3F8E">
        <w:rPr>
          <w:rFonts w:hint="eastAsia"/>
          <w:rtl/>
          <w:lang w:bidi="ar-EG"/>
        </w:rPr>
        <w:t> </w:t>
      </w:r>
      <w:r w:rsidRPr="008D3F8E">
        <w:t>(PSAA)</w:t>
      </w:r>
      <w:r w:rsidRPr="008D3F8E">
        <w:rPr>
          <w:rFonts w:hint="cs"/>
          <w:rtl/>
          <w:lang w:bidi="ar-EG"/>
        </w:rPr>
        <w:t xml:space="preserve"> (الفقرة </w:t>
      </w:r>
      <w:r>
        <w:t>4.2.6.A2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>
        <w:t>8</w:t>
      </w:r>
      <w:r w:rsidRPr="008D3F8E">
        <w:rPr>
          <w:rFonts w:hint="cs"/>
          <w:rtl/>
          <w:lang w:bidi="ar-EG"/>
        </w:rPr>
        <w:t xml:space="preserve">). ويرد </w:t>
      </w:r>
      <w:r w:rsidRPr="00E05CF8">
        <w:rPr>
          <w:rFonts w:hint="cs"/>
          <w:rtl/>
          <w:lang w:bidi="ar-EG"/>
        </w:rPr>
        <w:t xml:space="preserve">في </w:t>
      </w:r>
      <w:r w:rsidRPr="00E05CF8">
        <w:rPr>
          <w:rFonts w:hint="cs"/>
          <w:rtl/>
        </w:rPr>
        <w:t>الملحق بهذه الرسالة</w:t>
      </w:r>
      <w:r w:rsidRPr="008D3F8E">
        <w:rPr>
          <w:rFonts w:hint="cs"/>
          <w:rtl/>
          <w:lang w:bidi="ar-EG"/>
        </w:rPr>
        <w:t xml:space="preserve"> عن</w:t>
      </w:r>
      <w:r w:rsidR="00E05CF8">
        <w:rPr>
          <w:rFonts w:hint="cs"/>
          <w:rtl/>
          <w:lang w:bidi="ar-EG"/>
        </w:rPr>
        <w:t>اوين</w:t>
      </w:r>
      <w:r w:rsidRPr="008D3F8E">
        <w:rPr>
          <w:rFonts w:hint="cs"/>
          <w:rtl/>
          <w:lang w:bidi="ar-EG"/>
        </w:rPr>
        <w:t xml:space="preserve"> وملخص</w:t>
      </w:r>
      <w:r w:rsidR="00E05CF8">
        <w:rPr>
          <w:rFonts w:hint="cs"/>
          <w:rtl/>
          <w:lang w:bidi="ar-EG"/>
        </w:rPr>
        <w:t>ات</w:t>
      </w:r>
      <w:r w:rsidRPr="008D3F8E">
        <w:rPr>
          <w:rFonts w:hint="cs"/>
          <w:rtl/>
          <w:lang w:bidi="ar-EG"/>
        </w:rPr>
        <w:t xml:space="preserve"> </w:t>
      </w:r>
      <w:r w:rsidRPr="00E05CF8">
        <w:rPr>
          <w:rFonts w:hint="cs"/>
          <w:rtl/>
          <w:lang w:bidi="ar-EG"/>
        </w:rPr>
        <w:t>مشاريع</w:t>
      </w:r>
      <w:r>
        <w:rPr>
          <w:rFonts w:hint="cs"/>
          <w:rtl/>
          <w:lang w:bidi="ar-EG"/>
        </w:rPr>
        <w:t xml:space="preserve"> </w:t>
      </w:r>
      <w:r w:rsidRPr="00E05CF8">
        <w:rPr>
          <w:rFonts w:hint="cs"/>
          <w:rtl/>
          <w:lang w:bidi="ar-EG"/>
        </w:rPr>
        <w:t>التوصيات.</w:t>
      </w:r>
      <w:r>
        <w:rPr>
          <w:rFonts w:hint="cs"/>
          <w:rtl/>
          <w:lang w:bidi="ar-EG"/>
        </w:rPr>
        <w:t xml:space="preserve"> ويرجى من أي دولة عضو تعترض على اعتماد مشروع توصية أن تخبر المدير ورئيس لجنة الدراسات بأسباب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اعتراضها.</w:t>
      </w:r>
    </w:p>
    <w:p w14:paraId="5709A068" w14:textId="1409D2FB" w:rsidR="00CB371C" w:rsidRDefault="00CB371C" w:rsidP="00E05CF8">
      <w:pPr>
        <w:rPr>
          <w:rtl/>
          <w:lang w:bidi="ar-EG"/>
        </w:rPr>
      </w:pPr>
      <w:r w:rsidRPr="00A623FB">
        <w:rPr>
          <w:rFonts w:hint="cs"/>
          <w:rtl/>
          <w:lang w:bidi="ar-EG"/>
        </w:rPr>
        <w:t xml:space="preserve">وتمتد فترة النظر لمدة شهرين تنتهي في </w:t>
      </w:r>
      <w:r w:rsidRPr="00045D7A">
        <w:rPr>
          <w:u w:val="single"/>
        </w:rPr>
        <w:t>26</w:t>
      </w:r>
      <w:r w:rsidRPr="00045D7A">
        <w:rPr>
          <w:rFonts w:hint="cs"/>
          <w:u w:val="single"/>
          <w:rtl/>
          <w:lang w:bidi="ar-EG"/>
        </w:rPr>
        <w:t xml:space="preserve"> يناير </w:t>
      </w:r>
      <w:r w:rsidRPr="00045D7A">
        <w:rPr>
          <w:u w:val="single"/>
          <w:lang w:bidi="ar-EG"/>
        </w:rPr>
        <w:t>2022</w:t>
      </w:r>
      <w:r w:rsidRPr="00A623FB">
        <w:rPr>
          <w:rFonts w:hint="cs"/>
          <w:rtl/>
          <w:lang w:bidi="ar-EG"/>
        </w:rPr>
        <w:t>. وإذا لم ترد أي اعتراضات من الدول الأعضاء خلال هذه الفترة، فإن</w:t>
      </w:r>
      <w:r w:rsidRPr="00A623FB">
        <w:rPr>
          <w:rFonts w:hint="eastAsia"/>
          <w:rtl/>
          <w:lang w:bidi="ar-EG"/>
        </w:rPr>
        <w:t> </w:t>
      </w:r>
      <w:r w:rsidR="00826847" w:rsidRPr="00A623FB">
        <w:rPr>
          <w:rFonts w:hint="cs"/>
          <w:rtl/>
          <w:lang w:bidi="ar-EG"/>
        </w:rPr>
        <w:t>مشاريع التوصيات</w:t>
      </w:r>
      <w:r w:rsidRPr="00A623FB">
        <w:rPr>
          <w:rFonts w:hint="cs"/>
          <w:rtl/>
          <w:lang w:bidi="ar-EG"/>
        </w:rPr>
        <w:t xml:space="preserve"> ستعتبر </w:t>
      </w:r>
      <w:r w:rsidR="00A957E8" w:rsidRPr="00A623FB">
        <w:rPr>
          <w:rFonts w:hint="cs"/>
          <w:rtl/>
          <w:lang w:bidi="ar-EG"/>
        </w:rPr>
        <w:t>قد اعتمدتها لجنة الدراسات 4</w:t>
      </w:r>
      <w:r w:rsidRPr="00A623FB">
        <w:rPr>
          <w:rFonts w:hint="cs"/>
          <w:rtl/>
          <w:lang w:bidi="ar-EG"/>
        </w:rPr>
        <w:t xml:space="preserve">. </w:t>
      </w:r>
      <w:r w:rsidR="00E05CF8" w:rsidRPr="00A623FB">
        <w:rPr>
          <w:rFonts w:hint="cs"/>
          <w:rtl/>
          <w:lang w:bidi="ar-EG"/>
        </w:rPr>
        <w:t>وعلاوةً على</w:t>
      </w:r>
      <w:r w:rsidR="00E05CF8" w:rsidRPr="00A623FB">
        <w:rPr>
          <w:rtl/>
          <w:lang w:bidi="ar-EG"/>
        </w:rPr>
        <w:t xml:space="preserve"> ذلك، ولما</w:t>
      </w:r>
      <w:r w:rsidR="00E05CF8" w:rsidRPr="00A623FB">
        <w:rPr>
          <w:lang w:bidi="ar-EG"/>
        </w:rPr>
        <w:t> </w:t>
      </w:r>
      <w:r w:rsidR="00E05CF8" w:rsidRPr="00A623FB">
        <w:rPr>
          <w:rtl/>
          <w:lang w:bidi="ar-EG"/>
        </w:rPr>
        <w:t>كان قد</w:t>
      </w:r>
      <w:r w:rsidR="00E05CF8" w:rsidRPr="00A623FB">
        <w:rPr>
          <w:rFonts w:hint="cs"/>
          <w:rtl/>
          <w:lang w:bidi="ar-EG"/>
        </w:rPr>
        <w:t> </w:t>
      </w:r>
      <w:r w:rsidR="00E05CF8" w:rsidRPr="00A623FB">
        <w:rPr>
          <w:rtl/>
          <w:lang w:bidi="ar-EG"/>
        </w:rPr>
        <w:t>تم اتباع إجراء الاعتماد والموافقة في</w:t>
      </w:r>
      <w:r w:rsidR="00E05CF8" w:rsidRPr="00A623FB">
        <w:rPr>
          <w:rFonts w:hint="cs"/>
          <w:rtl/>
          <w:lang w:bidi="ar-EG"/>
        </w:rPr>
        <w:t> </w:t>
      </w:r>
      <w:r w:rsidR="00E05CF8" w:rsidRPr="00A623FB">
        <w:rPr>
          <w:rtl/>
          <w:lang w:bidi="ar-EG"/>
        </w:rPr>
        <w:t xml:space="preserve">نفس الوقت عن طريق المراسلة، فإن </w:t>
      </w:r>
      <w:r w:rsidR="00826847" w:rsidRPr="00A623FB">
        <w:rPr>
          <w:rFonts w:hint="cs"/>
          <w:rtl/>
          <w:lang w:bidi="ar-EG"/>
        </w:rPr>
        <w:t>مشاريع التوصيات</w:t>
      </w:r>
      <w:r w:rsidR="00E05CF8" w:rsidRPr="00A623FB">
        <w:rPr>
          <w:rFonts w:hint="cs"/>
          <w:rtl/>
          <w:lang w:bidi="ar-EG"/>
        </w:rPr>
        <w:t xml:space="preserve"> س</w:t>
      </w:r>
      <w:r w:rsidR="00826847" w:rsidRPr="00A623FB">
        <w:rPr>
          <w:rFonts w:hint="cs"/>
          <w:rtl/>
          <w:lang w:bidi="ar-EG"/>
        </w:rPr>
        <w:t>ت</w:t>
      </w:r>
      <w:r w:rsidR="00E05CF8" w:rsidRPr="00A623FB">
        <w:rPr>
          <w:rFonts w:hint="cs"/>
          <w:rtl/>
          <w:lang w:bidi="ar-EG"/>
        </w:rPr>
        <w:t>عتبر</w:t>
      </w:r>
      <w:r w:rsidR="00E05CF8" w:rsidRPr="00A623FB">
        <w:rPr>
          <w:rtl/>
          <w:lang w:bidi="ar-EG"/>
        </w:rPr>
        <w:t xml:space="preserve"> أيضاً بحكم المواف</w:t>
      </w:r>
      <w:r w:rsidR="00E05CF8" w:rsidRPr="00A623FB">
        <w:rPr>
          <w:rFonts w:hint="cs"/>
          <w:rtl/>
          <w:lang w:bidi="ar-EG"/>
        </w:rPr>
        <w:t>َ</w:t>
      </w:r>
      <w:r w:rsidR="00E05CF8" w:rsidRPr="00A623FB">
        <w:rPr>
          <w:rtl/>
          <w:lang w:bidi="ar-EG"/>
        </w:rPr>
        <w:t>ق عليه</w:t>
      </w:r>
      <w:r w:rsidR="00A957E8" w:rsidRPr="00A623FB">
        <w:rPr>
          <w:rFonts w:hint="cs"/>
          <w:rtl/>
          <w:lang w:bidi="ar-EG"/>
        </w:rPr>
        <w:t>ا.</w:t>
      </w:r>
    </w:p>
    <w:p w14:paraId="275B886E" w14:textId="57EA7763" w:rsidR="00CB371C" w:rsidRDefault="00CB371C" w:rsidP="00CB371C">
      <w:pPr>
        <w:rPr>
          <w:rtl/>
        </w:rPr>
      </w:pPr>
      <w:r w:rsidRPr="008D3F8E">
        <w:rPr>
          <w:rtl/>
          <w:lang w:bidi="ar-EG"/>
        </w:rPr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 xml:space="preserve">علن نتائج </w:t>
      </w:r>
      <w:r>
        <w:rPr>
          <w:rFonts w:hint="cs"/>
          <w:rtl/>
          <w:lang w:bidi="ar-EG"/>
        </w:rPr>
        <w:t>الإجراءات المذكورة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>نشر</w:t>
      </w:r>
      <w:r>
        <w:rPr>
          <w:rFonts w:hint="cs"/>
          <w:rtl/>
          <w:lang w:bidi="ar-EG"/>
        </w:rPr>
        <w:t xml:space="preserve"> التوصيات</w:t>
      </w:r>
      <w:r w:rsidRPr="008D3F8E">
        <w:rPr>
          <w:rtl/>
          <w:lang w:bidi="ar-EG"/>
        </w:rPr>
        <w:t xml:space="preserve"> ال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14:paraId="7D8DA4D8" w14:textId="19F4FBFB" w:rsidR="00CB371C" w:rsidRPr="00826847" w:rsidRDefault="00CB371C" w:rsidP="00CB371C">
      <w:pPr>
        <w:keepNext/>
        <w:keepLines/>
        <w:rPr>
          <w:rtl/>
          <w:lang w:bidi="ar-EG"/>
        </w:rPr>
      </w:pPr>
      <w:r w:rsidRPr="00826847">
        <w:rPr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826847">
        <w:rPr>
          <w:rFonts w:hint="cs"/>
          <w:rtl/>
          <w:lang w:bidi="ar-EG"/>
        </w:rPr>
        <w:t xml:space="preserve"> من </w:t>
      </w:r>
      <w:r w:rsidRPr="00826847">
        <w:rPr>
          <w:rtl/>
          <w:lang w:bidi="ar-EG"/>
        </w:rPr>
        <w:t>مشاريع التوصيات المذكورة في هذه الرسالة أن تبلغ الأمانة بهذه المعلومات بأسرع ما يمكن. ويمكن الاطلاع على السياسة المشتركة للبراءات</w:t>
      </w:r>
      <w:r w:rsidRPr="00826847">
        <w:rPr>
          <w:rFonts w:hint="cs"/>
          <w:rtl/>
          <w:lang w:bidi="ar-EG"/>
        </w:rPr>
        <w:t> </w:t>
      </w:r>
      <w:r w:rsidRPr="00826847">
        <w:t>"ITU</w:t>
      </w:r>
      <w:r w:rsidRPr="00826847">
        <w:noBreakHyphen/>
        <w:t>T/ITU</w:t>
      </w:r>
      <w:r w:rsidRPr="00826847">
        <w:noBreakHyphen/>
        <w:t>R/ISO/IEC"</w:t>
      </w:r>
      <w:r w:rsidRPr="00826847">
        <w:rPr>
          <w:rtl/>
          <w:lang w:bidi="ar-EG"/>
        </w:rPr>
        <w:t xml:space="preserve"> في الموقع الإلكتروني</w:t>
      </w:r>
      <w:r w:rsidRPr="00826847">
        <w:rPr>
          <w:rFonts w:hint="cs"/>
          <w:rtl/>
          <w:lang w:bidi="ar-EG"/>
        </w:rPr>
        <w:t xml:space="preserve">: </w:t>
      </w:r>
      <w:hyperlink r:id="rId9" w:history="1">
        <w:r w:rsidRPr="00826847">
          <w:rPr>
            <w:rStyle w:val="Hyperlink"/>
            <w:lang w:bidi="ar-EG"/>
          </w:rPr>
          <w:t>http://www.itu.int/en/ITU-T/ipr/Pages/policy.aspx</w:t>
        </w:r>
      </w:hyperlink>
      <w:r w:rsidRPr="00826847">
        <w:rPr>
          <w:rtl/>
          <w:lang w:bidi="ar-EG"/>
        </w:rPr>
        <w:t>.</w:t>
      </w:r>
    </w:p>
    <w:p w14:paraId="3DF9FE36" w14:textId="77777777" w:rsidR="00CB371C" w:rsidRPr="00750709" w:rsidRDefault="00CB371C" w:rsidP="00CB371C">
      <w:pPr>
        <w:keepNext/>
        <w:keepLines/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3A9A2E51" w14:textId="77777777" w:rsidR="00CB371C" w:rsidRDefault="00CB371C" w:rsidP="00B56FD3">
      <w:pPr>
        <w:spacing w:before="60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7EFA4F4" w14:textId="5EF463FF" w:rsidR="00CB371C" w:rsidRDefault="00CB371C" w:rsidP="00B56FD3">
      <w:pPr>
        <w:spacing w:before="240"/>
        <w:jc w:val="left"/>
        <w:rPr>
          <w:rtl/>
          <w:lang w:bidi="ar-EG"/>
        </w:rPr>
      </w:pPr>
      <w:r w:rsidRPr="00E05CF8">
        <w:rPr>
          <w:b/>
          <w:bCs/>
          <w:rtl/>
          <w:lang w:bidi="ar-EG"/>
        </w:rPr>
        <w:t>الملحق:</w:t>
      </w:r>
      <w:r w:rsidRPr="00E05CF8">
        <w:rPr>
          <w:rFonts w:hint="cs"/>
          <w:rtl/>
          <w:lang w:bidi="ar-EG"/>
        </w:rPr>
        <w:tab/>
        <w:t>عناوين وملخصات مشاريع التوصيات</w:t>
      </w:r>
    </w:p>
    <w:p w14:paraId="15948027" w14:textId="547D9EA0" w:rsidR="00CB371C" w:rsidRDefault="00CB371C" w:rsidP="00B56FD3">
      <w:pPr>
        <w:spacing w:before="240"/>
        <w:jc w:val="left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r w:rsidRPr="00E05CF8">
        <w:rPr>
          <w:rFonts w:hint="cs"/>
          <w:rtl/>
          <w:lang w:bidi="ar-EG"/>
        </w:rPr>
        <w:t>الوثائق</w:t>
      </w:r>
      <w:r w:rsidRPr="008D3F8E">
        <w:rPr>
          <w:rFonts w:hint="cs"/>
          <w:rtl/>
          <w:lang w:bidi="ar-EG"/>
        </w:rPr>
        <w:t xml:space="preserve"> </w:t>
      </w:r>
      <w:r w:rsidR="00E05CF8">
        <w:t>4</w:t>
      </w:r>
      <w:r w:rsidRPr="008D3F8E">
        <w:t>/</w:t>
      </w:r>
      <w:r w:rsidR="00E05CF8">
        <w:t>34</w:t>
      </w:r>
      <w:r w:rsidRPr="008D3F8E">
        <w:t>(Rev.1)</w:t>
      </w:r>
      <w:r w:rsidR="00E05CF8">
        <w:rPr>
          <w:rFonts w:hint="cs"/>
          <w:rtl/>
          <w:lang w:bidi="ar-EG"/>
        </w:rPr>
        <w:t xml:space="preserve"> و</w:t>
      </w:r>
      <w:r w:rsidR="00E05CF8">
        <w:rPr>
          <w:lang w:bidi="ar-EG"/>
        </w:rPr>
        <w:t>4/37(Rev.1)</w:t>
      </w:r>
      <w:r w:rsidR="00E05CF8">
        <w:rPr>
          <w:rFonts w:hint="cs"/>
          <w:rtl/>
          <w:lang w:bidi="ar-EG"/>
        </w:rPr>
        <w:t xml:space="preserve"> و</w:t>
      </w:r>
      <w:r w:rsidR="00E05CF8">
        <w:rPr>
          <w:lang w:bidi="ar-EG"/>
        </w:rPr>
        <w:t>4/3</w:t>
      </w:r>
      <w:r w:rsidR="008F5007">
        <w:rPr>
          <w:lang w:bidi="ar-EG"/>
        </w:rPr>
        <w:t>9</w:t>
      </w:r>
      <w:r w:rsidR="00E05CF8">
        <w:rPr>
          <w:lang w:bidi="ar-EG"/>
        </w:rPr>
        <w:t>(Rev.1)</w:t>
      </w:r>
    </w:p>
    <w:p w14:paraId="7B3139EC" w14:textId="3D3761B6" w:rsidR="00F16820" w:rsidRDefault="00CB371C" w:rsidP="00B56FD3">
      <w:r w:rsidRPr="00FE1CF4">
        <w:rPr>
          <w:rFonts w:hint="cs"/>
          <w:rtl/>
        </w:rPr>
        <w:t xml:space="preserve">وتتاح هذه </w:t>
      </w:r>
      <w:r w:rsidRPr="008F5007">
        <w:rPr>
          <w:rFonts w:hint="cs"/>
          <w:rtl/>
        </w:rPr>
        <w:t>الوثائق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0" w:history="1">
        <w:r w:rsidR="008F5007" w:rsidRPr="008457FF">
          <w:rPr>
            <w:rStyle w:val="Hyperlink"/>
            <w:szCs w:val="24"/>
            <w:lang w:val="en-GB"/>
          </w:rPr>
          <w:t>https://www.itu.int/md/R19-SG04-C/en</w:t>
        </w:r>
      </w:hyperlink>
    </w:p>
    <w:p w14:paraId="1AE8A80F" w14:textId="61EDF2DB" w:rsidR="00B56FD3" w:rsidRPr="00F16820" w:rsidRDefault="00F16820" w:rsidP="00713DAA">
      <w:pPr>
        <w:pStyle w:val="AnnexNotitle"/>
        <w:rPr>
          <w:rtl/>
        </w:rPr>
      </w:pPr>
      <w:r w:rsidRPr="00F16820">
        <w:rPr>
          <w:rFonts w:hint="cs"/>
          <w:rtl/>
        </w:rPr>
        <w:lastRenderedPageBreak/>
        <w:t>الملحق</w:t>
      </w:r>
      <w:r w:rsidR="00B23456">
        <w:rPr>
          <w:rtl/>
        </w:rPr>
        <w:br/>
      </w:r>
      <w:r w:rsidR="00B23456">
        <w:rPr>
          <w:rtl/>
        </w:rPr>
        <w:br/>
      </w:r>
      <w:r w:rsidR="008E31AF" w:rsidRPr="008E31AF">
        <w:rPr>
          <w:rFonts w:hint="cs"/>
          <w:rtl/>
        </w:rPr>
        <w:t xml:space="preserve">عناوين وملخصات مشاريع </w:t>
      </w:r>
      <w:r w:rsidR="00B56FD3">
        <w:rPr>
          <w:rFonts w:hint="cs"/>
          <w:rtl/>
        </w:rPr>
        <w:t>توصيات قطاع الاتصالات الراديوية</w:t>
      </w:r>
    </w:p>
    <w:p w14:paraId="7A9AECB2" w14:textId="68EB9F35" w:rsidR="008E31AF" w:rsidRPr="008E31AF" w:rsidRDefault="008E31AF" w:rsidP="008E31AF">
      <w:pPr>
        <w:keepNext/>
        <w:tabs>
          <w:tab w:val="right" w:pos="9639"/>
        </w:tabs>
        <w:spacing w:before="480"/>
        <w:rPr>
          <w:rtl/>
          <w:lang w:bidi="ar-EG"/>
        </w:rPr>
      </w:pPr>
      <w:bookmarkStart w:id="1" w:name="_Hlk88572041"/>
      <w:r w:rsidRPr="008E31AF">
        <w:rPr>
          <w:rFonts w:hint="cs"/>
          <w:u w:val="single"/>
          <w:rtl/>
        </w:rPr>
        <w:t xml:space="preserve">مشروع مراجعة التوصية </w:t>
      </w:r>
      <w:r w:rsidRPr="008E31AF">
        <w:rPr>
          <w:u w:val="single"/>
        </w:rPr>
        <w:t>ITU</w:t>
      </w:r>
      <w:r w:rsidRPr="008E31AF">
        <w:rPr>
          <w:u w:val="single"/>
        </w:rPr>
        <w:noBreakHyphen/>
        <w:t>R M.1901-2</w:t>
      </w:r>
      <w:r w:rsidRPr="008E31AF">
        <w:rPr>
          <w:rFonts w:hint="cs"/>
          <w:rtl/>
          <w:lang w:bidi="ar-EG"/>
        </w:rPr>
        <w:tab/>
        <w:t xml:space="preserve">الوثيقة </w:t>
      </w:r>
      <w:r w:rsidR="007F4644">
        <w:rPr>
          <w:lang w:bidi="ar-EG"/>
        </w:rPr>
        <w:t>4</w:t>
      </w:r>
      <w:r w:rsidRPr="008E31AF">
        <w:rPr>
          <w:lang w:bidi="ar-EG"/>
        </w:rPr>
        <w:t>/34(Rev.1)</w:t>
      </w:r>
    </w:p>
    <w:bookmarkEnd w:id="1"/>
    <w:p w14:paraId="5E3C4BD9" w14:textId="25B2ECD9" w:rsidR="008E31AF" w:rsidRPr="008E31AF" w:rsidRDefault="008E31AF" w:rsidP="00713DAA">
      <w:pPr>
        <w:pStyle w:val="Rectitle"/>
        <w:rPr>
          <w:rtl/>
        </w:rPr>
      </w:pPr>
      <w:r w:rsidRPr="008E31AF">
        <w:rPr>
          <w:rtl/>
        </w:rPr>
        <w:t xml:space="preserve">إرشادات بشأن توصيات قطاع الاتصالات الراديوية المتصلة بأنظمة وشبكات في خدمة الملاحة الراديوية الساتلية العاملة في نطاقات التردد </w:t>
      </w:r>
      <w:r w:rsidRPr="008E31AF">
        <w:t>MHz 1 215</w:t>
      </w:r>
      <w:r w:rsidRPr="008E31AF">
        <w:noBreakHyphen/>
        <w:t>1 164</w:t>
      </w:r>
      <w:r>
        <w:rPr>
          <w:rFonts w:hint="cs"/>
          <w:rtl/>
        </w:rPr>
        <w:t xml:space="preserve"> </w:t>
      </w:r>
      <w:r w:rsidRPr="008E31AF">
        <w:rPr>
          <w:rtl/>
        </w:rPr>
        <w:t>و</w:t>
      </w:r>
      <w:r w:rsidRPr="008E31AF">
        <w:t>MHz 1 300</w:t>
      </w:r>
      <w:r w:rsidRPr="008E31AF">
        <w:noBreakHyphen/>
        <w:t>1 215</w:t>
      </w:r>
      <w:r w:rsidRPr="008E31AF">
        <w:rPr>
          <w:rtl/>
        </w:rPr>
        <w:t xml:space="preserve"> و</w:t>
      </w:r>
      <w:r w:rsidRPr="008E31AF">
        <w:t>MHz 1 610</w:t>
      </w:r>
      <w:r w:rsidRPr="008E31AF">
        <w:noBreakHyphen/>
      </w:r>
      <w:r w:rsidRPr="00713DAA">
        <w:t>1</w:t>
      </w:r>
      <w:r w:rsidRPr="008E31AF">
        <w:t> 559</w:t>
      </w:r>
      <w:r w:rsidRPr="008E31AF">
        <w:rPr>
          <w:rtl/>
        </w:rPr>
        <w:t xml:space="preserve"> و</w:t>
      </w:r>
      <w:r w:rsidRPr="008E31AF">
        <w:t>MHz 5 010</w:t>
      </w:r>
      <w:r w:rsidRPr="008E31AF">
        <w:noBreakHyphen/>
        <w:t>5 000</w:t>
      </w:r>
      <w:r w:rsidRPr="008E31AF">
        <w:rPr>
          <w:rtl/>
        </w:rPr>
        <w:t xml:space="preserve"> و</w:t>
      </w:r>
      <w:r w:rsidRPr="008E31AF">
        <w:t>MHz 5 030</w:t>
      </w:r>
      <w:r w:rsidRPr="008E31AF">
        <w:noBreakHyphen/>
        <w:t>5 010</w:t>
      </w:r>
    </w:p>
    <w:p w14:paraId="18AA5AB2" w14:textId="7DB8C89A" w:rsidR="008E31AF" w:rsidRDefault="009B758F" w:rsidP="00B56FD3">
      <w:pPr>
        <w:rPr>
          <w:rtl/>
        </w:rPr>
      </w:pPr>
      <w:r>
        <w:rPr>
          <w:rFonts w:hint="cs"/>
          <w:rtl/>
        </w:rPr>
        <w:t>روجعت</w:t>
      </w:r>
      <w:r w:rsidR="00B56FD3">
        <w:rPr>
          <w:rFonts w:hint="cs"/>
          <w:rtl/>
        </w:rPr>
        <w:t xml:space="preserve"> هذه التوصية لتحديث </w:t>
      </w:r>
      <w:r w:rsidR="00952762">
        <w:rPr>
          <w:rFonts w:hint="cs"/>
          <w:rtl/>
        </w:rPr>
        <w:t>الإحالات المرجعية</w:t>
      </w:r>
      <w:r w:rsidR="00B56FD3">
        <w:rPr>
          <w:rFonts w:hint="cs"/>
          <w:rtl/>
        </w:rPr>
        <w:t xml:space="preserve"> إلى توصيات وتقارير قطاع الاتصالات الراديوية </w:t>
      </w:r>
      <w:r w:rsidR="008E31AF" w:rsidRPr="008E31AF">
        <w:rPr>
          <w:rtl/>
        </w:rPr>
        <w:t>المتصلة بالخصائص التقنية ومعايير الحماية لمحطات الاستقبال الأرضية في خدمة الملاحة الراديوية الساتلية</w:t>
      </w:r>
      <w:r w:rsidR="008E31AF" w:rsidRPr="008E31AF">
        <w:rPr>
          <w:rFonts w:hint="cs"/>
          <w:rtl/>
        </w:rPr>
        <w:t xml:space="preserve"> </w:t>
      </w:r>
      <w:r w:rsidR="008E31AF" w:rsidRPr="008E31AF">
        <w:t>(RNSS)</w:t>
      </w:r>
      <w:r w:rsidR="008E31AF" w:rsidRPr="008E31AF">
        <w:rPr>
          <w:rtl/>
        </w:rPr>
        <w:t>، وبخصائص محطات الإرسال الفضائية في</w:t>
      </w:r>
      <w:r w:rsidR="00B56FD3">
        <w:rPr>
          <w:rFonts w:hint="cs"/>
          <w:rtl/>
        </w:rPr>
        <w:t> </w:t>
      </w:r>
      <w:r w:rsidR="008E31AF" w:rsidRPr="008E31AF">
        <w:rPr>
          <w:rtl/>
        </w:rPr>
        <w:t>خدمة الملاحة الراديوية الساتلية</w:t>
      </w:r>
      <w:r w:rsidR="00952762">
        <w:rPr>
          <w:rFonts w:hint="cs"/>
          <w:rtl/>
        </w:rPr>
        <w:t xml:space="preserve"> العاملة أو</w:t>
      </w:r>
      <w:r w:rsidR="008E31AF" w:rsidRPr="008E31AF">
        <w:rPr>
          <w:rtl/>
        </w:rPr>
        <w:t xml:space="preserve"> المخطط لها أن تعمل في نطاقات التردد </w:t>
      </w:r>
      <w:r w:rsidR="008E31AF" w:rsidRPr="008E31AF">
        <w:t>MHz 1 215</w:t>
      </w:r>
      <w:r w:rsidR="008E31AF" w:rsidRPr="008E31AF">
        <w:noBreakHyphen/>
        <w:t>1 164</w:t>
      </w:r>
      <w:r w:rsidR="008E31AF" w:rsidRPr="008E31AF">
        <w:rPr>
          <w:rtl/>
        </w:rPr>
        <w:t xml:space="preserve"> و</w:t>
      </w:r>
      <w:r w:rsidR="008E31AF" w:rsidRPr="008E31AF">
        <w:t>MHz 1 300</w:t>
      </w:r>
      <w:r w:rsidR="008E31AF" w:rsidRPr="008E31AF">
        <w:noBreakHyphen/>
        <w:t>1 215</w:t>
      </w:r>
      <w:r w:rsidR="008E31AF" w:rsidRPr="008E31AF">
        <w:rPr>
          <w:rtl/>
        </w:rPr>
        <w:t xml:space="preserve"> و</w:t>
      </w:r>
      <w:r w:rsidR="008E31AF" w:rsidRPr="008E31AF">
        <w:t>MHz 1 610</w:t>
      </w:r>
      <w:r w:rsidR="008E31AF" w:rsidRPr="008E31AF">
        <w:noBreakHyphen/>
        <w:t>1 559</w:t>
      </w:r>
      <w:r w:rsidR="008E31AF" w:rsidRPr="008E31AF">
        <w:rPr>
          <w:rtl/>
        </w:rPr>
        <w:t xml:space="preserve"> و</w:t>
      </w:r>
      <w:r w:rsidR="008E31AF" w:rsidRPr="008E31AF">
        <w:t>MHz 5 010</w:t>
      </w:r>
      <w:r w:rsidR="008E31AF" w:rsidRPr="008E31AF">
        <w:noBreakHyphen/>
        <w:t>5 000</w:t>
      </w:r>
      <w:r w:rsidR="008E31AF" w:rsidRPr="008E31AF">
        <w:rPr>
          <w:rtl/>
        </w:rPr>
        <w:t xml:space="preserve"> و</w:t>
      </w:r>
      <w:r w:rsidR="008E31AF" w:rsidRPr="008E31AF">
        <w:t>MHz 5 030</w:t>
      </w:r>
      <w:r w:rsidR="008E31AF" w:rsidRPr="008E31AF">
        <w:noBreakHyphen/>
        <w:t>5 010</w:t>
      </w:r>
      <w:r w:rsidR="008E31AF" w:rsidRPr="008E31AF">
        <w:rPr>
          <w:rtl/>
        </w:rPr>
        <w:t>.</w:t>
      </w:r>
    </w:p>
    <w:p w14:paraId="2289C9DA" w14:textId="7EC3F925" w:rsidR="003C6212" w:rsidRPr="008E31AF" w:rsidRDefault="003C6212" w:rsidP="003C6212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E31AF">
        <w:rPr>
          <w:rFonts w:hint="cs"/>
          <w:u w:val="single"/>
          <w:rtl/>
        </w:rPr>
        <w:t xml:space="preserve">مشروع مراجعة التوصية </w:t>
      </w:r>
      <w:r w:rsidRPr="008E31AF">
        <w:rPr>
          <w:u w:val="single"/>
        </w:rPr>
        <w:t>ITU</w:t>
      </w:r>
      <w:r w:rsidRPr="008E31AF">
        <w:rPr>
          <w:u w:val="single"/>
        </w:rPr>
        <w:noBreakHyphen/>
        <w:t>R </w:t>
      </w:r>
      <w:r>
        <w:rPr>
          <w:u w:val="single"/>
        </w:rPr>
        <w:t>S</w:t>
      </w:r>
      <w:r w:rsidRPr="008E31AF">
        <w:rPr>
          <w:u w:val="single"/>
        </w:rPr>
        <w:t>.</w:t>
      </w:r>
      <w:r>
        <w:rPr>
          <w:u w:val="single"/>
        </w:rPr>
        <w:t>2131</w:t>
      </w:r>
      <w:r w:rsidRPr="008E31AF">
        <w:rPr>
          <w:u w:val="single"/>
        </w:rPr>
        <w:t>-</w:t>
      </w:r>
      <w:r>
        <w:rPr>
          <w:u w:val="single"/>
        </w:rPr>
        <w:t>0</w:t>
      </w:r>
      <w:r w:rsidRPr="008E31AF">
        <w:rPr>
          <w:rFonts w:hint="cs"/>
          <w:rtl/>
          <w:lang w:bidi="ar-EG"/>
        </w:rPr>
        <w:tab/>
        <w:t xml:space="preserve">الوثيقة </w:t>
      </w:r>
      <w:r w:rsidR="007F4644">
        <w:rPr>
          <w:lang w:bidi="ar-EG"/>
        </w:rPr>
        <w:t>4</w:t>
      </w:r>
      <w:r w:rsidRPr="008E31AF">
        <w:rPr>
          <w:lang w:bidi="ar-EG"/>
        </w:rPr>
        <w:t>/3</w:t>
      </w:r>
      <w:r>
        <w:rPr>
          <w:lang w:bidi="ar-EG"/>
        </w:rPr>
        <w:t>7</w:t>
      </w:r>
      <w:r w:rsidRPr="008E31AF">
        <w:rPr>
          <w:lang w:bidi="ar-EG"/>
        </w:rPr>
        <w:t>(Rev.1)</w:t>
      </w:r>
    </w:p>
    <w:p w14:paraId="0A25D5BD" w14:textId="5BC1310C" w:rsidR="003C6212" w:rsidRPr="008E31AF" w:rsidRDefault="003C6212" w:rsidP="00713DAA">
      <w:pPr>
        <w:pStyle w:val="Rectitle"/>
        <w:rPr>
          <w:rtl/>
        </w:rPr>
      </w:pPr>
      <w:bookmarkStart w:id="2" w:name="_Hlk88572204"/>
      <w:r w:rsidRPr="003C6212">
        <w:rPr>
          <w:rFonts w:hint="cs"/>
          <w:rtl/>
        </w:rPr>
        <w:t xml:space="preserve">طريقة تحديد أهداف أداء المسارات الرقمية المرجعية الافتراضية </w:t>
      </w:r>
      <w:r w:rsidRPr="003C6212">
        <w:br/>
      </w:r>
      <w:r w:rsidRPr="003C6212">
        <w:rPr>
          <w:rFonts w:hint="cs"/>
          <w:rtl/>
        </w:rPr>
        <w:t xml:space="preserve">الساتلية التي تستعمل التشفير والتشكيل </w:t>
      </w:r>
      <w:proofErr w:type="spellStart"/>
      <w:r w:rsidRPr="003C6212">
        <w:rPr>
          <w:rFonts w:hint="cs"/>
          <w:rtl/>
        </w:rPr>
        <w:t>التكييفيين</w:t>
      </w:r>
      <w:proofErr w:type="spellEnd"/>
    </w:p>
    <w:bookmarkEnd w:id="2"/>
    <w:p w14:paraId="1AD269BC" w14:textId="31267665" w:rsidR="008E31AF" w:rsidRDefault="009B758F" w:rsidP="008E31AF">
      <w:pPr>
        <w:rPr>
          <w:rtl/>
          <w:lang w:bidi="ar-EG"/>
        </w:rPr>
      </w:pPr>
      <w:r w:rsidRPr="007F4644">
        <w:rPr>
          <w:rFonts w:hint="cs"/>
          <w:rtl/>
          <w:lang w:bidi="ar-SY"/>
        </w:rPr>
        <w:t>روجعت</w:t>
      </w:r>
      <w:r w:rsidR="00B56FD3" w:rsidRPr="007F4644">
        <w:rPr>
          <w:rFonts w:hint="cs"/>
          <w:rtl/>
          <w:lang w:bidi="ar-SY"/>
        </w:rPr>
        <w:t xml:space="preserve"> هذه التوصية لتعديل المعادلة </w:t>
      </w:r>
      <w:r w:rsidR="00B56FD3" w:rsidRPr="007F4644">
        <w:rPr>
          <w:lang w:bidi="ar-SY"/>
        </w:rPr>
        <w:t>(3)</w:t>
      </w:r>
      <w:r w:rsidR="00B56FD3" w:rsidRPr="007F4644">
        <w:rPr>
          <w:rFonts w:hint="cs"/>
          <w:rtl/>
          <w:lang w:bidi="ar-EG"/>
        </w:rPr>
        <w:t xml:space="preserve"> </w:t>
      </w:r>
      <w:r w:rsidRPr="007F4644">
        <w:rPr>
          <w:rFonts w:hint="cs"/>
          <w:rtl/>
          <w:lang w:bidi="ar-EG"/>
        </w:rPr>
        <w:t xml:space="preserve">لمراعاة خصائص الكفاءة الطيفية لمخططات التشكيل والتشفير </w:t>
      </w:r>
      <w:r w:rsidRPr="007F4644">
        <w:rPr>
          <w:lang w:bidi="ar-EG"/>
        </w:rPr>
        <w:t>(MODCOD)</w:t>
      </w:r>
      <w:r w:rsidRPr="007F4644">
        <w:rPr>
          <w:rFonts w:hint="cs"/>
          <w:rtl/>
          <w:lang w:bidi="ar-EG"/>
        </w:rPr>
        <w:t xml:space="preserve"> المحددة في المواصفة </w:t>
      </w:r>
      <w:r w:rsidRPr="007F4644">
        <w:rPr>
          <w:lang w:bidi="ar-EG"/>
        </w:rPr>
        <w:t>DVB</w:t>
      </w:r>
      <w:r w:rsidRPr="007F4644">
        <w:rPr>
          <w:lang w:bidi="ar-EG"/>
        </w:rPr>
        <w:noBreakHyphen/>
        <w:t>S2X</w:t>
      </w:r>
      <w:r w:rsidRPr="007F4644">
        <w:rPr>
          <w:rFonts w:hint="cs"/>
          <w:rtl/>
          <w:lang w:bidi="ar-EG"/>
        </w:rPr>
        <w:t xml:space="preserve">، لا سيما في قيم نسبة الإشارة إلى الضوضاء </w:t>
      </w:r>
      <w:r w:rsidR="00954718" w:rsidRPr="007F4644">
        <w:rPr>
          <w:rFonts w:hint="cs"/>
          <w:rtl/>
          <w:lang w:bidi="ar-EG"/>
        </w:rPr>
        <w:t>العالية و</w:t>
      </w:r>
      <w:r w:rsidRPr="007F4644">
        <w:rPr>
          <w:rFonts w:hint="cs"/>
          <w:rtl/>
          <w:lang w:bidi="ar-EG"/>
        </w:rPr>
        <w:t>المنخفضة جداً. ويعدّ</w:t>
      </w:r>
      <w:r w:rsidR="007D05BD" w:rsidRPr="007F4644">
        <w:rPr>
          <w:rFonts w:hint="cs"/>
          <w:rtl/>
          <w:lang w:bidi="ar-EG"/>
        </w:rPr>
        <w:t>َ</w:t>
      </w:r>
      <w:r w:rsidRPr="007F4644">
        <w:rPr>
          <w:rFonts w:hint="cs"/>
          <w:rtl/>
          <w:lang w:bidi="ar-EG"/>
        </w:rPr>
        <w:t xml:space="preserve">ل </w:t>
      </w:r>
      <w:r w:rsidR="00954718" w:rsidRPr="007F4644">
        <w:rPr>
          <w:rFonts w:hint="cs"/>
          <w:rtl/>
          <w:lang w:bidi="ar-EG"/>
        </w:rPr>
        <w:t>الجدولان</w:t>
      </w:r>
      <w:r w:rsidRPr="007F4644">
        <w:rPr>
          <w:rFonts w:hint="cs"/>
          <w:rtl/>
          <w:lang w:bidi="ar-EG"/>
        </w:rPr>
        <w:t> </w:t>
      </w:r>
      <w:r w:rsidRPr="007F4644">
        <w:rPr>
          <w:lang w:bidi="ar-EG"/>
        </w:rPr>
        <w:t>4</w:t>
      </w:r>
      <w:r w:rsidRPr="007F4644">
        <w:rPr>
          <w:rFonts w:hint="cs"/>
          <w:rtl/>
          <w:lang w:bidi="ar-EG"/>
        </w:rPr>
        <w:t xml:space="preserve"> و</w:t>
      </w:r>
      <w:r w:rsidRPr="007F4644">
        <w:rPr>
          <w:lang w:bidi="ar-EG"/>
        </w:rPr>
        <w:t>5</w:t>
      </w:r>
      <w:r w:rsidRPr="007F4644">
        <w:rPr>
          <w:rFonts w:hint="cs"/>
          <w:rtl/>
          <w:lang w:bidi="ar-EG"/>
        </w:rPr>
        <w:t xml:space="preserve"> </w:t>
      </w:r>
      <w:r w:rsidR="00954718" w:rsidRPr="007F4644">
        <w:rPr>
          <w:rFonts w:hint="cs"/>
          <w:rtl/>
          <w:lang w:bidi="ar-EG"/>
        </w:rPr>
        <w:t>اللذان</w:t>
      </w:r>
      <w:r w:rsidRPr="007F4644">
        <w:rPr>
          <w:rFonts w:hint="cs"/>
          <w:rtl/>
          <w:lang w:bidi="ar-EG"/>
        </w:rPr>
        <w:t xml:space="preserve"> يستخدمان لتقدير </w:t>
      </w:r>
      <w:r w:rsidR="004511E7" w:rsidRPr="007F4644">
        <w:rPr>
          <w:rFonts w:hint="cs"/>
          <w:rtl/>
          <w:lang w:bidi="ar-EG"/>
        </w:rPr>
        <w:t xml:space="preserve">انحطاط الصبيب </w:t>
      </w:r>
      <w:r w:rsidR="00954718" w:rsidRPr="007F4644">
        <w:rPr>
          <w:rFonts w:hint="cs"/>
          <w:rtl/>
          <w:lang w:bidi="ar-EG"/>
        </w:rPr>
        <w:t xml:space="preserve">من أجل </w:t>
      </w:r>
      <w:r w:rsidR="004511E7" w:rsidRPr="007F4644">
        <w:rPr>
          <w:rFonts w:hint="cs"/>
          <w:rtl/>
          <w:lang w:bidi="ar-EG"/>
        </w:rPr>
        <w:t>زيادة النسبة المئوية من الوقت المتاح</w:t>
      </w:r>
      <w:r w:rsidR="00321C88" w:rsidRPr="007F4644">
        <w:rPr>
          <w:rFonts w:hint="cs"/>
          <w:rtl/>
        </w:rPr>
        <w:t xml:space="preserve"> في السنة</w:t>
      </w:r>
      <w:r w:rsidR="004511E7" w:rsidRPr="007F4644">
        <w:rPr>
          <w:rFonts w:hint="cs"/>
          <w:rtl/>
          <w:lang w:bidi="ar-EG"/>
        </w:rPr>
        <w:t xml:space="preserve"> من </w:t>
      </w:r>
      <w:r w:rsidR="004511E7" w:rsidRPr="007F4644">
        <w:rPr>
          <w:lang w:bidi="ar-EG"/>
        </w:rPr>
        <w:t>%99,6</w:t>
      </w:r>
      <w:r w:rsidR="004511E7" w:rsidRPr="007F4644">
        <w:rPr>
          <w:rFonts w:hint="cs"/>
          <w:rtl/>
          <w:lang w:bidi="ar-EG"/>
        </w:rPr>
        <w:t xml:space="preserve"> إلى </w:t>
      </w:r>
      <w:r w:rsidR="004511E7" w:rsidRPr="007F4644">
        <w:rPr>
          <w:lang w:bidi="ar-EG"/>
        </w:rPr>
        <w:t>%99,7</w:t>
      </w:r>
      <w:r w:rsidR="004511E7" w:rsidRPr="007F4644">
        <w:rPr>
          <w:rFonts w:hint="cs"/>
          <w:rtl/>
          <w:lang w:bidi="ar-EG"/>
        </w:rPr>
        <w:t xml:space="preserve">. </w:t>
      </w:r>
      <w:r w:rsidR="00321C88" w:rsidRPr="007F4644">
        <w:rPr>
          <w:rFonts w:hint="cs"/>
          <w:rtl/>
          <w:lang w:bidi="ar-EG"/>
        </w:rPr>
        <w:t>وإضافةً</w:t>
      </w:r>
      <w:r w:rsidR="004511E7" w:rsidRPr="007F4644">
        <w:rPr>
          <w:rFonts w:hint="cs"/>
          <w:rtl/>
          <w:lang w:bidi="ar-EG"/>
        </w:rPr>
        <w:t xml:space="preserve"> إلى ذلك، تم تعديل الملاحظة </w:t>
      </w:r>
      <w:r w:rsidR="004511E7" w:rsidRPr="007F4644">
        <w:rPr>
          <w:lang w:bidi="ar-EG"/>
        </w:rPr>
        <w:t>4</w:t>
      </w:r>
      <w:r w:rsidR="004511E7" w:rsidRPr="007F4644">
        <w:rPr>
          <w:rFonts w:hint="cs"/>
          <w:rtl/>
          <w:lang w:bidi="ar-EG"/>
        </w:rPr>
        <w:t xml:space="preserve"> من "</w:t>
      </w:r>
      <w:r w:rsidR="004511E7" w:rsidRPr="007F4644">
        <w:rPr>
          <w:rFonts w:hint="cs"/>
          <w:i/>
          <w:iCs/>
          <w:rtl/>
          <w:lang w:bidi="ar-EG"/>
        </w:rPr>
        <w:t>توصي</w:t>
      </w:r>
      <w:r w:rsidR="004511E7" w:rsidRPr="007F4644">
        <w:rPr>
          <w:rFonts w:hint="cs"/>
          <w:rtl/>
          <w:lang w:bidi="ar-EG"/>
        </w:rPr>
        <w:t xml:space="preserve"> </w:t>
      </w:r>
      <w:r w:rsidR="004511E7" w:rsidRPr="007F4644">
        <w:rPr>
          <w:lang w:bidi="ar-EG"/>
        </w:rPr>
        <w:t>2</w:t>
      </w:r>
      <w:r w:rsidR="004511E7" w:rsidRPr="007F4644">
        <w:rPr>
          <w:rFonts w:hint="cs"/>
          <w:rtl/>
          <w:lang w:bidi="ar-EG"/>
        </w:rPr>
        <w:t xml:space="preserve">" من أجل </w:t>
      </w:r>
      <w:r w:rsidR="007D05BD" w:rsidRPr="007F4644">
        <w:rPr>
          <w:rFonts w:hint="cs"/>
          <w:rtl/>
          <w:lang w:bidi="ar-EG"/>
        </w:rPr>
        <w:t>السماح ب</w:t>
      </w:r>
      <w:r w:rsidR="004511E7" w:rsidRPr="007F4644">
        <w:rPr>
          <w:rFonts w:hint="cs"/>
          <w:rtl/>
          <w:lang w:bidi="ar-EG"/>
        </w:rPr>
        <w:t>فهم</w:t>
      </w:r>
      <w:r w:rsidR="007D05BD" w:rsidRPr="007F4644">
        <w:rPr>
          <w:rFonts w:hint="cs"/>
          <w:rtl/>
          <w:lang w:bidi="ar-EG"/>
        </w:rPr>
        <w:t xml:space="preserve"> أفضل</w:t>
      </w:r>
      <w:r w:rsidR="004511E7" w:rsidRPr="007F4644">
        <w:rPr>
          <w:rFonts w:hint="cs"/>
          <w:rtl/>
          <w:lang w:bidi="ar-EG"/>
        </w:rPr>
        <w:t xml:space="preserve"> </w:t>
      </w:r>
      <w:r w:rsidR="007D05BD" w:rsidRPr="007F4644">
        <w:rPr>
          <w:rFonts w:hint="cs"/>
          <w:rtl/>
          <w:lang w:bidi="ar-EG"/>
        </w:rPr>
        <w:t>ل</w:t>
      </w:r>
      <w:r w:rsidR="004511E7" w:rsidRPr="007F4644">
        <w:rPr>
          <w:rFonts w:hint="cs"/>
          <w:rtl/>
          <w:lang w:bidi="ar-EG"/>
        </w:rPr>
        <w:t>هذه التوصية.</w:t>
      </w:r>
    </w:p>
    <w:p w14:paraId="15A997ED" w14:textId="1C3A08CC" w:rsidR="003C6212" w:rsidRPr="008E31AF" w:rsidRDefault="003C6212" w:rsidP="003C6212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7F4644">
        <w:rPr>
          <w:rFonts w:hint="cs"/>
          <w:u w:val="single"/>
          <w:rtl/>
        </w:rPr>
        <w:t xml:space="preserve">مشروع مراجعة التوصية </w:t>
      </w:r>
      <w:r w:rsidRPr="007F4644">
        <w:rPr>
          <w:u w:val="single"/>
        </w:rPr>
        <w:t>ITU</w:t>
      </w:r>
      <w:r w:rsidRPr="007F4644">
        <w:rPr>
          <w:u w:val="single"/>
        </w:rPr>
        <w:noBreakHyphen/>
        <w:t>R S.1714-0</w:t>
      </w:r>
      <w:r w:rsidRPr="007F4644">
        <w:rPr>
          <w:rFonts w:hint="cs"/>
          <w:rtl/>
          <w:lang w:bidi="ar-EG"/>
        </w:rPr>
        <w:tab/>
        <w:t xml:space="preserve">الوثيقة </w:t>
      </w:r>
      <w:r w:rsidR="00F339AC" w:rsidRPr="007F4644">
        <w:rPr>
          <w:lang w:bidi="ar-EG"/>
        </w:rPr>
        <w:t>4</w:t>
      </w:r>
      <w:r w:rsidRPr="007F4644">
        <w:rPr>
          <w:lang w:bidi="ar-EG"/>
        </w:rPr>
        <w:t>/39(Rev.1)</w:t>
      </w:r>
    </w:p>
    <w:p w14:paraId="54F58BFA" w14:textId="4A64EBD5" w:rsidR="003C6212" w:rsidRPr="00B45E56" w:rsidRDefault="003C6212" w:rsidP="00713DAA">
      <w:pPr>
        <w:pStyle w:val="Rectitle"/>
        <w:rPr>
          <w:rtl/>
        </w:rPr>
      </w:pPr>
      <w:r w:rsidRPr="00B45E56">
        <w:rPr>
          <w:rFonts w:hint="cs"/>
          <w:rtl/>
        </w:rPr>
        <w:t xml:space="preserve">منهجية </w:t>
      </w:r>
      <w:proofErr w:type="spellStart"/>
      <w:r w:rsidRPr="00B45E56">
        <w:rPr>
          <w:rFonts w:hint="cs"/>
          <w:rtl/>
        </w:rPr>
        <w:t>سكونية</w:t>
      </w:r>
      <w:proofErr w:type="spellEnd"/>
      <w:r w:rsidRPr="00B45E56">
        <w:rPr>
          <w:rFonts w:hint="cs"/>
          <w:rtl/>
        </w:rPr>
        <w:t xml:space="preserve"> لحساب كثافة تدفق القدرة المكافئة</w:t>
      </w:r>
      <w:r w:rsidRPr="00B45E56">
        <w:rPr>
          <w:vertAlign w:val="subscript"/>
        </w:rPr>
        <w:sym w:font="Symbol" w:char="F0AF"/>
      </w:r>
      <w:r w:rsidRPr="00B45E56">
        <w:rPr>
          <w:rFonts w:hint="cs"/>
          <w:rtl/>
        </w:rPr>
        <w:t xml:space="preserve"> </w:t>
      </w:r>
      <w:r w:rsidRPr="00B45E56">
        <w:rPr>
          <w:lang w:val="fr-FR"/>
        </w:rPr>
        <w:t>(</w:t>
      </w:r>
      <w:r w:rsidRPr="00B45E56">
        <w:t>epfd</w:t>
      </w:r>
      <w:r w:rsidRPr="00B45E56">
        <w:rPr>
          <w:vertAlign w:val="subscript"/>
        </w:rPr>
        <w:sym w:font="Symbol" w:char="F0AF"/>
      </w:r>
      <w:r w:rsidRPr="00B45E56">
        <w:t>)</w:t>
      </w:r>
      <w:r w:rsidRPr="00B45E56">
        <w:rPr>
          <w:rFonts w:hint="cs"/>
          <w:rtl/>
        </w:rPr>
        <w:t xml:space="preserve"> من أجل تيسير</w:t>
      </w:r>
      <w:r w:rsidRPr="00B45E56">
        <w:rPr>
          <w:rFonts w:hint="cs"/>
          <w:rtl/>
        </w:rPr>
        <w:br/>
        <w:t xml:space="preserve">تنسيق الهوائيات الكبيرة جداً بموجب الرقمين </w:t>
      </w:r>
      <w:r w:rsidRPr="00B45E56">
        <w:rPr>
          <w:lang w:val="fr-FR"/>
        </w:rPr>
        <w:t>7A.9</w:t>
      </w:r>
      <w:r w:rsidRPr="00B45E56">
        <w:rPr>
          <w:rFonts w:hint="cs"/>
          <w:rtl/>
        </w:rPr>
        <w:t xml:space="preserve"> و</w:t>
      </w:r>
      <w:r w:rsidRPr="00B45E56">
        <w:rPr>
          <w:lang w:val="fr-FR"/>
        </w:rPr>
        <w:t>7B.9</w:t>
      </w:r>
      <w:r w:rsidRPr="00B45E56">
        <w:rPr>
          <w:rFonts w:hint="cs"/>
          <w:rtl/>
        </w:rPr>
        <w:t xml:space="preserve"> من لوائح الراديو</w:t>
      </w:r>
    </w:p>
    <w:p w14:paraId="47137A65" w14:textId="7F8A3D89" w:rsidR="008E31AF" w:rsidRDefault="00F339AC" w:rsidP="003C16C6">
      <w:pPr>
        <w:rPr>
          <w:rtl/>
          <w:lang w:bidi="ar-EG"/>
        </w:rPr>
      </w:pPr>
      <w:r w:rsidRPr="00B45E56">
        <w:rPr>
          <w:rFonts w:hint="cs"/>
          <w:rtl/>
          <w:lang w:bidi="ar-SY"/>
        </w:rPr>
        <w:t>ترمي</w:t>
      </w:r>
      <w:r w:rsidR="00B56FD3" w:rsidRPr="00B45E56">
        <w:rPr>
          <w:rFonts w:hint="cs"/>
          <w:rtl/>
          <w:lang w:bidi="ar-SY"/>
        </w:rPr>
        <w:t xml:space="preserve"> هذه المراجعة</w:t>
      </w:r>
      <w:r w:rsidRPr="00B45E56">
        <w:rPr>
          <w:rFonts w:hint="cs"/>
          <w:rtl/>
          <w:lang w:bidi="ar-SY"/>
        </w:rPr>
        <w:t xml:space="preserve"> إلى تصويب</w:t>
      </w:r>
      <w:r w:rsidR="00B56FD3" w:rsidRPr="00B45E56">
        <w:rPr>
          <w:rFonts w:hint="cs"/>
          <w:rtl/>
          <w:lang w:bidi="ar-SY"/>
        </w:rPr>
        <w:t xml:space="preserve"> </w:t>
      </w:r>
      <w:r w:rsidR="00DB5F3D" w:rsidRPr="00B45E56">
        <w:rPr>
          <w:rFonts w:hint="cs"/>
          <w:rtl/>
          <w:lang w:bidi="ar-SY"/>
        </w:rPr>
        <w:t xml:space="preserve">خطأ في الحالة </w:t>
      </w:r>
      <w:r w:rsidR="00DB5F3D" w:rsidRPr="00B45E56">
        <w:rPr>
          <w:lang w:bidi="ar-SY"/>
        </w:rPr>
        <w:t>1</w:t>
      </w:r>
      <w:r w:rsidR="00DB5F3D" w:rsidRPr="00B45E56">
        <w:rPr>
          <w:rFonts w:hint="cs"/>
          <w:rtl/>
          <w:lang w:bidi="ar-EG"/>
        </w:rPr>
        <w:t xml:space="preserve"> </w:t>
      </w:r>
      <w:r w:rsidRPr="00B45E56">
        <w:rPr>
          <w:rFonts w:hint="cs"/>
          <w:rtl/>
          <w:lang w:bidi="ar-EG"/>
        </w:rPr>
        <w:t>في</w:t>
      </w:r>
      <w:r w:rsidR="00DB5F3D" w:rsidRPr="00B45E56">
        <w:rPr>
          <w:rFonts w:hint="cs"/>
          <w:rtl/>
          <w:lang w:bidi="ar-EG"/>
        </w:rPr>
        <w:t xml:space="preserve"> التوصية </w:t>
      </w:r>
      <w:r w:rsidR="00DB5F3D" w:rsidRPr="00B45E56">
        <w:rPr>
          <w:lang w:bidi="ar-EG"/>
        </w:rPr>
        <w:t>ITU-R S.1714</w:t>
      </w:r>
      <w:r w:rsidR="00DB5F3D" w:rsidRPr="00B45E56">
        <w:rPr>
          <w:rFonts w:hint="cs"/>
          <w:rtl/>
          <w:lang w:bidi="ar-EG"/>
        </w:rPr>
        <w:t xml:space="preserve"> فيما </w:t>
      </w:r>
      <w:r w:rsidR="00CE44B1" w:rsidRPr="00B45E56">
        <w:rPr>
          <w:rFonts w:hint="cs"/>
          <w:rtl/>
          <w:lang w:bidi="ar-EG"/>
        </w:rPr>
        <w:t>يتصل</w:t>
      </w:r>
      <w:r w:rsidR="00DB5F3D" w:rsidRPr="00B45E56">
        <w:rPr>
          <w:rFonts w:hint="cs"/>
          <w:rtl/>
          <w:lang w:bidi="ar-EG"/>
        </w:rPr>
        <w:t xml:space="preserve"> بالتحديد غير </w:t>
      </w:r>
      <w:r w:rsidRPr="00B45E56">
        <w:rPr>
          <w:rFonts w:hint="cs"/>
          <w:rtl/>
          <w:lang w:bidi="ar-EG"/>
        </w:rPr>
        <w:t>ال</w:t>
      </w:r>
      <w:r w:rsidR="00DB5F3D" w:rsidRPr="00B45E56">
        <w:rPr>
          <w:rFonts w:hint="cs"/>
          <w:rtl/>
          <w:lang w:bidi="ar-EG"/>
        </w:rPr>
        <w:t xml:space="preserve">صحيح </w:t>
      </w:r>
      <w:r w:rsidR="00E70FD7" w:rsidRPr="00B45E56">
        <w:rPr>
          <w:rFonts w:hint="cs"/>
          <w:rtl/>
          <w:lang w:bidi="ar-EG"/>
        </w:rPr>
        <w:t>لزاوية ألفا</w:t>
      </w:r>
      <w:r w:rsidR="00DB5F3D" w:rsidRPr="00B45E56">
        <w:rPr>
          <w:rFonts w:hint="cs"/>
          <w:rtl/>
          <w:lang w:bidi="ar-EG"/>
        </w:rPr>
        <w:t xml:space="preserve"> عند تقييم أقنعة كثافة تدفق القدرة المقدمة في</w:t>
      </w:r>
      <w:r w:rsidR="008C220E" w:rsidRPr="00B45E56">
        <w:rPr>
          <w:rFonts w:hint="cs"/>
          <w:rtl/>
          <w:lang w:bidi="ar-EG"/>
        </w:rPr>
        <w:t xml:space="preserve"> </w:t>
      </w:r>
      <w:r w:rsidR="00155D52" w:rsidRPr="00B45E56">
        <w:rPr>
          <w:rFonts w:hint="cs"/>
          <w:rtl/>
        </w:rPr>
        <w:t xml:space="preserve">شكل </w:t>
      </w:r>
      <w:r w:rsidR="00CE44B1" w:rsidRPr="00B45E56">
        <w:rPr>
          <w:rFonts w:hint="cs"/>
          <w:rtl/>
          <w:lang w:bidi="ar-EG"/>
        </w:rPr>
        <w:t>زاوية ألفا بالنسبة إلى فرق خط الطول،</w:t>
      </w:r>
      <w:r w:rsidR="008C220E" w:rsidRPr="00B45E56">
        <w:rPr>
          <w:rFonts w:hint="cs"/>
          <w:rtl/>
          <w:lang w:bidi="ar-EG"/>
        </w:rPr>
        <w:t xml:space="preserve"> </w:t>
      </w:r>
      <w:r w:rsidR="00CE44B1" w:rsidRPr="00B45E56">
        <w:rPr>
          <w:rFonts w:hint="cs"/>
          <w:rtl/>
          <w:lang w:bidi="ar-EG"/>
        </w:rPr>
        <w:t>فيما يتعلق</w:t>
      </w:r>
      <w:r w:rsidR="008C220E" w:rsidRPr="00B45E56">
        <w:rPr>
          <w:rFonts w:hint="cs"/>
          <w:rtl/>
          <w:lang w:bidi="ar-EG"/>
        </w:rPr>
        <w:t xml:space="preserve"> </w:t>
      </w:r>
      <w:r w:rsidR="00CE44B1" w:rsidRPr="00B45E56">
        <w:rPr>
          <w:rFonts w:hint="cs"/>
          <w:rtl/>
          <w:lang w:bidi="ar-EG"/>
        </w:rPr>
        <w:t>ب</w:t>
      </w:r>
      <w:r w:rsidR="008C220E" w:rsidRPr="00B45E56">
        <w:rPr>
          <w:rFonts w:hint="cs"/>
          <w:rtl/>
          <w:lang w:bidi="ar-EG"/>
        </w:rPr>
        <w:t xml:space="preserve">السواتل المستقرة بالنسبة إلى الأرض العاملة </w:t>
      </w:r>
      <w:r w:rsidR="002B6258" w:rsidRPr="00B45E56">
        <w:rPr>
          <w:rFonts w:hint="cs"/>
          <w:rtl/>
          <w:lang w:bidi="ar-EG"/>
        </w:rPr>
        <w:t>بزاوية ميل</w:t>
      </w:r>
      <w:r w:rsidR="008C220E" w:rsidRPr="00B45E56">
        <w:rPr>
          <w:rFonts w:hint="cs"/>
          <w:rtl/>
          <w:lang w:bidi="ar-EG"/>
        </w:rPr>
        <w:t xml:space="preserve">. وبالإضافة إلى ذلك، تضيف هذه المراجعة خطوة إلى الحالة </w:t>
      </w:r>
      <w:r w:rsidR="008C220E" w:rsidRPr="00B45E56">
        <w:rPr>
          <w:lang w:bidi="ar-EG"/>
        </w:rPr>
        <w:t>2</w:t>
      </w:r>
      <w:r w:rsidR="008C220E" w:rsidRPr="00B45E56">
        <w:rPr>
          <w:rFonts w:hint="cs"/>
          <w:rtl/>
          <w:lang w:bidi="ar-EG"/>
        </w:rPr>
        <w:t xml:space="preserve"> </w:t>
      </w:r>
      <w:r w:rsidR="00416AF9" w:rsidRPr="00B45E56">
        <w:rPr>
          <w:rFonts w:hint="cs"/>
          <w:rtl/>
          <w:lang w:bidi="ar-EG"/>
        </w:rPr>
        <w:t xml:space="preserve">وملاحظة إلى الحالة </w:t>
      </w:r>
      <w:r w:rsidR="00416AF9" w:rsidRPr="00B45E56">
        <w:rPr>
          <w:lang w:bidi="ar-EG"/>
        </w:rPr>
        <w:t>3</w:t>
      </w:r>
      <w:r w:rsidR="00416AF9" w:rsidRPr="00B45E56">
        <w:rPr>
          <w:rFonts w:hint="cs"/>
          <w:rtl/>
          <w:lang w:bidi="ar-EG"/>
        </w:rPr>
        <w:t xml:space="preserve"> لتحديد ما إذا كانت </w:t>
      </w:r>
      <w:r w:rsidR="002B6258" w:rsidRPr="00B45E56">
        <w:rPr>
          <w:rFonts w:hint="cs"/>
          <w:rtl/>
          <w:lang w:bidi="ar-EG"/>
        </w:rPr>
        <w:t>هاتان الحالتان ملائمتين</w:t>
      </w:r>
      <w:r w:rsidR="00416AF9" w:rsidRPr="00B45E56">
        <w:rPr>
          <w:rFonts w:hint="cs"/>
          <w:rtl/>
          <w:lang w:bidi="ar-EG"/>
        </w:rPr>
        <w:t xml:space="preserve"> للاستخدام في </w:t>
      </w:r>
      <w:r w:rsidR="002B6258" w:rsidRPr="00B45E56">
        <w:rPr>
          <w:rFonts w:hint="cs"/>
          <w:rtl/>
          <w:lang w:bidi="ar-EG"/>
        </w:rPr>
        <w:t>أحوال</w:t>
      </w:r>
      <w:r w:rsidR="00416AF9" w:rsidRPr="00B45E56">
        <w:rPr>
          <w:rFonts w:hint="cs"/>
          <w:rtl/>
          <w:lang w:bidi="ar-EG"/>
        </w:rPr>
        <w:t xml:space="preserve"> معينة. وأخيراً، </w:t>
      </w:r>
      <w:r w:rsidR="002B6258" w:rsidRPr="00B45E56">
        <w:rPr>
          <w:rFonts w:hint="cs"/>
          <w:rtl/>
          <w:lang w:bidi="ar-EG"/>
        </w:rPr>
        <w:t>تشمل</w:t>
      </w:r>
      <w:r w:rsidR="003C16C6" w:rsidRPr="00B45E56">
        <w:rPr>
          <w:rFonts w:hint="cs"/>
          <w:rtl/>
          <w:lang w:bidi="ar-EG"/>
        </w:rPr>
        <w:t xml:space="preserve"> هذه المراجعة تعديلات </w:t>
      </w:r>
      <w:r w:rsidR="002B6258" w:rsidRPr="00B45E56">
        <w:rPr>
          <w:rFonts w:hint="cs"/>
          <w:rtl/>
          <w:lang w:bidi="ar-EG"/>
        </w:rPr>
        <w:t>صياغية ل</w:t>
      </w:r>
      <w:r w:rsidR="003C16C6" w:rsidRPr="00B45E56">
        <w:rPr>
          <w:rFonts w:hint="cs"/>
          <w:rtl/>
          <w:lang w:bidi="ar-EG"/>
        </w:rPr>
        <w:t xml:space="preserve">جميع الحالات لحساب مستويات تفعيل كثافة تدفق القدرة المكافئة للوصلة الهابطة </w:t>
      </w:r>
      <w:r w:rsidR="003C16C6" w:rsidRPr="00B45E56">
        <w:rPr>
          <w:lang w:bidi="ar-EG"/>
        </w:rPr>
        <w:t>(</w:t>
      </w:r>
      <w:r w:rsidR="003C16C6" w:rsidRPr="00B45E56">
        <w:rPr>
          <w:lang w:val="en-GB" w:bidi="ar-EG"/>
        </w:rPr>
        <w:t>epfd</w:t>
      </w:r>
      <w:r w:rsidR="003C16C6" w:rsidRPr="00B45E56">
        <w:rPr>
          <w:rFonts w:ascii="Symbol" w:hAnsi="Symbol"/>
          <w:vertAlign w:val="subscript"/>
          <w:lang w:val="en-GB" w:bidi="ar-EG"/>
        </w:rPr>
        <w:t></w:t>
      </w:r>
      <w:r w:rsidR="003C16C6" w:rsidRPr="00B45E56">
        <w:rPr>
          <w:lang w:bidi="ar-EG"/>
        </w:rPr>
        <w:t>)</w:t>
      </w:r>
      <w:r w:rsidR="003C16C6" w:rsidRPr="00B45E56">
        <w:rPr>
          <w:rFonts w:hint="cs"/>
          <w:rtl/>
          <w:lang w:bidi="ar-EG"/>
        </w:rPr>
        <w:t xml:space="preserve"> والتحقق من مطابقتها.</w:t>
      </w:r>
    </w:p>
    <w:p w14:paraId="434C927C" w14:textId="01D9A27E" w:rsidR="00F16820" w:rsidRPr="007F4644" w:rsidRDefault="007F4644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</w:t>
      </w:r>
    </w:p>
    <w:sectPr w:rsidR="00F16820" w:rsidRPr="007F4644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3EB90" w14:textId="77777777" w:rsidR="005901B2" w:rsidRDefault="005901B2" w:rsidP="006C3242">
      <w:pPr>
        <w:spacing w:before="0" w:line="240" w:lineRule="auto"/>
      </w:pPr>
      <w:r>
        <w:separator/>
      </w:r>
    </w:p>
  </w:endnote>
  <w:endnote w:type="continuationSeparator" w:id="0">
    <w:p w14:paraId="24599D27" w14:textId="77777777" w:rsidR="005901B2" w:rsidRDefault="005901B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DA3" w14:textId="3D6D787E" w:rsidR="00873048" w:rsidRPr="0041300B" w:rsidRDefault="0041300B" w:rsidP="0041300B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7268BA">
      <w:rPr>
        <w:color w:val="4F81BD"/>
        <w:sz w:val="19"/>
        <w:szCs w:val="19"/>
        <w:lang w:val="en-GB"/>
      </w:rPr>
      <w:t>International Telecommunication Union • Place des Nations, CH</w:t>
    </w:r>
    <w:r w:rsidRPr="007268BA">
      <w:rPr>
        <w:color w:val="4F81BD"/>
        <w:sz w:val="19"/>
        <w:szCs w:val="19"/>
        <w:lang w:val="en-GB"/>
      </w:rPr>
      <w:noBreakHyphen/>
      <w:t>1211 Geneva 20, Switzerland</w:t>
    </w:r>
    <w:r w:rsidRPr="007268BA">
      <w:rPr>
        <w:color w:val="4F81BD"/>
        <w:sz w:val="19"/>
        <w:szCs w:val="19"/>
        <w:lang w:val="en-GB"/>
      </w:rPr>
      <w:br/>
    </w:r>
    <w:r w:rsidRPr="0041300B">
      <w:rPr>
        <w:color w:val="4F81BD"/>
        <w:sz w:val="19"/>
        <w:szCs w:val="19"/>
        <w:lang w:val="en-GB"/>
      </w:rPr>
      <w:t>Tel: +41 22 730 5111 • E-mail:</w:t>
    </w:r>
    <w:r w:rsidRPr="007527C9">
      <w:rPr>
        <w:color w:val="5B9BD5" w:themeColor="accent1"/>
        <w:sz w:val="19"/>
        <w:szCs w:val="19"/>
        <w:lang w:val="en-GB"/>
      </w:rPr>
      <w:t xml:space="preserve"> </w:t>
    </w:r>
    <w:hyperlink r:id="rId1" w:history="1">
      <w:r w:rsidRPr="007527C9">
        <w:rPr>
          <w:rStyle w:val="Hyperlink"/>
          <w:sz w:val="19"/>
          <w:szCs w:val="19"/>
          <w:lang w:val="en-GB"/>
        </w:rPr>
        <w:t>itumail@itu.int</w:t>
      </w:r>
    </w:hyperlink>
    <w:r w:rsidRPr="00E15F83">
      <w:rPr>
        <w:color w:val="4F81BD"/>
        <w:sz w:val="19"/>
        <w:szCs w:val="19"/>
        <w:lang w:val="en-GB"/>
      </w:rPr>
      <w:t xml:space="preserve"> • Fax: +41 22 733 7256 • </w:t>
    </w:r>
    <w:hyperlink r:id="rId2" w:history="1">
      <w:r w:rsidRPr="007527C9">
        <w:rPr>
          <w:rStyle w:val="Hyperlink"/>
          <w:sz w:val="19"/>
          <w:szCs w:val="19"/>
          <w:lang w:val="en-GB"/>
        </w:rPr>
        <w:t>www.itu.int</w:t>
      </w:r>
    </w:hyperlink>
    <w:r w:rsidRPr="007527C9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70B7" w14:textId="77777777" w:rsidR="005901B2" w:rsidRDefault="005901B2" w:rsidP="006C3242">
      <w:pPr>
        <w:spacing w:before="0" w:line="240" w:lineRule="auto"/>
      </w:pPr>
      <w:r>
        <w:separator/>
      </w:r>
    </w:p>
  </w:footnote>
  <w:footnote w:type="continuationSeparator" w:id="0">
    <w:p w14:paraId="0550F81A" w14:textId="77777777" w:rsidR="005901B2" w:rsidRDefault="005901B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7E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C339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7FC4C1E" wp14:editId="3500EF1E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2"/>
    <w:rsid w:val="00045D7A"/>
    <w:rsid w:val="0006468A"/>
    <w:rsid w:val="00090574"/>
    <w:rsid w:val="000C1C0E"/>
    <w:rsid w:val="000C548A"/>
    <w:rsid w:val="000F7BBE"/>
    <w:rsid w:val="00145532"/>
    <w:rsid w:val="00150DB9"/>
    <w:rsid w:val="00155D52"/>
    <w:rsid w:val="00167096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6258"/>
    <w:rsid w:val="002E6541"/>
    <w:rsid w:val="00321C88"/>
    <w:rsid w:val="00334924"/>
    <w:rsid w:val="003409BC"/>
    <w:rsid w:val="0034662F"/>
    <w:rsid w:val="00357185"/>
    <w:rsid w:val="00383829"/>
    <w:rsid w:val="003C16C6"/>
    <w:rsid w:val="003C6212"/>
    <w:rsid w:val="003F4B29"/>
    <w:rsid w:val="0041300B"/>
    <w:rsid w:val="00416AF9"/>
    <w:rsid w:val="0042686F"/>
    <w:rsid w:val="004317D8"/>
    <w:rsid w:val="00434183"/>
    <w:rsid w:val="00443869"/>
    <w:rsid w:val="00447F32"/>
    <w:rsid w:val="004511E7"/>
    <w:rsid w:val="00487ADF"/>
    <w:rsid w:val="004E11DC"/>
    <w:rsid w:val="00525DDD"/>
    <w:rsid w:val="005409AC"/>
    <w:rsid w:val="0055516A"/>
    <w:rsid w:val="0058491B"/>
    <w:rsid w:val="005901B2"/>
    <w:rsid w:val="00592EA5"/>
    <w:rsid w:val="005A3170"/>
    <w:rsid w:val="006515C3"/>
    <w:rsid w:val="00677396"/>
    <w:rsid w:val="0069200F"/>
    <w:rsid w:val="006A65CB"/>
    <w:rsid w:val="006C3242"/>
    <w:rsid w:val="006C7CC0"/>
    <w:rsid w:val="006F63F7"/>
    <w:rsid w:val="007025C7"/>
    <w:rsid w:val="00706D7A"/>
    <w:rsid w:val="00713DAA"/>
    <w:rsid w:val="00722F0D"/>
    <w:rsid w:val="0074420E"/>
    <w:rsid w:val="00783E26"/>
    <w:rsid w:val="007C3BC7"/>
    <w:rsid w:val="007C3BCD"/>
    <w:rsid w:val="007D05BD"/>
    <w:rsid w:val="007D4ACF"/>
    <w:rsid w:val="007F0787"/>
    <w:rsid w:val="007F4644"/>
    <w:rsid w:val="00810B7B"/>
    <w:rsid w:val="0082358A"/>
    <w:rsid w:val="008235CD"/>
    <w:rsid w:val="008247DE"/>
    <w:rsid w:val="00826847"/>
    <w:rsid w:val="00840B10"/>
    <w:rsid w:val="008513CB"/>
    <w:rsid w:val="00873048"/>
    <w:rsid w:val="008A7F84"/>
    <w:rsid w:val="008B6BEE"/>
    <w:rsid w:val="008C220E"/>
    <w:rsid w:val="008E31AF"/>
    <w:rsid w:val="008F5007"/>
    <w:rsid w:val="0091702E"/>
    <w:rsid w:val="00923B0C"/>
    <w:rsid w:val="0094021C"/>
    <w:rsid w:val="00952762"/>
    <w:rsid w:val="00952F86"/>
    <w:rsid w:val="00954718"/>
    <w:rsid w:val="00982B28"/>
    <w:rsid w:val="009B758F"/>
    <w:rsid w:val="009D313F"/>
    <w:rsid w:val="00A47A5A"/>
    <w:rsid w:val="00A623FB"/>
    <w:rsid w:val="00A6683B"/>
    <w:rsid w:val="00A957E8"/>
    <w:rsid w:val="00A97F94"/>
    <w:rsid w:val="00AA7EA2"/>
    <w:rsid w:val="00AF29C4"/>
    <w:rsid w:val="00B03099"/>
    <w:rsid w:val="00B05BC8"/>
    <w:rsid w:val="00B20C86"/>
    <w:rsid w:val="00B23456"/>
    <w:rsid w:val="00B45E56"/>
    <w:rsid w:val="00B56FD3"/>
    <w:rsid w:val="00B64B47"/>
    <w:rsid w:val="00BB2F52"/>
    <w:rsid w:val="00BF6D1D"/>
    <w:rsid w:val="00C002DE"/>
    <w:rsid w:val="00C53BF8"/>
    <w:rsid w:val="00C66157"/>
    <w:rsid w:val="00C674FE"/>
    <w:rsid w:val="00C67501"/>
    <w:rsid w:val="00C75633"/>
    <w:rsid w:val="00CB371C"/>
    <w:rsid w:val="00CE2EE1"/>
    <w:rsid w:val="00CE3349"/>
    <w:rsid w:val="00CE36E5"/>
    <w:rsid w:val="00CE44B1"/>
    <w:rsid w:val="00CF27F5"/>
    <w:rsid w:val="00CF3FFD"/>
    <w:rsid w:val="00D10CCF"/>
    <w:rsid w:val="00D77D0F"/>
    <w:rsid w:val="00DA1CF0"/>
    <w:rsid w:val="00DB5F3D"/>
    <w:rsid w:val="00DC1E02"/>
    <w:rsid w:val="00DC24B4"/>
    <w:rsid w:val="00DC5FB0"/>
    <w:rsid w:val="00DF16DC"/>
    <w:rsid w:val="00E05CF8"/>
    <w:rsid w:val="00E15F83"/>
    <w:rsid w:val="00E45211"/>
    <w:rsid w:val="00E473C5"/>
    <w:rsid w:val="00E70FD7"/>
    <w:rsid w:val="00E728A2"/>
    <w:rsid w:val="00E92863"/>
    <w:rsid w:val="00EB796D"/>
    <w:rsid w:val="00EC0BBE"/>
    <w:rsid w:val="00ED0343"/>
    <w:rsid w:val="00F058DC"/>
    <w:rsid w:val="00F16820"/>
    <w:rsid w:val="00F24FC4"/>
    <w:rsid w:val="00F2676C"/>
    <w:rsid w:val="00F339A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63878"/>
  <w15:chartTrackingRefBased/>
  <w15:docId w15:val="{C7ECDE01-1C09-45F6-81BB-714856FD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713DAA"/>
    <w:pPr>
      <w:keepNext/>
      <w:keepLines/>
      <w:spacing w:before="240" w:after="240"/>
      <w:jc w:val="center"/>
    </w:pPr>
    <w:rPr>
      <w:b/>
      <w:bCs/>
      <w:sz w:val="28"/>
      <w:szCs w:val="28"/>
      <w:lang w:bidi="ar-SY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&amp; title"/>
    <w:basedOn w:val="Annextitle"/>
    <w:qFormat/>
    <w:rsid w:val="0071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9-SG04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6325-F4EA-460E-A969-2F769725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Panoussopoulos, Sonia</cp:lastModifiedBy>
  <cp:revision>2</cp:revision>
  <dcterms:created xsi:type="dcterms:W3CDTF">2021-11-25T13:33:00Z</dcterms:created>
  <dcterms:modified xsi:type="dcterms:W3CDTF">2021-11-25T13:33:00Z</dcterms:modified>
</cp:coreProperties>
</file>