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3CAFC05" w14:textId="77777777" w:rsidTr="00153E23">
        <w:tc>
          <w:tcPr>
            <w:tcW w:w="5000" w:type="pct"/>
            <w:gridSpan w:val="3"/>
            <w:shd w:val="clear" w:color="auto" w:fill="auto"/>
          </w:tcPr>
          <w:p w14:paraId="20A3A83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17800FF" w14:textId="77777777" w:rsidR="000F7BBE" w:rsidRPr="000F7BBE" w:rsidRDefault="000F7BBE" w:rsidP="000F7BBE">
            <w:pPr>
              <w:rPr>
                <w:b/>
                <w:bCs/>
                <w:rtl/>
                <w:lang w:bidi="ar-EG"/>
              </w:rPr>
            </w:pPr>
          </w:p>
        </w:tc>
      </w:tr>
      <w:tr w:rsidR="000F7BBE" w:rsidRPr="000F7BBE" w14:paraId="47782CA3" w14:textId="77777777" w:rsidTr="00153E23">
        <w:tc>
          <w:tcPr>
            <w:tcW w:w="2707" w:type="pct"/>
            <w:gridSpan w:val="2"/>
            <w:shd w:val="clear" w:color="auto" w:fill="auto"/>
          </w:tcPr>
          <w:p w14:paraId="0D332D4D" w14:textId="5E8F3EA1" w:rsidR="000F7BBE" w:rsidRPr="000F7BBE" w:rsidRDefault="000F7BBE" w:rsidP="00F03EE6">
            <w:pPr>
              <w:spacing w:before="80" w:line="300" w:lineRule="exact"/>
              <w:rPr>
                <w:position w:val="2"/>
                <w:lang w:bidi="ar-EG"/>
              </w:rPr>
            </w:pPr>
            <w:r w:rsidRPr="000C3E19">
              <w:rPr>
                <w:rFonts w:hint="cs"/>
                <w:position w:val="2"/>
                <w:rtl/>
                <w:lang w:bidi="ar-AE"/>
              </w:rPr>
              <w:t>الرسالة الإدارية المعممة</w:t>
            </w:r>
          </w:p>
          <w:p w14:paraId="7F5DA282" w14:textId="57ADBE5B" w:rsidR="000F7BBE" w:rsidRPr="000F7BBE" w:rsidRDefault="000F7BBE" w:rsidP="00F03EE6">
            <w:pPr>
              <w:spacing w:before="0" w:after="60" w:line="300" w:lineRule="exact"/>
              <w:rPr>
                <w:position w:val="2"/>
                <w:rtl/>
                <w:lang w:bidi="ar-SY"/>
              </w:rPr>
            </w:pPr>
            <w:r w:rsidRPr="000F7BBE">
              <w:rPr>
                <w:b/>
                <w:bCs/>
                <w:position w:val="2"/>
                <w:lang w:val="en-GB" w:bidi="ar-EG"/>
              </w:rPr>
              <w:t>CACE/</w:t>
            </w:r>
            <w:r w:rsidR="000C3E19">
              <w:rPr>
                <w:b/>
                <w:bCs/>
                <w:position w:val="2"/>
                <w:lang w:bidi="ar-EG"/>
              </w:rPr>
              <w:t>1003</w:t>
            </w:r>
          </w:p>
        </w:tc>
        <w:tc>
          <w:tcPr>
            <w:tcW w:w="2293" w:type="pct"/>
            <w:shd w:val="clear" w:color="auto" w:fill="auto"/>
          </w:tcPr>
          <w:p w14:paraId="463056A1" w14:textId="10824E90" w:rsidR="000F7BBE" w:rsidRPr="000F7BBE" w:rsidRDefault="000C3E19" w:rsidP="00F16820">
            <w:pPr>
              <w:spacing w:before="80" w:after="60" w:line="300" w:lineRule="exact"/>
              <w:jc w:val="right"/>
              <w:rPr>
                <w:position w:val="2"/>
                <w:rtl/>
                <w:lang w:bidi="ar-EG"/>
              </w:rPr>
            </w:pPr>
            <w:r w:rsidRPr="000C3E19">
              <w:rPr>
                <w:position w:val="2"/>
                <w:lang w:val="fr-FR" w:bidi="ar-EG"/>
              </w:rPr>
              <w:t>26</w:t>
            </w:r>
            <w:r w:rsidR="00F16820" w:rsidRPr="000C3E19">
              <w:rPr>
                <w:rFonts w:hint="cs"/>
                <w:position w:val="2"/>
                <w:rtl/>
                <w:lang w:bidi="ar-SY"/>
              </w:rPr>
              <w:t xml:space="preserve"> </w:t>
            </w:r>
            <w:r w:rsidRPr="000C3E19">
              <w:rPr>
                <w:rFonts w:hint="cs"/>
                <w:position w:val="2"/>
                <w:rtl/>
                <w:lang w:bidi="ar-SY"/>
              </w:rPr>
              <w:t>نوفمبر</w:t>
            </w:r>
            <w:r>
              <w:rPr>
                <w:rFonts w:hint="cs"/>
                <w:position w:val="2"/>
                <w:rtl/>
                <w:lang w:bidi="ar-SY"/>
              </w:rPr>
              <w:t xml:space="preserve"> </w:t>
            </w:r>
            <w:r w:rsidR="00F16820">
              <w:rPr>
                <w:position w:val="2"/>
                <w:lang w:bidi="ar-EG"/>
              </w:rPr>
              <w:t>202</w:t>
            </w:r>
            <w:r w:rsidR="006515C3">
              <w:rPr>
                <w:position w:val="2"/>
                <w:lang w:bidi="ar-EG"/>
              </w:rPr>
              <w:t>1</w:t>
            </w:r>
          </w:p>
        </w:tc>
      </w:tr>
      <w:tr w:rsidR="000F7BBE" w:rsidRPr="000F7BBE" w14:paraId="2C9243E3" w14:textId="77777777" w:rsidTr="00153E23">
        <w:tc>
          <w:tcPr>
            <w:tcW w:w="5000" w:type="pct"/>
            <w:gridSpan w:val="3"/>
            <w:shd w:val="clear" w:color="auto" w:fill="auto"/>
          </w:tcPr>
          <w:p w14:paraId="6855545C" w14:textId="77777777" w:rsidR="000F7BBE" w:rsidRPr="000F7BBE" w:rsidRDefault="000F7BBE" w:rsidP="000C3E19">
            <w:pPr>
              <w:spacing w:before="0" w:line="240" w:lineRule="exact"/>
              <w:rPr>
                <w:position w:val="2"/>
                <w:rtl/>
                <w:lang w:bidi="ar-EG"/>
              </w:rPr>
            </w:pPr>
          </w:p>
        </w:tc>
      </w:tr>
      <w:tr w:rsidR="000F7BBE" w:rsidRPr="000F7BBE" w14:paraId="62A0D9B6" w14:textId="77777777" w:rsidTr="00153E23">
        <w:tc>
          <w:tcPr>
            <w:tcW w:w="5000" w:type="pct"/>
            <w:gridSpan w:val="3"/>
            <w:shd w:val="clear" w:color="auto" w:fill="auto"/>
          </w:tcPr>
          <w:p w14:paraId="0243159D" w14:textId="77777777" w:rsidR="000F7BBE" w:rsidRPr="000F7BBE" w:rsidRDefault="000F7BBE" w:rsidP="000C3E19">
            <w:pPr>
              <w:spacing w:before="0" w:line="240" w:lineRule="exact"/>
              <w:rPr>
                <w:position w:val="2"/>
                <w:rtl/>
                <w:lang w:bidi="ar-SY"/>
              </w:rPr>
            </w:pPr>
          </w:p>
        </w:tc>
      </w:tr>
      <w:tr w:rsidR="000F7BBE" w:rsidRPr="000F7BBE" w14:paraId="0753C75C" w14:textId="77777777" w:rsidTr="00153E23">
        <w:tc>
          <w:tcPr>
            <w:tcW w:w="5000" w:type="pct"/>
            <w:gridSpan w:val="3"/>
            <w:shd w:val="clear" w:color="auto" w:fill="auto"/>
          </w:tcPr>
          <w:p w14:paraId="4FCD055E" w14:textId="6EC6BCC0" w:rsidR="000F7BBE" w:rsidRPr="000F7BBE" w:rsidRDefault="000F7BBE" w:rsidP="00F16820">
            <w:pPr>
              <w:spacing w:before="80" w:after="60" w:line="300" w:lineRule="exact"/>
              <w:jc w:val="left"/>
              <w:rPr>
                <w:b/>
                <w:bCs/>
                <w:position w:val="2"/>
                <w:lang w:bidi="ar-EG"/>
              </w:rPr>
            </w:pPr>
            <w:r w:rsidRPr="00192DD7">
              <w:rPr>
                <w:b/>
                <w:bCs/>
                <w:w w:val="115"/>
                <w:position w:val="2"/>
                <w:rtl/>
              </w:rPr>
              <w:t>إلى إدارات الدول الأعضاء في الاتحاد وأعضاء قطاع الاتصالات الراديوية</w:t>
            </w:r>
            <w:r w:rsidRPr="00192DD7">
              <w:rPr>
                <w:rFonts w:hint="cs"/>
                <w:b/>
                <w:bCs/>
                <w:w w:val="115"/>
                <w:position w:val="2"/>
                <w:rtl/>
              </w:rPr>
              <w:t xml:space="preserve"> و</w:t>
            </w:r>
            <w:r w:rsidRPr="00192DD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0C3E19">
              <w:rPr>
                <w:b/>
                <w:bCs/>
                <w:position w:val="2"/>
                <w:lang w:val="en-GB" w:bidi="ar-EG"/>
              </w:rPr>
              <w:t>4</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77360539" w14:textId="77777777" w:rsidTr="00153E23">
        <w:tc>
          <w:tcPr>
            <w:tcW w:w="5000" w:type="pct"/>
            <w:gridSpan w:val="3"/>
            <w:shd w:val="clear" w:color="auto" w:fill="auto"/>
          </w:tcPr>
          <w:p w14:paraId="3413D097" w14:textId="77777777" w:rsidR="000F7BBE" w:rsidRPr="000F7BBE" w:rsidRDefault="000F7BBE" w:rsidP="000C3E19">
            <w:pPr>
              <w:spacing w:before="0" w:line="240" w:lineRule="exact"/>
              <w:rPr>
                <w:position w:val="2"/>
                <w:rtl/>
                <w:lang w:bidi="ar-EG"/>
              </w:rPr>
            </w:pPr>
          </w:p>
        </w:tc>
      </w:tr>
      <w:tr w:rsidR="000F7BBE" w:rsidRPr="000F7BBE" w14:paraId="57E22AB0" w14:textId="77777777" w:rsidTr="00153E23">
        <w:tc>
          <w:tcPr>
            <w:tcW w:w="5000" w:type="pct"/>
            <w:gridSpan w:val="3"/>
            <w:shd w:val="clear" w:color="auto" w:fill="auto"/>
          </w:tcPr>
          <w:p w14:paraId="6E7349C6" w14:textId="77777777" w:rsidR="000F7BBE" w:rsidRPr="000F7BBE" w:rsidRDefault="000F7BBE" w:rsidP="000C3E19">
            <w:pPr>
              <w:spacing w:before="0" w:line="240" w:lineRule="exact"/>
              <w:rPr>
                <w:position w:val="2"/>
                <w:rtl/>
                <w:lang w:bidi="ar-EG"/>
              </w:rPr>
            </w:pPr>
          </w:p>
        </w:tc>
      </w:tr>
      <w:tr w:rsidR="000F7BBE" w:rsidRPr="000F7BBE" w14:paraId="113AC6E6" w14:textId="77777777" w:rsidTr="00153E23">
        <w:trPr>
          <w:trHeight w:val="452"/>
        </w:trPr>
        <w:tc>
          <w:tcPr>
            <w:tcW w:w="699" w:type="pct"/>
            <w:shd w:val="clear" w:color="auto" w:fill="auto"/>
          </w:tcPr>
          <w:p w14:paraId="1A8C8239"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1B6C87D8" w14:textId="306C382B" w:rsidR="000F7BBE" w:rsidRPr="000F7BBE" w:rsidRDefault="000F7BBE" w:rsidP="00F16820">
            <w:pPr>
              <w:tabs>
                <w:tab w:val="clear" w:pos="794"/>
                <w:tab w:val="left" w:pos="385"/>
              </w:tabs>
              <w:spacing w:before="80" w:after="60" w:line="300" w:lineRule="exact"/>
              <w:ind w:left="385" w:hanging="385"/>
              <w:rPr>
                <w:b/>
                <w:bCs/>
                <w:position w:val="2"/>
                <w:rtl/>
                <w:lang w:bidi="ar-EG"/>
              </w:rPr>
            </w:pPr>
            <w:r w:rsidRPr="000F7BBE">
              <w:rPr>
                <w:b/>
                <w:bCs/>
                <w:position w:val="2"/>
                <w:rtl/>
                <w:lang w:bidi="ar-EG"/>
              </w:rPr>
              <w:t xml:space="preserve">لجنة الدراسات </w:t>
            </w:r>
            <w:r w:rsidR="000C3E19" w:rsidRPr="00330CCB">
              <w:rPr>
                <w:b/>
                <w:bCs/>
                <w:position w:val="2"/>
                <w:lang w:val="fr-FR" w:bidi="ar-EG"/>
              </w:rPr>
              <w:t>4</w:t>
            </w:r>
            <w:r w:rsidRPr="000F7BBE">
              <w:rPr>
                <w:b/>
                <w:bCs/>
                <w:position w:val="2"/>
                <w:rtl/>
                <w:lang w:bidi="ar-EG"/>
              </w:rPr>
              <w:t xml:space="preserve"> للاتصالات الراديوي</w:t>
            </w:r>
            <w:r w:rsidRPr="000F7BBE">
              <w:rPr>
                <w:rFonts w:hint="cs"/>
                <w:b/>
                <w:bCs/>
                <w:position w:val="2"/>
                <w:rtl/>
                <w:lang w:bidi="ar-EG"/>
              </w:rPr>
              <w:t xml:space="preserve">ة </w:t>
            </w:r>
            <w:r w:rsidR="00F03EE6">
              <w:rPr>
                <w:rFonts w:hint="cs"/>
                <w:b/>
                <w:bCs/>
                <w:position w:val="2"/>
                <w:rtl/>
                <w:lang w:bidi="ar-EG"/>
              </w:rPr>
              <w:t>(الخدمات الساتلية)</w:t>
            </w:r>
          </w:p>
          <w:p w14:paraId="10470FEE" w14:textId="5B6D50BD" w:rsidR="000F7BBE" w:rsidRPr="000F7BBE" w:rsidRDefault="000C3E19" w:rsidP="00F16820">
            <w:pPr>
              <w:tabs>
                <w:tab w:val="clear" w:pos="794"/>
                <w:tab w:val="left" w:pos="385"/>
              </w:tabs>
              <w:spacing w:before="80" w:after="60" w:line="300" w:lineRule="exact"/>
              <w:ind w:left="385" w:hanging="385"/>
              <w:rPr>
                <w:b/>
                <w:bCs/>
                <w:position w:val="2"/>
                <w:lang w:bidi="ar-EG"/>
              </w:rPr>
            </w:pPr>
            <w:r w:rsidRPr="00DF1C4B">
              <w:rPr>
                <w:rFonts w:hint="cs"/>
                <w:b/>
                <w:bCs/>
                <w:position w:val="2"/>
                <w:rtl/>
                <w:lang w:bidi="ar-EG"/>
              </w:rPr>
              <w:t>-</w:t>
            </w:r>
            <w:r w:rsidRPr="00DF1C4B">
              <w:rPr>
                <w:b/>
                <w:bCs/>
                <w:position w:val="2"/>
                <w:rtl/>
                <w:lang w:bidi="ar-EG"/>
              </w:rPr>
              <w:tab/>
            </w:r>
            <w:r w:rsidRPr="00DF1C4B">
              <w:rPr>
                <w:rFonts w:hint="cs"/>
                <w:b/>
                <w:bCs/>
                <w:position w:val="2"/>
                <w:rtl/>
                <w:lang w:bidi="ar-EG"/>
              </w:rPr>
              <w:t xml:space="preserve">اقتراح للموافقة على </w:t>
            </w:r>
            <w:r w:rsidR="00F03EE6">
              <w:rPr>
                <w:rFonts w:hint="cs"/>
                <w:b/>
                <w:bCs/>
                <w:position w:val="2"/>
                <w:rtl/>
                <w:lang w:bidi="ar-EG"/>
              </w:rPr>
              <w:t>مشروعي مراجعة</w:t>
            </w:r>
            <w:r w:rsidRPr="00DF1C4B">
              <w:rPr>
                <w:rFonts w:hint="cs"/>
                <w:b/>
                <w:bCs/>
                <w:position w:val="2"/>
                <w:rtl/>
                <w:lang w:bidi="ar-EG"/>
              </w:rPr>
              <w:t xml:space="preserve"> </w:t>
            </w:r>
            <w:r w:rsidR="00F03EE6">
              <w:rPr>
                <w:rFonts w:hint="cs"/>
                <w:b/>
                <w:bCs/>
                <w:position w:val="2"/>
                <w:rtl/>
                <w:lang w:bidi="ar-EG"/>
              </w:rPr>
              <w:t>توصيتين</w:t>
            </w:r>
            <w:r w:rsidRPr="00DF1C4B">
              <w:rPr>
                <w:rFonts w:hint="cs"/>
                <w:b/>
                <w:bCs/>
                <w:position w:val="2"/>
                <w:rtl/>
                <w:lang w:bidi="ar-EG"/>
              </w:rPr>
              <w:t xml:space="preserve"> لقطاع الاتصالات الراديوية</w:t>
            </w:r>
          </w:p>
        </w:tc>
      </w:tr>
    </w:tbl>
    <w:p w14:paraId="096E0DF5" w14:textId="77777777" w:rsidR="000C3E19" w:rsidRDefault="000C3E19" w:rsidP="000C3E19">
      <w:pPr>
        <w:spacing w:before="600"/>
        <w:rPr>
          <w:rtl/>
        </w:rPr>
      </w:pPr>
      <w:r>
        <w:rPr>
          <w:rFonts w:hint="cs"/>
          <w:rtl/>
        </w:rPr>
        <w:t>تحية طيبة وبعد،</w:t>
      </w:r>
    </w:p>
    <w:p w14:paraId="5E1A2401" w14:textId="21A47824" w:rsidR="000C3E19" w:rsidRPr="00543765" w:rsidRDefault="000C3E19" w:rsidP="000C3E19">
      <w:pPr>
        <w:rPr>
          <w:spacing w:val="4"/>
          <w:rtl/>
          <w:lang w:bidi="ar-EG"/>
        </w:rPr>
      </w:pPr>
      <w:r w:rsidRPr="00543765">
        <w:rPr>
          <w:rFonts w:hint="cs"/>
          <w:spacing w:val="4"/>
          <w:rtl/>
          <w:lang w:bidi="ar-EG"/>
        </w:rPr>
        <w:t xml:space="preserve">اعتمدت لجنة الدراسات </w:t>
      </w:r>
      <w:r w:rsidRPr="00330CCB">
        <w:rPr>
          <w:spacing w:val="4"/>
        </w:rPr>
        <w:t>4</w:t>
      </w:r>
      <w:r w:rsidRPr="007D3A96">
        <w:rPr>
          <w:rFonts w:hint="cs"/>
          <w:spacing w:val="4"/>
          <w:rtl/>
          <w:lang w:bidi="ar-EG"/>
        </w:rPr>
        <w:t xml:space="preserve"> </w:t>
      </w:r>
      <w:r w:rsidRPr="00543765">
        <w:rPr>
          <w:rFonts w:hint="cs"/>
          <w:spacing w:val="4"/>
          <w:rtl/>
          <w:lang w:bidi="ar-EG"/>
        </w:rPr>
        <w:t xml:space="preserve">للاتصالات الراديوية في اجتماعها </w:t>
      </w:r>
      <w:r>
        <w:rPr>
          <w:rFonts w:hint="cs"/>
          <w:spacing w:val="4"/>
          <w:rtl/>
          <w:lang w:bidi="ar-EG"/>
        </w:rPr>
        <w:t>الذي عُقد</w:t>
      </w:r>
      <w:r w:rsidRPr="00543765">
        <w:rPr>
          <w:rFonts w:hint="cs"/>
          <w:spacing w:val="4"/>
          <w:rtl/>
          <w:lang w:bidi="ar-EG"/>
        </w:rPr>
        <w:t xml:space="preserve"> في </w:t>
      </w:r>
      <w:r w:rsidRPr="00330CCB">
        <w:rPr>
          <w:spacing w:val="4"/>
          <w:lang w:bidi="ar-EG"/>
        </w:rPr>
        <w:t>5</w:t>
      </w:r>
      <w:r>
        <w:rPr>
          <w:rFonts w:hint="cs"/>
          <w:spacing w:val="4"/>
          <w:rtl/>
          <w:lang w:val="fr-FR" w:bidi="ar-EG"/>
        </w:rPr>
        <w:t xml:space="preserve"> نوفمبر </w:t>
      </w:r>
      <w:r>
        <w:rPr>
          <w:spacing w:val="4"/>
          <w:lang w:bidi="ar-EG"/>
        </w:rPr>
        <w:t>2021</w:t>
      </w:r>
      <w:r w:rsidRPr="00543765">
        <w:rPr>
          <w:rFonts w:hint="cs"/>
          <w:spacing w:val="4"/>
          <w:rtl/>
          <w:lang w:bidi="ar-EG"/>
        </w:rPr>
        <w:t xml:space="preserve">، </w:t>
      </w:r>
      <w:r w:rsidR="00A337D5">
        <w:rPr>
          <w:rFonts w:hint="cs"/>
          <w:spacing w:val="4"/>
          <w:rtl/>
          <w:lang w:bidi="ar-EG"/>
        </w:rPr>
        <w:t>نصي</w:t>
      </w:r>
      <w:r>
        <w:rPr>
          <w:rFonts w:hint="cs"/>
          <w:spacing w:val="4"/>
          <w:rtl/>
          <w:lang w:bidi="ar-EG"/>
        </w:rPr>
        <w:t xml:space="preserve"> </w:t>
      </w:r>
      <w:r w:rsidR="00F03EE6">
        <w:rPr>
          <w:rFonts w:hint="cs"/>
          <w:spacing w:val="4"/>
          <w:rtl/>
          <w:lang w:bidi="ar-EG"/>
        </w:rPr>
        <w:t>مشروعي مراج</w:t>
      </w:r>
      <w:r w:rsidR="00D90A91">
        <w:rPr>
          <w:rFonts w:hint="cs"/>
          <w:spacing w:val="4"/>
          <w:rtl/>
          <w:lang w:bidi="ar-EG"/>
        </w:rPr>
        <w:t>َ</w:t>
      </w:r>
      <w:r w:rsidR="00F03EE6">
        <w:rPr>
          <w:rFonts w:hint="cs"/>
          <w:spacing w:val="4"/>
          <w:rtl/>
          <w:lang w:bidi="ar-EG"/>
        </w:rPr>
        <w:t>عة</w:t>
      </w:r>
      <w:r w:rsidRPr="00543765">
        <w:rPr>
          <w:rFonts w:hint="cs"/>
          <w:spacing w:val="4"/>
          <w:rtl/>
          <w:lang w:bidi="ar-EG"/>
        </w:rPr>
        <w:t xml:space="preserve"> </w:t>
      </w:r>
      <w:r w:rsidR="00F03EE6">
        <w:rPr>
          <w:rFonts w:hint="cs"/>
          <w:spacing w:val="4"/>
          <w:rtl/>
          <w:lang w:bidi="ar-EG"/>
        </w:rPr>
        <w:t>توصيتين</w:t>
      </w:r>
      <w:r>
        <w:rPr>
          <w:rFonts w:hint="cs"/>
          <w:spacing w:val="4"/>
          <w:rtl/>
          <w:lang w:bidi="ar-EG"/>
        </w:rPr>
        <w:t xml:space="preserve"> </w:t>
      </w:r>
      <w:r w:rsidRPr="00543765">
        <w:rPr>
          <w:rFonts w:hint="cs"/>
          <w:spacing w:val="4"/>
          <w:rtl/>
          <w:lang w:bidi="ar-EG"/>
        </w:rPr>
        <w:t>لقطاع الاتصالات الراديوية واتفقت على تطبيق إجراء القرار</w:t>
      </w:r>
      <w:r w:rsidRPr="00543765">
        <w:rPr>
          <w:rFonts w:hint="eastAsia"/>
          <w:spacing w:val="4"/>
          <w:rtl/>
          <w:lang w:bidi="ar-EG"/>
        </w:rPr>
        <w:t> </w:t>
      </w:r>
      <w:r w:rsidRPr="00330CCB">
        <w:rPr>
          <w:spacing w:val="4"/>
        </w:rPr>
        <w:t>ITU</w:t>
      </w:r>
      <w:r w:rsidRPr="00330CCB">
        <w:rPr>
          <w:spacing w:val="4"/>
        </w:rPr>
        <w:noBreakHyphen/>
        <w:t>R 1</w:t>
      </w:r>
      <w:r w:rsidRPr="00330CCB">
        <w:rPr>
          <w:spacing w:val="4"/>
        </w:rPr>
        <w:noBreakHyphen/>
        <w:t>8</w:t>
      </w:r>
      <w:r w:rsidRPr="00543765">
        <w:rPr>
          <w:rFonts w:hint="cs"/>
          <w:spacing w:val="4"/>
          <w:rtl/>
          <w:lang w:bidi="ar-EG"/>
        </w:rPr>
        <w:t xml:space="preserve"> (انظر</w:t>
      </w:r>
      <w:r w:rsidRPr="00543765">
        <w:rPr>
          <w:rFonts w:hint="eastAsia"/>
          <w:spacing w:val="4"/>
          <w:rtl/>
          <w:lang w:bidi="ar-EG"/>
        </w:rPr>
        <w:t> </w:t>
      </w:r>
      <w:r w:rsidRPr="00543765">
        <w:rPr>
          <w:rFonts w:hint="cs"/>
          <w:spacing w:val="4"/>
          <w:rtl/>
          <w:lang w:bidi="ar-EG"/>
        </w:rPr>
        <w:t>الفقرة </w:t>
      </w:r>
      <w:r w:rsidRPr="00330CCB">
        <w:rPr>
          <w:spacing w:val="4"/>
        </w:rPr>
        <w:t>3.2.6.A2</w:t>
      </w:r>
      <w:r w:rsidRPr="00543765">
        <w:rPr>
          <w:rFonts w:hint="cs"/>
          <w:spacing w:val="4"/>
          <w:rtl/>
          <w:lang w:bidi="ar-EG"/>
        </w:rPr>
        <w:t>) المتعلق بالموافقة على التوصيات بالتشاور. وترد</w:t>
      </w:r>
      <w:r>
        <w:rPr>
          <w:rFonts w:hint="eastAsia"/>
          <w:spacing w:val="4"/>
          <w:rtl/>
          <w:lang w:bidi="ar-EG"/>
        </w:rPr>
        <w:t> </w:t>
      </w:r>
      <w:r w:rsidRPr="00543765">
        <w:rPr>
          <w:rFonts w:hint="cs"/>
          <w:spacing w:val="4"/>
          <w:rtl/>
          <w:lang w:bidi="ar-EG"/>
        </w:rPr>
        <w:t>في </w:t>
      </w:r>
      <w:r w:rsidRPr="00864E68">
        <w:rPr>
          <w:rFonts w:hint="cs"/>
          <w:spacing w:val="4"/>
          <w:rtl/>
          <w:lang w:bidi="ar-EG"/>
        </w:rPr>
        <w:t>الملحق بهذه الرسالة</w:t>
      </w:r>
      <w:r>
        <w:rPr>
          <w:rFonts w:hint="cs"/>
          <w:spacing w:val="4"/>
          <w:rtl/>
          <w:lang w:bidi="ar-EG"/>
        </w:rPr>
        <w:t xml:space="preserve"> عنوان وملخص كل من مشروعي التوصيتين</w:t>
      </w:r>
      <w:r w:rsidRPr="00543765">
        <w:rPr>
          <w:rFonts w:hint="cs"/>
          <w:spacing w:val="4"/>
          <w:rtl/>
          <w:lang w:bidi="ar-EG"/>
        </w:rPr>
        <w:t>. ويرجى من أي دولة عضو تعترض على الموافقة على مشروع توصية أن تخبر المدير ورئيس لجنة الدراسات بأسباب</w:t>
      </w:r>
      <w:r>
        <w:rPr>
          <w:rFonts w:hint="eastAsia"/>
          <w:spacing w:val="4"/>
          <w:rtl/>
          <w:lang w:bidi="ar-EG"/>
        </w:rPr>
        <w:t> </w:t>
      </w:r>
      <w:r w:rsidRPr="00543765">
        <w:rPr>
          <w:rFonts w:hint="cs"/>
          <w:spacing w:val="4"/>
          <w:rtl/>
          <w:lang w:bidi="ar-EG"/>
        </w:rPr>
        <w:t>اعتراضها.</w:t>
      </w:r>
    </w:p>
    <w:p w14:paraId="2BE41674" w14:textId="081CC2FF" w:rsidR="000C3E19" w:rsidRPr="00547804" w:rsidRDefault="000C3E19" w:rsidP="000C3E19">
      <w:pPr>
        <w:rPr>
          <w:spacing w:val="4"/>
          <w:rtl/>
          <w:lang w:bidi="ar-EG"/>
        </w:rPr>
      </w:pPr>
      <w:r w:rsidRPr="00547804">
        <w:rPr>
          <w:rFonts w:hint="cs"/>
          <w:spacing w:val="4"/>
          <w:rtl/>
          <w:lang w:bidi="ar-EG"/>
        </w:rPr>
        <w:t>وبالنظر إلى أحكام الفقرة </w:t>
      </w:r>
      <w:r w:rsidRPr="00547804">
        <w:rPr>
          <w:spacing w:val="4"/>
        </w:rPr>
        <w:t>3.2.6.A2</w:t>
      </w:r>
      <w:r w:rsidRPr="00547804">
        <w:rPr>
          <w:rFonts w:hint="cs"/>
          <w:spacing w:val="4"/>
          <w:rtl/>
          <w:lang w:bidi="ar-EG"/>
        </w:rPr>
        <w:t xml:space="preserve"> من القرار </w:t>
      </w:r>
      <w:r w:rsidRPr="00547804">
        <w:rPr>
          <w:spacing w:val="4"/>
          <w:lang w:val="en-GB"/>
        </w:rPr>
        <w:t>ITU</w:t>
      </w:r>
      <w:r w:rsidRPr="00547804">
        <w:rPr>
          <w:spacing w:val="4"/>
          <w:lang w:val="en-GB"/>
        </w:rPr>
        <w:noBreakHyphen/>
        <w:t>R 1</w:t>
      </w:r>
      <w:r w:rsidRPr="00547804">
        <w:rPr>
          <w:spacing w:val="4"/>
          <w:lang w:val="en-GB"/>
        </w:rPr>
        <w:noBreakHyphen/>
        <w:t>8</w:t>
      </w:r>
      <w:r w:rsidRPr="00547804">
        <w:rPr>
          <w:rFonts w:hint="cs"/>
          <w:spacing w:val="4"/>
          <w:rtl/>
          <w:lang w:bidi="ar-EG"/>
        </w:rPr>
        <w:t>، يرجى من الدول الأعضاء إبلاغ الأمانة </w:t>
      </w:r>
      <w:r w:rsidRPr="00547804">
        <w:rPr>
          <w:spacing w:val="4"/>
        </w:rPr>
        <w:t>(</w:t>
      </w:r>
      <w:hyperlink r:id="rId8" w:history="1">
        <w:r w:rsidRPr="00547804">
          <w:rPr>
            <w:rStyle w:val="Hyperlink"/>
            <w:spacing w:val="4"/>
            <w:lang w:val="en-GB"/>
          </w:rPr>
          <w:t>brsgd@itu.int</w:t>
        </w:r>
      </w:hyperlink>
      <w:r w:rsidRPr="00547804">
        <w:rPr>
          <w:spacing w:val="4"/>
        </w:rPr>
        <w:t>)</w:t>
      </w:r>
      <w:r w:rsidRPr="00547804">
        <w:rPr>
          <w:rFonts w:hint="cs"/>
          <w:spacing w:val="4"/>
          <w:rtl/>
          <w:lang w:bidi="ar-EG"/>
        </w:rPr>
        <w:t xml:space="preserve"> قبل </w:t>
      </w:r>
      <w:r w:rsidRPr="00547804">
        <w:rPr>
          <w:spacing w:val="4"/>
          <w:u w:val="single"/>
          <w:lang w:bidi="ar-EG"/>
        </w:rPr>
        <w:t>26</w:t>
      </w:r>
      <w:r w:rsidRPr="00547804">
        <w:rPr>
          <w:rFonts w:hint="cs"/>
          <w:spacing w:val="4"/>
          <w:u w:val="single"/>
          <w:rtl/>
          <w:lang w:bidi="ar-EG"/>
        </w:rPr>
        <w:t xml:space="preserve"> يناير </w:t>
      </w:r>
      <w:r w:rsidR="00F03EE6" w:rsidRPr="00547804">
        <w:rPr>
          <w:spacing w:val="4"/>
          <w:u w:val="single"/>
          <w:lang w:bidi="ar-EG"/>
        </w:rPr>
        <w:t>2022</w:t>
      </w:r>
      <w:r w:rsidRPr="00547804">
        <w:rPr>
          <w:rFonts w:hint="cs"/>
          <w:spacing w:val="4"/>
          <w:rtl/>
          <w:lang w:bidi="ar-EG"/>
        </w:rPr>
        <w:t xml:space="preserve"> بما إذا كانت توافق أو لا توافق على المقترح أعلاه.</w:t>
      </w:r>
    </w:p>
    <w:p w14:paraId="683E1CAE" w14:textId="77777777" w:rsidR="000C3E19" w:rsidRPr="009B59C5" w:rsidRDefault="000C3E19" w:rsidP="000C3E19">
      <w:pPr>
        <w:rPr>
          <w:spacing w:val="2"/>
          <w:rtl/>
          <w:lang w:bidi="ar-EG"/>
        </w:rPr>
      </w:pPr>
      <w:r w:rsidRPr="009B59C5">
        <w:rPr>
          <w:rFonts w:hint="cs"/>
          <w:spacing w:val="2"/>
          <w:rtl/>
          <w:lang w:bidi="ar-EG"/>
        </w:rPr>
        <w:t>وبعد المهلة المحددة أعلاه، ستُعلن نتائج هذا التشاور في رسالة إدارية معممة وستُنشر التوصيتان الموافَق عليهما بأسرع وقت ممكن عملياً (انظر </w:t>
      </w:r>
      <w:hyperlink r:id="rId9" w:history="1">
        <w:r w:rsidRPr="009B59C5">
          <w:rPr>
            <w:rStyle w:val="Hyperlink"/>
            <w:spacing w:val="2"/>
          </w:rPr>
          <w:t>http://www.itu.int/pub/R-REC</w:t>
        </w:r>
      </w:hyperlink>
      <w:r w:rsidRPr="009B59C5">
        <w:rPr>
          <w:rFonts w:hint="cs"/>
          <w:spacing w:val="2"/>
          <w:rtl/>
          <w:lang w:bidi="ar-EG"/>
        </w:rPr>
        <w:t>).</w:t>
      </w:r>
    </w:p>
    <w:p w14:paraId="31DF366C" w14:textId="77777777" w:rsidR="000C3E19" w:rsidRPr="00EC3169" w:rsidRDefault="000C3E19" w:rsidP="000C3E19">
      <w:pPr>
        <w:rPr>
          <w:spacing w:val="2"/>
          <w:rtl/>
        </w:rPr>
      </w:pPr>
      <w:r w:rsidRPr="00EC3169">
        <w:rPr>
          <w:rFonts w:hint="cs"/>
          <w:spacing w:val="2"/>
          <w:rtl/>
          <w:lang w:bidi="ar-EG"/>
        </w:rPr>
        <w:t>ويرجى من أي منظمة عضو في الاتحاد تعلم بوجود براءة اختراع لديها أو لدى غيرها تغطي كلياً أو جزئياً عناصر من مشروعي التوصيتين المذكورتين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EC3169">
        <w:rPr>
          <w:spacing w:val="2"/>
          <w:lang w:bidi="ar-EG"/>
        </w:rPr>
        <w:t>(ITU</w:t>
      </w:r>
      <w:r w:rsidRPr="00EC3169">
        <w:rPr>
          <w:spacing w:val="2"/>
          <w:lang w:bidi="ar-EG"/>
        </w:rPr>
        <w:noBreakHyphen/>
        <w:t>T/ITU</w:t>
      </w:r>
      <w:r w:rsidRPr="00EC3169">
        <w:rPr>
          <w:spacing w:val="2"/>
          <w:lang w:bidi="ar-EG"/>
        </w:rPr>
        <w:noBreakHyphen/>
        <w:t>R/ISO/IEC)</w:t>
      </w:r>
      <w:r w:rsidRPr="00EC3169">
        <w:rPr>
          <w:rFonts w:hint="cs"/>
          <w:spacing w:val="2"/>
          <w:rtl/>
          <w:lang w:bidi="ar-EG"/>
        </w:rPr>
        <w:t xml:space="preserve"> في</w:t>
      </w:r>
      <w:r w:rsidRPr="00EC3169">
        <w:rPr>
          <w:rFonts w:hint="eastAsia"/>
          <w:spacing w:val="2"/>
          <w:rtl/>
          <w:lang w:bidi="ar-EG"/>
        </w:rPr>
        <w:t> </w:t>
      </w:r>
      <w:r w:rsidRPr="00EC3169">
        <w:rPr>
          <w:rFonts w:hint="cs"/>
          <w:spacing w:val="2"/>
          <w:rtl/>
          <w:lang w:bidi="ar-EG"/>
        </w:rPr>
        <w:t>الموقع</w:t>
      </w:r>
      <w:r w:rsidRPr="00EC3169">
        <w:rPr>
          <w:rFonts w:hint="eastAsia"/>
          <w:spacing w:val="2"/>
          <w:rtl/>
          <w:lang w:bidi="ar-EG"/>
        </w:rPr>
        <w:t> </w:t>
      </w:r>
      <w:hyperlink r:id="rId10" w:history="1">
        <w:r w:rsidRPr="00EC3169">
          <w:rPr>
            <w:rStyle w:val="Hyperlink"/>
            <w:spacing w:val="2"/>
            <w:lang w:bidi="ar-EG"/>
          </w:rPr>
          <w:t>http://www.itu.int/en/ITU-T/ipr/Pages/policy.aspx</w:t>
        </w:r>
      </w:hyperlink>
      <w:r w:rsidRPr="00EC3169">
        <w:rPr>
          <w:rFonts w:hint="cs"/>
          <w:spacing w:val="2"/>
          <w:rtl/>
          <w:lang w:bidi="ar-EG"/>
        </w:rPr>
        <w:t>.</w:t>
      </w:r>
    </w:p>
    <w:p w14:paraId="5B37A6B3" w14:textId="2ECCFD68" w:rsidR="000C3E19" w:rsidRDefault="000C3E19" w:rsidP="000C3E19">
      <w:pPr>
        <w:spacing w:before="240"/>
        <w:rPr>
          <w:rtl/>
          <w:lang w:bidi="ar-EG"/>
        </w:rPr>
      </w:pPr>
      <w:r>
        <w:rPr>
          <w:rFonts w:hint="cs"/>
          <w:rtl/>
          <w:lang w:bidi="ar-EG"/>
        </w:rPr>
        <w:t>وتفضلوا بقبول فائق التقدير والاحترام.</w:t>
      </w:r>
    </w:p>
    <w:p w14:paraId="109A570C" w14:textId="77777777" w:rsidR="000C3E19" w:rsidRPr="00F16820" w:rsidRDefault="000C3E19" w:rsidP="00FE5E71">
      <w:pPr>
        <w:spacing w:before="840"/>
        <w:jc w:val="left"/>
        <w:rPr>
          <w:rtl/>
        </w:rPr>
      </w:pPr>
      <w:r w:rsidRPr="00F16820">
        <w:rPr>
          <w:rtl/>
        </w:rPr>
        <w:t>ماريو مانيفيتش</w:t>
      </w:r>
      <w:bookmarkStart w:id="0" w:name="_GoBack"/>
      <w:bookmarkEnd w:id="0"/>
      <w:r w:rsidRPr="00F16820">
        <w:rPr>
          <w:rtl/>
        </w:rPr>
        <w:br/>
      </w:r>
      <w:r w:rsidRPr="00F16820">
        <w:rPr>
          <w:rFonts w:hint="cs"/>
          <w:rtl/>
        </w:rPr>
        <w:t>المدير</w:t>
      </w:r>
    </w:p>
    <w:p w14:paraId="0C0A2D1F" w14:textId="77777777" w:rsidR="000C3E19" w:rsidRDefault="000C3E19" w:rsidP="00FE5E71">
      <w:pPr>
        <w:spacing w:before="480"/>
        <w:jc w:val="left"/>
        <w:rPr>
          <w:rtl/>
          <w:lang w:bidi="ar-EG"/>
        </w:rPr>
      </w:pPr>
      <w:r w:rsidRPr="00FF6507">
        <w:rPr>
          <w:rFonts w:hint="cs"/>
          <w:b/>
          <w:bCs/>
          <w:rtl/>
          <w:lang w:bidi="ar-EG"/>
        </w:rPr>
        <w:t>الملحق</w:t>
      </w:r>
      <w:r>
        <w:rPr>
          <w:rFonts w:hint="cs"/>
          <w:b/>
          <w:bCs/>
          <w:rtl/>
          <w:lang w:bidi="ar-EG"/>
        </w:rPr>
        <w:t>ات</w:t>
      </w:r>
      <w:r w:rsidRPr="00FF6507">
        <w:rPr>
          <w:rtl/>
          <w:lang w:bidi="ar-EG"/>
        </w:rPr>
        <w:t>:</w:t>
      </w:r>
      <w:r w:rsidRPr="00FF6507">
        <w:rPr>
          <w:rFonts w:hint="cs"/>
          <w:rtl/>
          <w:lang w:bidi="ar-EG"/>
        </w:rPr>
        <w:tab/>
      </w:r>
      <w:r>
        <w:rPr>
          <w:rFonts w:hint="cs"/>
          <w:rtl/>
          <w:lang w:bidi="ar-EG"/>
        </w:rPr>
        <w:t>عنوان وملخص كل من مشروعي التوصيتين</w:t>
      </w:r>
    </w:p>
    <w:p w14:paraId="7D71B5DB" w14:textId="03406780" w:rsidR="000C3E19" w:rsidRDefault="000C3E19" w:rsidP="000C3E19">
      <w:pPr>
        <w:spacing w:before="360"/>
        <w:rPr>
          <w:rtl/>
          <w:lang w:bidi="ar-EG"/>
        </w:rPr>
      </w:pPr>
      <w:r w:rsidRPr="00FF6507">
        <w:rPr>
          <w:rFonts w:hint="cs"/>
          <w:b/>
          <w:bCs/>
          <w:rtl/>
          <w:lang w:bidi="ar-EG"/>
        </w:rPr>
        <w:t>الوثائق</w:t>
      </w:r>
      <w:r w:rsidRPr="00FF6507">
        <w:rPr>
          <w:rtl/>
          <w:lang w:bidi="ar-EG"/>
        </w:rPr>
        <w:t>:</w:t>
      </w:r>
      <w:r w:rsidRPr="00FF6507">
        <w:rPr>
          <w:rFonts w:hint="cs"/>
          <w:rtl/>
          <w:lang w:bidi="ar-EG"/>
        </w:rPr>
        <w:tab/>
      </w:r>
      <w:r>
        <w:rPr>
          <w:rFonts w:hint="cs"/>
          <w:rtl/>
          <w:lang w:bidi="ar-EG"/>
        </w:rPr>
        <w:t xml:space="preserve">الوثيقتان </w:t>
      </w:r>
      <w:r w:rsidRPr="000112C4">
        <w:rPr>
          <w:rStyle w:val="Hyperlink"/>
          <w:lang w:val="fr-FR"/>
        </w:rPr>
        <w:t>4/28(Rev.1)</w:t>
      </w:r>
      <w:r w:rsidRPr="007C1E3E">
        <w:rPr>
          <w:rStyle w:val="Hyperlink"/>
          <w:rFonts w:hint="cs"/>
          <w:color w:val="auto"/>
          <w:u w:val="none"/>
          <w:rtl/>
          <w:lang w:val="en-GB" w:bidi="ar-EG"/>
        </w:rPr>
        <w:t xml:space="preserve"> و</w:t>
      </w:r>
      <w:r w:rsidRPr="000112C4">
        <w:rPr>
          <w:rStyle w:val="Hyperlink"/>
          <w:lang w:val="fr-FR"/>
        </w:rPr>
        <w:t>4/30(Rev.1)</w:t>
      </w:r>
    </w:p>
    <w:p w14:paraId="0E5A8A39" w14:textId="362C47BF" w:rsidR="000C3E19" w:rsidRPr="00F16820" w:rsidRDefault="000C3E19" w:rsidP="000C3E19">
      <w:pPr>
        <w:spacing w:before="240"/>
        <w:jc w:val="left"/>
        <w:rPr>
          <w:rtl/>
          <w:lang w:bidi="ar-EG"/>
        </w:rPr>
      </w:pPr>
      <w:r w:rsidRPr="00040979">
        <w:rPr>
          <w:rFonts w:hint="cs"/>
          <w:rtl/>
          <w:lang w:bidi="ar-EG"/>
        </w:rPr>
        <w:t>وتتاح</w:t>
      </w:r>
      <w:r>
        <w:rPr>
          <w:rFonts w:hint="cs"/>
          <w:rtl/>
          <w:lang w:bidi="ar-EG"/>
        </w:rPr>
        <w:t xml:space="preserve"> الوثيقتان في نسَق إلكتروني</w:t>
      </w:r>
      <w:r w:rsidRPr="00040979">
        <w:rPr>
          <w:rFonts w:hint="cs"/>
          <w:rtl/>
          <w:lang w:bidi="ar-EG"/>
        </w:rPr>
        <w:t xml:space="preserve"> </w:t>
      </w:r>
      <w:r>
        <w:rPr>
          <w:rFonts w:hint="cs"/>
          <w:rtl/>
          <w:lang w:bidi="ar-EG"/>
        </w:rPr>
        <w:t xml:space="preserve">في الموقع: </w:t>
      </w:r>
      <w:hyperlink r:id="rId11" w:history="1">
        <w:r w:rsidRPr="00696D75">
          <w:rPr>
            <w:rStyle w:val="Hyperlink"/>
          </w:rPr>
          <w:t>https://www.itu.int/md/R19-SG04-C/en</w:t>
        </w:r>
      </w:hyperlink>
    </w:p>
    <w:p w14:paraId="6F3F306C" w14:textId="496586DF" w:rsidR="000C3E19" w:rsidRPr="00FF6507" w:rsidRDefault="000C3E19" w:rsidP="000C3E19">
      <w:pPr>
        <w:pStyle w:val="AnnexNotitle"/>
        <w:rPr>
          <w:rtl/>
        </w:rPr>
      </w:pPr>
      <w:r w:rsidRPr="007C1E3E">
        <w:rPr>
          <w:rFonts w:hint="cs"/>
          <w:rtl/>
        </w:rPr>
        <w:lastRenderedPageBreak/>
        <w:t>الملحـق</w:t>
      </w:r>
      <w:r w:rsidRPr="007C1E3E">
        <w:rPr>
          <w:rtl/>
        </w:rPr>
        <w:br/>
      </w:r>
      <w:r w:rsidRPr="007C1E3E">
        <w:rPr>
          <w:rtl/>
        </w:rPr>
        <w:br/>
      </w:r>
      <w:r>
        <w:rPr>
          <w:rFonts w:hint="cs"/>
          <w:rtl/>
        </w:rPr>
        <w:t>عنوان وملخص كل من</w:t>
      </w:r>
      <w:r w:rsidRPr="007C1E3E">
        <w:rPr>
          <w:rFonts w:hint="cs"/>
          <w:rtl/>
        </w:rPr>
        <w:t xml:space="preserve"> </w:t>
      </w:r>
      <w:r>
        <w:rPr>
          <w:rFonts w:hint="cs"/>
          <w:rtl/>
        </w:rPr>
        <w:t>مشروعي التوصيتين</w:t>
      </w:r>
      <w:r>
        <w:rPr>
          <w:rtl/>
        </w:rPr>
        <w:br/>
      </w:r>
      <w:r>
        <w:rPr>
          <w:rFonts w:hint="cs"/>
          <w:rtl/>
        </w:rPr>
        <w:t xml:space="preserve">اللذين اعتمدتهما لجنة الدراسات </w:t>
      </w:r>
      <w:r>
        <w:t>4</w:t>
      </w:r>
      <w:r>
        <w:rPr>
          <w:rFonts w:hint="cs"/>
          <w:rtl/>
        </w:rPr>
        <w:t xml:space="preserve"> للاتصالات الراديوية</w:t>
      </w:r>
    </w:p>
    <w:p w14:paraId="663187FB" w14:textId="5B780A9E" w:rsidR="000C3E19" w:rsidRPr="000C3E19" w:rsidRDefault="000C3E19" w:rsidP="000C3E19">
      <w:pPr>
        <w:tabs>
          <w:tab w:val="right" w:pos="9639"/>
        </w:tabs>
        <w:spacing w:before="360"/>
        <w:rPr>
          <w:lang w:bidi="ar-EG"/>
        </w:rPr>
      </w:pPr>
      <w:r w:rsidRPr="000C3E19">
        <w:rPr>
          <w:u w:val="single"/>
          <w:rtl/>
          <w:lang w:bidi="ar-SY"/>
        </w:rPr>
        <w:t>مشروع</w:t>
      </w:r>
      <w:r w:rsidRPr="000C3E19">
        <w:rPr>
          <w:u w:val="single"/>
          <w:rtl/>
          <w:lang w:bidi="ar-EG"/>
        </w:rPr>
        <w:t xml:space="preserve"> مراجعة التوصية</w:t>
      </w:r>
      <w:r w:rsidRPr="000C3E19">
        <w:rPr>
          <w:u w:val="single"/>
          <w:rtl/>
          <w:lang w:bidi="ar-SY"/>
        </w:rPr>
        <w:t xml:space="preserve"> </w:t>
      </w:r>
      <w:r w:rsidRPr="000C3E19">
        <w:rPr>
          <w:u w:val="single"/>
        </w:rPr>
        <w:t xml:space="preserve">ITU-R </w:t>
      </w:r>
      <w:r w:rsidRPr="000C3E19">
        <w:rPr>
          <w:u w:val="single"/>
          <w:lang w:val="en-GB"/>
        </w:rPr>
        <w:t>M.1787-3</w:t>
      </w:r>
      <w:r w:rsidRPr="000C3E19">
        <w:rPr>
          <w:rtl/>
          <w:lang w:bidi="ar-EG"/>
        </w:rPr>
        <w:tab/>
        <w:t xml:space="preserve">الوثيقة </w:t>
      </w:r>
      <w:r>
        <w:t>4</w:t>
      </w:r>
      <w:r w:rsidRPr="000C3E19">
        <w:t>/</w:t>
      </w:r>
      <w:r>
        <w:t>28</w:t>
      </w:r>
      <w:r w:rsidRPr="000C3E19">
        <w:t>(Rev.</w:t>
      </w:r>
      <w:r>
        <w:t>1</w:t>
      </w:r>
      <w:r w:rsidRPr="000C3E19">
        <w:t>)</w:t>
      </w:r>
    </w:p>
    <w:p w14:paraId="145F1C6E" w14:textId="77777777" w:rsidR="000C3E19" w:rsidRPr="00D7031C" w:rsidRDefault="000C3E19" w:rsidP="000C3E19">
      <w:pPr>
        <w:pStyle w:val="Rectitle"/>
        <w:spacing w:before="360" w:after="240"/>
      </w:pPr>
      <w:r>
        <w:rPr>
          <w:color w:val="000000"/>
          <w:rtl/>
        </w:rPr>
        <w:t>وصف الأنظمة والشبكات في خدمة الملاحة الراديوية الساتلية (فضاء-أرض وفضاء-فضاء) والخصائص التقنية لمحطات الإرسال الفضائية العاملة في النطاقات</w:t>
      </w:r>
      <w:r>
        <w:rPr>
          <w:color w:val="000000"/>
        </w:rPr>
        <w:t xml:space="preserve"> MHz 1 215-1 164 </w:t>
      </w:r>
      <w:r>
        <w:rPr>
          <w:color w:val="000000"/>
          <w:rtl/>
        </w:rPr>
        <w:t>و</w:t>
      </w:r>
      <w:r>
        <w:rPr>
          <w:color w:val="000000"/>
        </w:rPr>
        <w:t>MHz 1 300-1 215</w:t>
      </w:r>
      <w:r>
        <w:rPr>
          <w:rFonts w:hint="cs"/>
          <w:color w:val="000000"/>
          <w:rtl/>
        </w:rPr>
        <w:t xml:space="preserve"> </w:t>
      </w:r>
      <w:r>
        <w:rPr>
          <w:color w:val="000000"/>
          <w:rtl/>
        </w:rPr>
        <w:t>و</w:t>
      </w:r>
      <w:r>
        <w:rPr>
          <w:color w:val="000000"/>
        </w:rPr>
        <w:t>MHz 1 610-1 559</w:t>
      </w:r>
    </w:p>
    <w:p w14:paraId="1FD25AEA" w14:textId="415F6CAC" w:rsidR="000C3E19" w:rsidRPr="004832D3" w:rsidRDefault="000C3E19" w:rsidP="000C3E19">
      <w:pPr>
        <w:rPr>
          <w:spacing w:val="2"/>
          <w:lang w:bidi="ar-EG"/>
        </w:rPr>
      </w:pPr>
      <w:r w:rsidRPr="004832D3">
        <w:rPr>
          <w:rFonts w:hint="cs"/>
          <w:spacing w:val="2"/>
          <w:rtl/>
          <w:lang w:bidi="ar-EG"/>
        </w:rPr>
        <w:t xml:space="preserve">روجعت هذه التوصية، وبشكل رئيسي ملحقاتها </w:t>
      </w:r>
      <w:r w:rsidRPr="004832D3">
        <w:rPr>
          <w:spacing w:val="2"/>
          <w:lang w:bidi="ar-EG"/>
        </w:rPr>
        <w:t>2</w:t>
      </w:r>
      <w:r w:rsidRPr="004832D3">
        <w:rPr>
          <w:rFonts w:hint="cs"/>
          <w:spacing w:val="2"/>
          <w:rtl/>
          <w:lang w:bidi="ar-EG"/>
        </w:rPr>
        <w:t xml:space="preserve"> و</w:t>
      </w:r>
      <w:r w:rsidRPr="004832D3">
        <w:rPr>
          <w:spacing w:val="2"/>
          <w:lang w:bidi="ar-EG"/>
        </w:rPr>
        <w:t>3</w:t>
      </w:r>
      <w:r w:rsidRPr="004832D3">
        <w:rPr>
          <w:rFonts w:hint="cs"/>
          <w:spacing w:val="2"/>
          <w:rtl/>
          <w:lang w:bidi="ar-EG"/>
        </w:rPr>
        <w:t xml:space="preserve"> و</w:t>
      </w:r>
      <w:r w:rsidRPr="004832D3">
        <w:rPr>
          <w:spacing w:val="2"/>
          <w:lang w:bidi="ar-EG"/>
        </w:rPr>
        <w:t>7</w:t>
      </w:r>
      <w:r w:rsidRPr="004832D3">
        <w:rPr>
          <w:rFonts w:hint="cs"/>
          <w:spacing w:val="2"/>
          <w:rtl/>
          <w:lang w:bidi="ar-EG"/>
        </w:rPr>
        <w:t xml:space="preserve"> و</w:t>
      </w:r>
      <w:r w:rsidRPr="004832D3">
        <w:rPr>
          <w:spacing w:val="2"/>
          <w:lang w:bidi="ar-EG"/>
        </w:rPr>
        <w:t>11</w:t>
      </w:r>
      <w:r w:rsidRPr="004832D3">
        <w:rPr>
          <w:rFonts w:hint="cs"/>
          <w:spacing w:val="2"/>
          <w:rtl/>
          <w:lang w:bidi="ar-EG"/>
        </w:rPr>
        <w:t>، لكي</w:t>
      </w:r>
      <w:r w:rsidR="008A0F71" w:rsidRPr="004832D3">
        <w:rPr>
          <w:rFonts w:hint="cs"/>
          <w:spacing w:val="2"/>
          <w:rtl/>
        </w:rPr>
        <w:t xml:space="preserve"> تبين</w:t>
      </w:r>
      <w:r w:rsidRPr="004832D3">
        <w:rPr>
          <w:rFonts w:hint="cs"/>
          <w:spacing w:val="2"/>
          <w:rtl/>
          <w:lang w:bidi="ar-EG"/>
        </w:rPr>
        <w:t xml:space="preserve"> التحديثات في الخصائص والتطبيقات وهيكل الإشارات للأنظمة المقابلة. وأجريت كذلك تعديلات </w:t>
      </w:r>
      <w:r w:rsidR="00093409">
        <w:rPr>
          <w:rFonts w:hint="cs"/>
          <w:spacing w:val="2"/>
          <w:rtl/>
          <w:lang w:bidi="ar-EG"/>
        </w:rPr>
        <w:t>صياغية</w:t>
      </w:r>
      <w:r w:rsidRPr="004832D3">
        <w:rPr>
          <w:rFonts w:hint="cs"/>
          <w:spacing w:val="2"/>
          <w:rtl/>
          <w:lang w:bidi="ar-EG"/>
        </w:rPr>
        <w:t xml:space="preserve"> وتحديثات أخرى.</w:t>
      </w:r>
    </w:p>
    <w:p w14:paraId="14285B17" w14:textId="00962940" w:rsidR="000C3E19" w:rsidRPr="00F16820" w:rsidRDefault="000C3E19" w:rsidP="000C3E19">
      <w:pPr>
        <w:tabs>
          <w:tab w:val="right" w:pos="9639"/>
        </w:tabs>
        <w:spacing w:before="360"/>
        <w:rPr>
          <w:rtl/>
          <w:lang w:bidi="ar-EG"/>
        </w:rPr>
      </w:pPr>
      <w:r>
        <w:rPr>
          <w:rFonts w:hint="cs"/>
          <w:u w:val="single"/>
          <w:rtl/>
        </w:rPr>
        <w:t>مشروع مراجعة التوصية</w:t>
      </w:r>
      <w:r w:rsidRPr="00F16820">
        <w:rPr>
          <w:rFonts w:hint="cs"/>
          <w:u w:val="single"/>
          <w:rtl/>
        </w:rPr>
        <w:t xml:space="preserve"> </w:t>
      </w:r>
      <w:r w:rsidRPr="00F16820">
        <w:rPr>
          <w:u w:val="single"/>
          <w:lang w:bidi="ar-EG"/>
        </w:rPr>
        <w:t xml:space="preserve">ITU-R </w:t>
      </w:r>
      <w:r>
        <w:rPr>
          <w:u w:val="single"/>
          <w:lang w:bidi="ar-EG"/>
        </w:rPr>
        <w:t>M</w:t>
      </w:r>
      <w:r w:rsidRPr="00F16820">
        <w:rPr>
          <w:u w:val="single"/>
          <w:lang w:bidi="ar-EG"/>
        </w:rPr>
        <w:t>.</w:t>
      </w:r>
      <w:r>
        <w:rPr>
          <w:u w:val="single"/>
          <w:lang w:bidi="ar-EG"/>
        </w:rPr>
        <w:t>1902-1</w:t>
      </w:r>
      <w:r w:rsidRPr="00F16820">
        <w:rPr>
          <w:rtl/>
          <w:lang w:bidi="ar-EG"/>
        </w:rPr>
        <w:tab/>
      </w:r>
      <w:r w:rsidRPr="00F16820">
        <w:rPr>
          <w:rFonts w:hint="cs"/>
          <w:rtl/>
          <w:lang w:bidi="ar-EG"/>
        </w:rPr>
        <w:t xml:space="preserve">الوثيقة </w:t>
      </w:r>
      <w:r>
        <w:rPr>
          <w:lang w:bidi="ar-EG"/>
        </w:rPr>
        <w:t>4</w:t>
      </w:r>
      <w:r w:rsidRPr="00F16820">
        <w:rPr>
          <w:lang w:bidi="ar-EG"/>
        </w:rPr>
        <w:t>/</w:t>
      </w:r>
      <w:r>
        <w:rPr>
          <w:lang w:bidi="ar-EG"/>
        </w:rPr>
        <w:t>30(Rev.1)</w:t>
      </w:r>
    </w:p>
    <w:p w14:paraId="6B3B37D3" w14:textId="24230CCD" w:rsidR="000C3E19" w:rsidRDefault="000C3E19" w:rsidP="000C3E19">
      <w:pPr>
        <w:pStyle w:val="Rectitle"/>
        <w:spacing w:before="360" w:after="240"/>
        <w:rPr>
          <w:rtl/>
          <w:lang w:bidi="ar-EG"/>
        </w:rPr>
      </w:pPr>
      <w:r w:rsidRPr="00D318A1">
        <w:rPr>
          <w:rtl/>
        </w:rPr>
        <w:t>الخصائص</w:t>
      </w:r>
      <w:r w:rsidRPr="00D318A1">
        <w:rPr>
          <w:rFonts w:hint="cs"/>
          <w:rtl/>
        </w:rPr>
        <w:t xml:space="preserve"> </w:t>
      </w:r>
      <w:r w:rsidRPr="00D318A1">
        <w:rPr>
          <w:rtl/>
        </w:rPr>
        <w:t>ومعايير الحماية لمحطات الاستقبال الأرضية</w:t>
      </w:r>
      <w:r>
        <w:br/>
      </w:r>
      <w:r w:rsidRPr="00D318A1">
        <w:rPr>
          <w:rtl/>
        </w:rPr>
        <w:t>في خدمة</w:t>
      </w:r>
      <w:r w:rsidRPr="00D318A1">
        <w:rPr>
          <w:rFonts w:hint="cs"/>
          <w:rtl/>
        </w:rPr>
        <w:t xml:space="preserve"> </w:t>
      </w:r>
      <w:r w:rsidRPr="00D318A1">
        <w:rPr>
          <w:rtl/>
        </w:rPr>
        <w:t>الملاحة الراديوية</w:t>
      </w:r>
      <w:r w:rsidRPr="00D318A1">
        <w:rPr>
          <w:rFonts w:hint="cs"/>
          <w:rtl/>
        </w:rPr>
        <w:t xml:space="preserve"> </w:t>
      </w:r>
      <w:r w:rsidRPr="00D318A1">
        <w:rPr>
          <w:rtl/>
        </w:rPr>
        <w:t>الساتلية</w:t>
      </w:r>
      <w:r w:rsidRPr="00D318A1">
        <w:rPr>
          <w:rFonts w:hint="cs"/>
          <w:rtl/>
        </w:rPr>
        <w:t xml:space="preserve"> </w:t>
      </w:r>
      <w:r w:rsidRPr="00D318A1">
        <w:rPr>
          <w:rtl/>
        </w:rPr>
        <w:t>(فضاء-أرض)</w:t>
      </w:r>
      <w:r w:rsidR="00421A9A">
        <w:br/>
      </w:r>
      <w:r w:rsidRPr="00D318A1">
        <w:rPr>
          <w:rtl/>
        </w:rPr>
        <w:t>العاملة</w:t>
      </w:r>
      <w:r w:rsidRPr="00D318A1">
        <w:rPr>
          <w:rFonts w:hint="cs"/>
          <w:rtl/>
        </w:rPr>
        <w:t xml:space="preserve"> </w:t>
      </w:r>
      <w:r w:rsidRPr="00D318A1">
        <w:rPr>
          <w:rtl/>
        </w:rPr>
        <w:t xml:space="preserve">في النطاق </w:t>
      </w:r>
      <w:r w:rsidRPr="00D318A1">
        <w:t>MHz 1 300</w:t>
      </w:r>
      <w:r w:rsidRPr="00D318A1">
        <w:noBreakHyphen/>
        <w:t>1 215</w:t>
      </w:r>
    </w:p>
    <w:p w14:paraId="59D99BE0" w14:textId="09D33842" w:rsidR="000C3E19" w:rsidRDefault="000C3E19" w:rsidP="000C3E19">
      <w:pPr>
        <w:rPr>
          <w:rtl/>
          <w:lang w:bidi="ar-EG"/>
        </w:rPr>
      </w:pPr>
      <w:r w:rsidRPr="00FD6A6C">
        <w:rPr>
          <w:rFonts w:hint="cs"/>
          <w:rtl/>
          <w:lang w:bidi="ar-EG"/>
        </w:rPr>
        <w:t>روجعت هذه التوصية من أجل وصف وتقديم الخصائص التقنية ومعايير الحماية لأنماط جديدة من المستقب</w:t>
      </w:r>
      <w:r w:rsidR="00D20A41">
        <w:rPr>
          <w:rFonts w:hint="cs"/>
          <w:rtl/>
          <w:lang w:bidi="ar-EG"/>
        </w:rPr>
        <w:t>ِ</w:t>
      </w:r>
      <w:r w:rsidRPr="00FD6A6C">
        <w:rPr>
          <w:rFonts w:hint="cs"/>
          <w:rtl/>
          <w:lang w:bidi="ar-EG"/>
        </w:rPr>
        <w:t xml:space="preserve">لات لأنظمة محددة في خدمة الملاحة الراديوية الساتلية </w:t>
      </w:r>
      <w:r w:rsidRPr="00FD6A6C">
        <w:rPr>
          <w:lang w:bidi="ar-EG"/>
        </w:rPr>
        <w:t>(RNSS)</w:t>
      </w:r>
      <w:r w:rsidRPr="00FD6A6C">
        <w:rPr>
          <w:rFonts w:hint="cs"/>
          <w:rtl/>
          <w:lang w:bidi="ar-EG"/>
        </w:rPr>
        <w:t>.</w:t>
      </w:r>
    </w:p>
    <w:p w14:paraId="2C122895" w14:textId="7482BFD2" w:rsidR="000C3E19" w:rsidRPr="00370A15" w:rsidRDefault="000C3E19" w:rsidP="000C3E19">
      <w:pPr>
        <w:spacing w:before="600"/>
        <w:jc w:val="center"/>
        <w:rPr>
          <w:rtl/>
          <w:lang w:bidi="ar-EG"/>
        </w:rPr>
      </w:pPr>
      <w:r>
        <w:rPr>
          <w:rFonts w:hint="cs"/>
          <w:rtl/>
          <w:lang w:bidi="ar-EG"/>
        </w:rPr>
        <w:t>ــــــــــــــــــــــــــــــــــــــــــــــــــــ</w:t>
      </w:r>
      <w:r w:rsidR="00E50108">
        <w:rPr>
          <w:rFonts w:hint="cs"/>
          <w:rtl/>
          <w:lang w:bidi="ar-EG"/>
        </w:rPr>
        <w:t>ــــــــــــــــــ</w:t>
      </w:r>
      <w:r>
        <w:rPr>
          <w:rFonts w:hint="cs"/>
          <w:rtl/>
          <w:lang w:bidi="ar-EG"/>
        </w:rPr>
        <w:t>ـــــــــــــــــــــــــــــــــ</w:t>
      </w:r>
    </w:p>
    <w:sectPr w:rsidR="000C3E19" w:rsidRPr="00370A15"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A5CE" w14:textId="77777777" w:rsidR="000C3E19" w:rsidRDefault="000C3E19" w:rsidP="006C3242">
      <w:pPr>
        <w:spacing w:before="0" w:line="240" w:lineRule="auto"/>
      </w:pPr>
      <w:r>
        <w:separator/>
      </w:r>
    </w:p>
  </w:endnote>
  <w:endnote w:type="continuationSeparator" w:id="0">
    <w:p w14:paraId="6154BCDE" w14:textId="77777777" w:rsidR="000C3E19" w:rsidRDefault="000C3E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F960"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A19B" w14:textId="77777777" w:rsidR="000C3E19" w:rsidRDefault="000C3E19" w:rsidP="006C3242">
      <w:pPr>
        <w:spacing w:before="0" w:line="240" w:lineRule="auto"/>
      </w:pPr>
      <w:r>
        <w:separator/>
      </w:r>
    </w:p>
  </w:footnote>
  <w:footnote w:type="continuationSeparator" w:id="0">
    <w:p w14:paraId="14936DA2" w14:textId="77777777" w:rsidR="000C3E19" w:rsidRDefault="000C3E1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4C3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D66A" w14:textId="77777777" w:rsidR="000F7BBE" w:rsidRDefault="000F7BBE" w:rsidP="00B20C86">
    <w:pPr>
      <w:pStyle w:val="Header"/>
      <w:spacing w:before="120" w:after="120"/>
      <w:jc w:val="center"/>
    </w:pPr>
    <w:r w:rsidRPr="008E52B1">
      <w:rPr>
        <w:noProof/>
        <w:color w:val="3399FF"/>
      </w:rPr>
      <w:drawing>
        <wp:inline distT="0" distB="0" distL="0" distR="0" wp14:anchorId="5ABCC58C" wp14:editId="16F38552">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19"/>
    <w:rsid w:val="0006468A"/>
    <w:rsid w:val="00090574"/>
    <w:rsid w:val="00093409"/>
    <w:rsid w:val="000C1C0E"/>
    <w:rsid w:val="000C3E19"/>
    <w:rsid w:val="000C548A"/>
    <w:rsid w:val="000C5504"/>
    <w:rsid w:val="000E6A89"/>
    <w:rsid w:val="000F7BBE"/>
    <w:rsid w:val="00150DB9"/>
    <w:rsid w:val="001669E0"/>
    <w:rsid w:val="00192DD7"/>
    <w:rsid w:val="001C0169"/>
    <w:rsid w:val="001D1D50"/>
    <w:rsid w:val="001D6745"/>
    <w:rsid w:val="001E446E"/>
    <w:rsid w:val="002154EE"/>
    <w:rsid w:val="002276D2"/>
    <w:rsid w:val="0023283D"/>
    <w:rsid w:val="0026373E"/>
    <w:rsid w:val="00271C43"/>
    <w:rsid w:val="00290728"/>
    <w:rsid w:val="002978F4"/>
    <w:rsid w:val="002B028D"/>
    <w:rsid w:val="002E6541"/>
    <w:rsid w:val="00330CCB"/>
    <w:rsid w:val="00334924"/>
    <w:rsid w:val="003409BC"/>
    <w:rsid w:val="00357185"/>
    <w:rsid w:val="00383829"/>
    <w:rsid w:val="003F4B29"/>
    <w:rsid w:val="00421A9A"/>
    <w:rsid w:val="0042686F"/>
    <w:rsid w:val="004317D8"/>
    <w:rsid w:val="00434183"/>
    <w:rsid w:val="00443869"/>
    <w:rsid w:val="00447F32"/>
    <w:rsid w:val="0047026A"/>
    <w:rsid w:val="004832D3"/>
    <w:rsid w:val="004E11DC"/>
    <w:rsid w:val="00525DDD"/>
    <w:rsid w:val="005409AC"/>
    <w:rsid w:val="00547804"/>
    <w:rsid w:val="0055516A"/>
    <w:rsid w:val="0058491B"/>
    <w:rsid w:val="00592EA5"/>
    <w:rsid w:val="005A3170"/>
    <w:rsid w:val="005F468C"/>
    <w:rsid w:val="006515C3"/>
    <w:rsid w:val="00677396"/>
    <w:rsid w:val="0069200F"/>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3048"/>
    <w:rsid w:val="008A0F71"/>
    <w:rsid w:val="008A7F84"/>
    <w:rsid w:val="0091702E"/>
    <w:rsid w:val="00923B0C"/>
    <w:rsid w:val="00923F2F"/>
    <w:rsid w:val="0094021C"/>
    <w:rsid w:val="00952F86"/>
    <w:rsid w:val="00982B28"/>
    <w:rsid w:val="009B59C5"/>
    <w:rsid w:val="009D313F"/>
    <w:rsid w:val="00A337D5"/>
    <w:rsid w:val="00A47A5A"/>
    <w:rsid w:val="00A6683B"/>
    <w:rsid w:val="00A97F94"/>
    <w:rsid w:val="00AA7EA2"/>
    <w:rsid w:val="00AB0C47"/>
    <w:rsid w:val="00B03099"/>
    <w:rsid w:val="00B05BC8"/>
    <w:rsid w:val="00B20C86"/>
    <w:rsid w:val="00B64B47"/>
    <w:rsid w:val="00C002DE"/>
    <w:rsid w:val="00C53BF8"/>
    <w:rsid w:val="00C66157"/>
    <w:rsid w:val="00C674FE"/>
    <w:rsid w:val="00C67501"/>
    <w:rsid w:val="00C75633"/>
    <w:rsid w:val="00CE2EE1"/>
    <w:rsid w:val="00CE3349"/>
    <w:rsid w:val="00CE36E5"/>
    <w:rsid w:val="00CF27F5"/>
    <w:rsid w:val="00CF3FFD"/>
    <w:rsid w:val="00CF623A"/>
    <w:rsid w:val="00D10CCF"/>
    <w:rsid w:val="00D20A41"/>
    <w:rsid w:val="00D77D0F"/>
    <w:rsid w:val="00D90A91"/>
    <w:rsid w:val="00DA1CF0"/>
    <w:rsid w:val="00DC1E02"/>
    <w:rsid w:val="00DC24B4"/>
    <w:rsid w:val="00DC5FB0"/>
    <w:rsid w:val="00DF16DC"/>
    <w:rsid w:val="00E45211"/>
    <w:rsid w:val="00E473C5"/>
    <w:rsid w:val="00E50108"/>
    <w:rsid w:val="00E92863"/>
    <w:rsid w:val="00EB796D"/>
    <w:rsid w:val="00EC3169"/>
    <w:rsid w:val="00F03EE6"/>
    <w:rsid w:val="00F058DC"/>
    <w:rsid w:val="00F16820"/>
    <w:rsid w:val="00F24FC4"/>
    <w:rsid w:val="00F2676C"/>
    <w:rsid w:val="00F84366"/>
    <w:rsid w:val="00F85089"/>
    <w:rsid w:val="00F974C5"/>
    <w:rsid w:val="00FA6F46"/>
    <w:rsid w:val="00FE5872"/>
    <w:rsid w:val="00FE5E71"/>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1B47"/>
  <w15:chartTrackingRefBased/>
  <w15:docId w15:val="{D48761B8-2EF9-4250-B29D-F3E7AC6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character" w:styleId="CommentReference">
    <w:name w:val="annotation reference"/>
    <w:basedOn w:val="DefaultParagraphFont"/>
    <w:uiPriority w:val="99"/>
    <w:semiHidden/>
    <w:unhideWhenUsed/>
    <w:rsid w:val="000C3E19"/>
    <w:rPr>
      <w:sz w:val="16"/>
      <w:szCs w:val="16"/>
    </w:rPr>
  </w:style>
  <w:style w:type="paragraph" w:styleId="CommentText">
    <w:name w:val="annotation text"/>
    <w:basedOn w:val="Normal"/>
    <w:link w:val="CommentTextChar"/>
    <w:uiPriority w:val="99"/>
    <w:semiHidden/>
    <w:unhideWhenUsed/>
    <w:rsid w:val="000C3E19"/>
    <w:pPr>
      <w:spacing w:line="240" w:lineRule="auto"/>
    </w:pPr>
    <w:rPr>
      <w:sz w:val="20"/>
      <w:szCs w:val="20"/>
    </w:rPr>
  </w:style>
  <w:style w:type="character" w:customStyle="1" w:styleId="CommentTextChar">
    <w:name w:val="Comment Text Char"/>
    <w:basedOn w:val="DefaultParagraphFont"/>
    <w:link w:val="CommentText"/>
    <w:uiPriority w:val="99"/>
    <w:semiHidden/>
    <w:rsid w:val="000C3E19"/>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C3E19"/>
    <w:rPr>
      <w:b/>
      <w:bCs/>
    </w:rPr>
  </w:style>
  <w:style w:type="character" w:customStyle="1" w:styleId="CommentSubjectChar">
    <w:name w:val="Comment Subject Char"/>
    <w:basedOn w:val="CommentTextChar"/>
    <w:link w:val="CommentSubject"/>
    <w:uiPriority w:val="99"/>
    <w:semiHidden/>
    <w:rsid w:val="000C3E19"/>
    <w:rPr>
      <w:rFonts w:ascii="Dubai" w:hAnsi="Dubai" w:cs="Dubai"/>
      <w:b/>
      <w:bCs/>
      <w:sz w:val="20"/>
      <w:szCs w:val="20"/>
    </w:rPr>
  </w:style>
  <w:style w:type="paragraph" w:styleId="Revision">
    <w:name w:val="Revision"/>
    <w:hidden/>
    <w:uiPriority w:val="99"/>
    <w:semiHidden/>
    <w:rsid w:val="000C3E19"/>
    <w:pPr>
      <w:spacing w:after="0" w:line="240" w:lineRule="auto"/>
    </w:pPr>
    <w:rPr>
      <w:rFonts w:ascii="Dubai" w:hAnsi="Dubai" w:cs="Dubai"/>
    </w:rPr>
  </w:style>
  <w:style w:type="paragraph" w:customStyle="1" w:styleId="AnnexNotitle">
    <w:name w:val="Annex_No &amp; title"/>
    <w:basedOn w:val="Annextitle"/>
    <w:qFormat/>
    <w:rsid w:val="000C3E19"/>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D4D-DF78-472A-8A75-1DEE9D8A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15</cp:revision>
  <dcterms:created xsi:type="dcterms:W3CDTF">2021-11-23T15:40:00Z</dcterms:created>
  <dcterms:modified xsi:type="dcterms:W3CDTF">2021-11-25T12:56:00Z</dcterms:modified>
</cp:coreProperties>
</file>