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062B9BD4" w:rsidR="00E53DCE" w:rsidRPr="00334544" w:rsidRDefault="00BA539B" w:rsidP="006160CB">
            <w:pPr>
              <w:spacing w:before="0"/>
              <w:jc w:val="left"/>
              <w:rPr>
                <w:b/>
                <w:bCs/>
                <w:szCs w:val="24"/>
                <w:lang w:val="fr-CH"/>
              </w:rPr>
            </w:pPr>
            <w:r w:rsidRPr="00BA539B">
              <w:rPr>
                <w:b/>
                <w:bCs/>
                <w:szCs w:val="24"/>
                <w:lang w:val="fr-CH"/>
              </w:rPr>
              <w:t>CACE/</w:t>
            </w:r>
            <w:r w:rsidR="00AF5347">
              <w:rPr>
                <w:b/>
                <w:bCs/>
                <w:szCs w:val="24"/>
                <w:lang w:val="fr-FR"/>
              </w:rPr>
              <w:t>981</w:t>
            </w:r>
          </w:p>
        </w:tc>
        <w:tc>
          <w:tcPr>
            <w:tcW w:w="2835" w:type="dxa"/>
            <w:shd w:val="clear" w:color="auto" w:fill="auto"/>
          </w:tcPr>
          <w:p w14:paraId="65C3D9EF" w14:textId="4B4B67BF"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99686C">
              <w:rPr>
                <w:rFonts w:hint="eastAsia"/>
                <w:szCs w:val="24"/>
                <w:lang w:eastAsia="zh-CN"/>
              </w:rPr>
              <w:t>1</w:t>
            </w:r>
            <w:r w:rsidRPr="00BA539B">
              <w:rPr>
                <w:rFonts w:hint="eastAsia"/>
                <w:szCs w:val="24"/>
                <w:lang w:eastAsia="zh-CN"/>
              </w:rPr>
              <w:t>年</w:t>
            </w:r>
            <w:r w:rsidR="00AF5347">
              <w:rPr>
                <w:szCs w:val="24"/>
                <w:lang w:eastAsia="zh-CN"/>
              </w:rPr>
              <w:t>6</w:t>
            </w:r>
            <w:r w:rsidRPr="00BA539B">
              <w:rPr>
                <w:rFonts w:hint="eastAsia"/>
                <w:szCs w:val="24"/>
                <w:lang w:eastAsia="zh-CN"/>
              </w:rPr>
              <w:t>月</w:t>
            </w:r>
            <w:r w:rsidR="00AF5347">
              <w:rPr>
                <w:szCs w:val="24"/>
                <w:lang w:eastAsia="zh-CN"/>
              </w:rPr>
              <w:t>11</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0B6B06C5" w:rsidR="00E53DCE" w:rsidRPr="00334544" w:rsidRDefault="00CA4B55" w:rsidP="006160CB">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AF5347">
              <w:rPr>
                <w:rFonts w:asciiTheme="minorHAnsi" w:eastAsia="SimSun" w:hAnsiTheme="minorHAnsi" w:cstheme="minorHAnsi"/>
                <w:b/>
                <w:bCs/>
                <w:szCs w:val="24"/>
                <w:lang w:eastAsia="zh-CN"/>
              </w:rPr>
              <w:t>1</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092C1119"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AF5347">
              <w:rPr>
                <w:rFonts w:eastAsia="SimSun" w:hint="eastAsia"/>
                <w:b/>
                <w:bCs/>
                <w:szCs w:val="24"/>
                <w:lang w:eastAsia="zh-CN"/>
              </w:rPr>
              <w:t>1</w:t>
            </w:r>
            <w:r w:rsidRPr="00CA4B55">
              <w:rPr>
                <w:rFonts w:eastAsia="SimSun" w:hint="eastAsia"/>
                <w:b/>
                <w:bCs/>
                <w:szCs w:val="24"/>
                <w:lang w:eastAsia="zh-CN"/>
              </w:rPr>
              <w:t>研究组</w:t>
            </w:r>
            <w:r w:rsidR="00AF5347">
              <w:rPr>
                <w:rFonts w:eastAsia="SimSun" w:hint="eastAsia"/>
                <w:b/>
                <w:bCs/>
                <w:szCs w:val="24"/>
                <w:lang w:eastAsia="zh-CN"/>
              </w:rPr>
              <w:t>（</w:t>
            </w:r>
            <w:r w:rsidR="00AF5347" w:rsidRPr="00AF5347">
              <w:rPr>
                <w:rFonts w:eastAsia="SimSun" w:hint="eastAsia"/>
                <w:b/>
                <w:bCs/>
                <w:szCs w:val="24"/>
                <w:lang w:eastAsia="zh-CN"/>
              </w:rPr>
              <w:t>频谱管理</w:t>
            </w:r>
            <w:r w:rsidR="00AF5347">
              <w:rPr>
                <w:rFonts w:eastAsia="SimSun" w:hint="eastAsia"/>
                <w:b/>
                <w:bCs/>
                <w:szCs w:val="24"/>
                <w:lang w:eastAsia="zh-CN"/>
              </w:rPr>
              <w:t>）</w:t>
            </w:r>
          </w:p>
          <w:p w14:paraId="4BCAFB96" w14:textId="068B8BC9" w:rsidR="00E53DCE" w:rsidRPr="00AF5347" w:rsidRDefault="00CA4B55" w:rsidP="00AF5347">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AF5347">
              <w:rPr>
                <w:rFonts w:eastAsia="SimSun"/>
                <w:b/>
                <w:bCs/>
                <w:szCs w:val="24"/>
                <w:lang w:eastAsia="zh-CN"/>
              </w:rPr>
              <w:t>2</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新建议书草案和</w:t>
            </w:r>
            <w:r w:rsidR="00AF5347">
              <w:rPr>
                <w:rFonts w:eastAsia="SimSun" w:hint="eastAsia"/>
                <w:b/>
                <w:bCs/>
                <w:szCs w:val="24"/>
                <w:lang w:eastAsia="zh-CN"/>
              </w:rPr>
              <w:t>1</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4671D32D" w:rsidR="00CA4B55" w:rsidRPr="00CA4B55" w:rsidRDefault="00CA4B55" w:rsidP="00CA4B55">
      <w:pPr>
        <w:spacing w:before="240" w:line="240" w:lineRule="auto"/>
        <w:ind w:firstLineChars="200" w:firstLine="480"/>
        <w:rPr>
          <w:lang w:eastAsia="zh-CN"/>
        </w:rPr>
      </w:pPr>
      <w:r w:rsidRPr="00CA4B55">
        <w:rPr>
          <w:rFonts w:hint="eastAsia"/>
          <w:lang w:eastAsia="zh-CN"/>
        </w:rPr>
        <w:t>在</w:t>
      </w:r>
      <w:r w:rsidRPr="00AF5347">
        <w:rPr>
          <w:lang w:eastAsia="zh-CN"/>
        </w:rPr>
        <w:t>20</w:t>
      </w:r>
      <w:r w:rsidR="00AF5347" w:rsidRPr="00AF5347">
        <w:rPr>
          <w:lang w:eastAsia="zh-CN"/>
        </w:rPr>
        <w:t>21</w:t>
      </w:r>
      <w:r w:rsidRPr="00CA4B55">
        <w:rPr>
          <w:rFonts w:hint="eastAsia"/>
          <w:lang w:eastAsia="zh-CN"/>
        </w:rPr>
        <w:t>年</w:t>
      </w:r>
      <w:r w:rsidR="00AF5347">
        <w:rPr>
          <w:rFonts w:hint="eastAsia"/>
          <w:lang w:eastAsia="zh-CN"/>
        </w:rPr>
        <w:t>6</w:t>
      </w:r>
      <w:r w:rsidRPr="00CA4B55">
        <w:rPr>
          <w:rFonts w:hint="eastAsia"/>
          <w:lang w:eastAsia="zh-CN"/>
        </w:rPr>
        <w:t>月</w:t>
      </w:r>
      <w:r w:rsidR="0099686C">
        <w:rPr>
          <w:lang w:eastAsia="zh-CN"/>
        </w:rPr>
        <w:t>3</w:t>
      </w:r>
      <w:r w:rsidRPr="00CA4B55">
        <w:rPr>
          <w:rFonts w:hint="eastAsia"/>
          <w:lang w:eastAsia="zh-CN"/>
        </w:rPr>
        <w:t>日召开的无线电通信第</w:t>
      </w:r>
      <w:r w:rsidR="00AF5347">
        <w:rPr>
          <w:rFonts w:hint="eastAsia"/>
          <w:lang w:eastAsia="zh-CN"/>
        </w:rPr>
        <w:t>1</w:t>
      </w:r>
      <w:r w:rsidRPr="00CA4B55">
        <w:rPr>
          <w:rFonts w:hint="eastAsia"/>
          <w:lang w:eastAsia="zh-CN"/>
        </w:rPr>
        <w:t>研究组会议上，研究</w:t>
      </w:r>
      <w:proofErr w:type="gramStart"/>
      <w:r w:rsidRPr="00CA4B55">
        <w:rPr>
          <w:rFonts w:hint="eastAsia"/>
          <w:lang w:eastAsia="zh-CN"/>
        </w:rPr>
        <w:t>组做出</w:t>
      </w:r>
      <w:proofErr w:type="gramEnd"/>
      <w:r w:rsidRPr="00CA4B55">
        <w:rPr>
          <w:rFonts w:hint="eastAsia"/>
          <w:lang w:eastAsia="zh-CN"/>
        </w:rPr>
        <w:t>决定，寻求</w:t>
      </w:r>
      <w:r w:rsidRPr="00CA4B55">
        <w:rPr>
          <w:lang w:eastAsia="zh-CN"/>
        </w:rPr>
        <w:t>以信函方式通过</w:t>
      </w:r>
      <w:r w:rsidR="00AF5347">
        <w:rPr>
          <w:rFonts w:hint="eastAsia"/>
          <w:lang w:eastAsia="zh-CN"/>
        </w:rPr>
        <w:t>2</w:t>
      </w:r>
      <w:r w:rsidRPr="00CA4B55">
        <w:rPr>
          <w:rFonts w:hint="eastAsia"/>
          <w:lang w:eastAsia="zh-CN"/>
        </w:rPr>
        <w:t>项新的和</w:t>
      </w:r>
      <w:r w:rsidR="00AF5347">
        <w:rPr>
          <w:rFonts w:hint="eastAsia"/>
          <w:lang w:eastAsia="zh-CN"/>
        </w:rPr>
        <w:t>1</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8</w:t>
      </w:r>
      <w:r w:rsidRPr="00CA4B55">
        <w:rPr>
          <w:lang w:eastAsia="zh-CN"/>
        </w:rPr>
        <w:t>号</w:t>
      </w:r>
      <w:proofErr w:type="gramStart"/>
      <w:r w:rsidRPr="00CA4B55">
        <w:rPr>
          <w:lang w:eastAsia="zh-CN"/>
        </w:rPr>
        <w:t>决议第</w:t>
      </w:r>
      <w:proofErr w:type="gramEnd"/>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sidRPr="00CA4B55">
        <w:rPr>
          <w:rFonts w:hint="eastAsia"/>
          <w:lang w:eastAsia="zh-CN"/>
        </w:rPr>
        <w:t>8</w:t>
      </w:r>
      <w:r w:rsidRPr="00CA4B55">
        <w:rPr>
          <w:lang w:eastAsia="zh-CN"/>
        </w:rPr>
        <w:t>号</w:t>
      </w:r>
      <w:proofErr w:type="gramStart"/>
      <w:r w:rsidRPr="00CA4B55">
        <w:rPr>
          <w:lang w:eastAsia="zh-CN"/>
        </w:rPr>
        <w:t>决议第</w:t>
      </w:r>
      <w:proofErr w:type="gramEnd"/>
      <w:r w:rsidRPr="00CA4B55">
        <w:rPr>
          <w:rFonts w:cs="SimSun" w:hint="eastAsia"/>
          <w:lang w:eastAsia="zh-CN"/>
        </w:rPr>
        <w:t>A2.6.2.4</w:t>
      </w:r>
      <w:r w:rsidRPr="00CA4B55">
        <w:rPr>
          <w:lang w:eastAsia="zh-CN"/>
        </w:rPr>
        <w:t>段）。建议书</w:t>
      </w:r>
      <w:r w:rsidRPr="00CA4B55">
        <w:rPr>
          <w:rFonts w:hint="eastAsia"/>
          <w:lang w:eastAsia="zh-CN"/>
        </w:rPr>
        <w:t>草案的标题和摘要见</w:t>
      </w:r>
      <w:r w:rsidRPr="00AF5347">
        <w:rPr>
          <w:rFonts w:hint="eastAsia"/>
          <w:lang w:eastAsia="zh-CN"/>
        </w:rPr>
        <w:t>本函附件</w:t>
      </w:r>
      <w:r w:rsidRPr="00CA4B55">
        <w:rPr>
          <w:lang w:eastAsia="zh-CN"/>
        </w:rPr>
        <w:t>。</w:t>
      </w:r>
      <w:proofErr w:type="gramStart"/>
      <w:r w:rsidRPr="00CA4B55">
        <w:rPr>
          <w:rFonts w:hint="eastAsia"/>
          <w:lang w:eastAsia="zh-CN"/>
        </w:rPr>
        <w:t>请反对</w:t>
      </w:r>
      <w:proofErr w:type="gramEnd"/>
      <w:r w:rsidRPr="00CA4B55">
        <w:rPr>
          <w:rFonts w:hint="eastAsia"/>
          <w:lang w:eastAsia="zh-CN"/>
        </w:rPr>
        <w:t>批准某建议书草案的成员国向主任和研究组主席阐明反对原因。</w:t>
      </w:r>
    </w:p>
    <w:p w14:paraId="1FF21FAE" w14:textId="7648FBA6" w:rsidR="00CA4B55" w:rsidRPr="00CA4B55" w:rsidRDefault="00CA4B55" w:rsidP="00CA4B55">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w:t>
      </w:r>
      <w:r w:rsidRPr="00AF5347">
        <w:rPr>
          <w:lang w:eastAsia="zh-CN"/>
        </w:rPr>
        <w:t>，于</w:t>
      </w:r>
      <w:r w:rsidRPr="00AF5347">
        <w:rPr>
          <w:u w:val="single"/>
          <w:lang w:eastAsia="zh-CN"/>
        </w:rPr>
        <w:t>20</w:t>
      </w:r>
      <w:r w:rsidR="00AF5347" w:rsidRPr="00AF5347">
        <w:rPr>
          <w:u w:val="single"/>
          <w:lang w:eastAsia="zh-CN"/>
        </w:rPr>
        <w:t>21</w:t>
      </w:r>
      <w:r w:rsidRPr="00AF5347">
        <w:rPr>
          <w:u w:val="single"/>
          <w:lang w:eastAsia="zh-CN"/>
        </w:rPr>
        <w:t>年</w:t>
      </w:r>
      <w:r w:rsidR="00AF5347" w:rsidRPr="00AF5347">
        <w:rPr>
          <w:rFonts w:hint="eastAsia"/>
          <w:u w:val="single"/>
          <w:lang w:eastAsia="zh-CN"/>
        </w:rPr>
        <w:t>8</w:t>
      </w:r>
      <w:r w:rsidRPr="00AF5347">
        <w:rPr>
          <w:u w:val="single"/>
          <w:lang w:eastAsia="zh-CN"/>
        </w:rPr>
        <w:t>月</w:t>
      </w:r>
      <w:r w:rsidR="00AF5347" w:rsidRPr="00AF5347">
        <w:rPr>
          <w:rFonts w:hint="eastAsia"/>
          <w:u w:val="single"/>
          <w:lang w:eastAsia="zh-CN"/>
        </w:rPr>
        <w:t>1</w:t>
      </w:r>
      <w:r w:rsidR="00AF5347" w:rsidRPr="00AF5347">
        <w:rPr>
          <w:u w:val="single"/>
          <w:lang w:eastAsia="zh-CN"/>
        </w:rPr>
        <w:t>1</w:t>
      </w:r>
      <w:r w:rsidRPr="00AF5347">
        <w:rPr>
          <w:u w:val="single"/>
          <w:lang w:eastAsia="zh-CN"/>
        </w:rPr>
        <w:t>日</w:t>
      </w:r>
      <w:r w:rsidRPr="00AF5347">
        <w:rPr>
          <w:lang w:eastAsia="zh-CN"/>
        </w:rPr>
        <w:t>结束</w:t>
      </w:r>
      <w:r w:rsidRPr="00CA4B55">
        <w:rPr>
          <w:lang w:eastAsia="zh-CN"/>
        </w:rPr>
        <w:t>。如在此期间未收到成员国的反对意见，则</w:t>
      </w:r>
      <w:proofErr w:type="gramStart"/>
      <w:r w:rsidRPr="00CA4B55">
        <w:rPr>
          <w:rFonts w:hint="eastAsia"/>
          <w:lang w:eastAsia="zh-CN"/>
        </w:rPr>
        <w:t>须</w:t>
      </w:r>
      <w:r w:rsidRPr="00CA4B55">
        <w:rPr>
          <w:lang w:eastAsia="zh-CN"/>
        </w:rPr>
        <w:t>认为</w:t>
      </w:r>
      <w:proofErr w:type="gramEnd"/>
      <w:r w:rsidRPr="00CA4B55">
        <w:rPr>
          <w:lang w:eastAsia="zh-CN"/>
        </w:rPr>
        <w:t>第</w:t>
      </w:r>
      <w:r w:rsidR="00AF5347">
        <w:rPr>
          <w:rFonts w:hint="eastAsia"/>
          <w:lang w:eastAsia="zh-CN"/>
        </w:rPr>
        <w:t>1</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4A391810" w14:textId="77777777" w:rsidR="00CA4B55" w:rsidRPr="00CA4B55" w:rsidRDefault="00CA4B55" w:rsidP="00CA4B55">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Pr="00CA4B55">
          <w:rPr>
            <w:color w:val="0000FF"/>
            <w:u w:val="single"/>
          </w:rPr>
          <w:t>://</w:t>
        </w:r>
        <w:proofErr w:type="spellStart"/>
        <w:r w:rsidRPr="00CA4B55">
          <w:rPr>
            <w:color w:val="0000FF"/>
            <w:u w:val="single"/>
          </w:rPr>
          <w:t>www.itu.int</w:t>
        </w:r>
        <w:proofErr w:type="spellEnd"/>
        <w:r w:rsidRPr="00CA4B55">
          <w:rPr>
            <w:color w:val="0000FF"/>
            <w:u w:val="single"/>
          </w:rPr>
          <w:t>/pub/R-REC</w:t>
        </w:r>
      </w:hyperlink>
      <w:r w:rsidRPr="00CA4B55">
        <w:rPr>
          <w:rFonts w:hint="eastAsia"/>
        </w:rPr>
        <w:t>）。</w:t>
      </w:r>
    </w:p>
    <w:p w14:paraId="0B5CEC0B" w14:textId="77777777"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r w:rsidR="00EC76C6">
        <w:fldChar w:fldCharType="begin"/>
      </w:r>
      <w:r w:rsidR="00EC76C6">
        <w:rPr>
          <w:lang w:eastAsia="zh-CN"/>
        </w:rPr>
        <w:instrText xml:space="preserve"> HYPERLINK "http://www.itu.int/en/ITU-T/ipr/Pages/policy.aspx" </w:instrText>
      </w:r>
      <w:r w:rsidR="00EC76C6">
        <w:fldChar w:fldCharType="separate"/>
      </w:r>
      <w:r w:rsidRPr="00CA4B55">
        <w:rPr>
          <w:color w:val="0000FF"/>
          <w:szCs w:val="24"/>
          <w:u w:val="single"/>
          <w:lang w:val="fr-FR" w:eastAsia="zh-CN"/>
        </w:rPr>
        <w:t>http://</w:t>
      </w:r>
      <w:proofErr w:type="spellStart"/>
      <w:r w:rsidRPr="00CA4B55">
        <w:rPr>
          <w:color w:val="0000FF"/>
          <w:szCs w:val="24"/>
          <w:u w:val="single"/>
          <w:lang w:val="fr-FR" w:eastAsia="zh-CN"/>
        </w:rPr>
        <w:t>www.itu.int</w:t>
      </w:r>
      <w:proofErr w:type="spellEnd"/>
      <w:r w:rsidRPr="00CA4B55">
        <w:rPr>
          <w:color w:val="0000FF"/>
          <w:szCs w:val="24"/>
          <w:u w:val="single"/>
          <w:lang w:val="fr-FR" w:eastAsia="zh-CN"/>
        </w:rPr>
        <w:t>/en/</w:t>
      </w:r>
      <w:proofErr w:type="spellStart"/>
      <w:r w:rsidRPr="00CA4B55">
        <w:rPr>
          <w:color w:val="0000FF"/>
          <w:szCs w:val="24"/>
          <w:u w:val="single"/>
          <w:lang w:val="fr-FR" w:eastAsia="zh-CN"/>
        </w:rPr>
        <w:t>ITU-T</w:t>
      </w:r>
      <w:proofErr w:type="spellEnd"/>
      <w:r w:rsidRPr="00CA4B55">
        <w:rPr>
          <w:color w:val="0000FF"/>
          <w:szCs w:val="24"/>
          <w:u w:val="single"/>
          <w:lang w:val="fr-FR" w:eastAsia="zh-CN"/>
        </w:rPr>
        <w:t>/</w:t>
      </w:r>
      <w:proofErr w:type="spellStart"/>
      <w:r w:rsidRPr="00CA4B55">
        <w:rPr>
          <w:color w:val="0000FF"/>
          <w:szCs w:val="24"/>
          <w:u w:val="single"/>
          <w:lang w:val="fr-FR" w:eastAsia="zh-CN"/>
        </w:rPr>
        <w:t>ipr</w:t>
      </w:r>
      <w:proofErr w:type="spellEnd"/>
      <w:r w:rsidRPr="00CA4B55">
        <w:rPr>
          <w:color w:val="0000FF"/>
          <w:szCs w:val="24"/>
          <w:u w:val="single"/>
          <w:lang w:val="fr-FR" w:eastAsia="zh-CN"/>
        </w:rPr>
        <w:t>/Pages/</w:t>
      </w:r>
      <w:proofErr w:type="spellStart"/>
      <w:r w:rsidRPr="00CA4B55">
        <w:rPr>
          <w:color w:val="0000FF"/>
          <w:szCs w:val="24"/>
          <w:u w:val="single"/>
          <w:lang w:val="fr-FR" w:eastAsia="zh-CN"/>
        </w:rPr>
        <w:t>policy.aspx</w:t>
      </w:r>
      <w:proofErr w:type="spellEnd"/>
      <w:r w:rsidR="00EC76C6">
        <w:rPr>
          <w:color w:val="0000FF"/>
          <w:szCs w:val="24"/>
          <w:u w:val="single"/>
          <w:lang w:val="fr-FR" w:eastAsia="zh-CN"/>
        </w:rPr>
        <w:fldChar w:fldCharType="end"/>
      </w:r>
      <w:r w:rsidRPr="00CA4B55">
        <w:rPr>
          <w:rFonts w:hint="eastAsia"/>
          <w:lang w:eastAsia="zh-CN"/>
        </w:rPr>
        <w:t>。</w:t>
      </w:r>
    </w:p>
    <w:p w14:paraId="06D80764" w14:textId="4A0BBB88" w:rsidR="00CA4B55" w:rsidRPr="00CA4B55" w:rsidRDefault="00CA4B55" w:rsidP="00CA4B55">
      <w:pPr>
        <w:spacing w:before="96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CA4B55">
        <w:rPr>
          <w:rFonts w:asciiTheme="majorEastAsia" w:eastAsiaTheme="majorEastAsia" w:hAnsiTheme="majorEastAsia"/>
          <w:szCs w:val="24"/>
          <w:lang w:val="fr-FR"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1DD4FDDA" w:rsidR="00CA4B55" w:rsidRPr="00CA4B55" w:rsidRDefault="00CA4B55" w:rsidP="00CA4B55">
      <w:pPr>
        <w:spacing w:before="2040" w:line="240" w:lineRule="auto"/>
        <w:rPr>
          <w:lang w:eastAsia="zh-CN"/>
        </w:rPr>
      </w:pPr>
      <w:r w:rsidRPr="00CA4B55">
        <w:rPr>
          <w:rFonts w:hint="eastAsia"/>
          <w:b/>
          <w:lang w:eastAsia="zh-CN"/>
        </w:rPr>
        <w:t>附件：</w:t>
      </w:r>
      <w:r w:rsidRPr="00CA4B55">
        <w:rPr>
          <w:rFonts w:hint="eastAsia"/>
          <w:lang w:eastAsia="zh-CN"/>
        </w:rPr>
        <w:t>建议书草案的标题和摘要</w:t>
      </w:r>
    </w:p>
    <w:p w14:paraId="23E8FA6F" w14:textId="0F813695" w:rsidR="00CA4B55" w:rsidRPr="00CA4B55" w:rsidRDefault="00CA4B55" w:rsidP="00CA4B55">
      <w:pPr>
        <w:spacing w:before="120" w:line="240" w:lineRule="auto"/>
        <w:rPr>
          <w:lang w:eastAsia="zh-CN"/>
        </w:rPr>
      </w:pPr>
    </w:p>
    <w:p w14:paraId="3BDC48D8" w14:textId="44EC11DE" w:rsidR="00CA4B55" w:rsidRPr="00CA4B55" w:rsidRDefault="00CA4B55" w:rsidP="00CA4B55">
      <w:pPr>
        <w:spacing w:before="120" w:line="240" w:lineRule="auto"/>
        <w:rPr>
          <w:lang w:eastAsia="zh-CN"/>
        </w:rPr>
      </w:pPr>
      <w:r w:rsidRPr="00CA4B55">
        <w:rPr>
          <w:rFonts w:hint="eastAsia"/>
          <w:b/>
          <w:bCs/>
          <w:lang w:eastAsia="zh-CN"/>
        </w:rPr>
        <w:t>文件：</w:t>
      </w:r>
      <w:r w:rsidR="00AF5347" w:rsidRPr="00AF5347">
        <w:rPr>
          <w:lang w:val="en-GB" w:eastAsia="zh-CN"/>
        </w:rPr>
        <w:t>1/53(Rev.</w:t>
      </w:r>
      <w:proofErr w:type="gramStart"/>
      <w:r w:rsidR="00AF5347" w:rsidRPr="00AF5347">
        <w:rPr>
          <w:lang w:val="en-GB" w:eastAsia="zh-CN"/>
        </w:rPr>
        <w:t>1)</w:t>
      </w:r>
      <w:r w:rsidR="00AF5347">
        <w:rPr>
          <w:rFonts w:hint="eastAsia"/>
          <w:lang w:val="en-GB" w:eastAsia="zh-CN"/>
        </w:rPr>
        <w:t>、</w:t>
      </w:r>
      <w:proofErr w:type="gramEnd"/>
      <w:r w:rsidR="00AF5347" w:rsidRPr="00AF5347">
        <w:rPr>
          <w:lang w:val="en-GB" w:eastAsia="zh-CN"/>
        </w:rPr>
        <w:t>1/55</w:t>
      </w:r>
      <w:r w:rsidR="00AF5347">
        <w:rPr>
          <w:rFonts w:hint="eastAsia"/>
          <w:lang w:val="en-GB" w:eastAsia="zh-CN"/>
        </w:rPr>
        <w:t>、</w:t>
      </w:r>
      <w:r w:rsidR="00AF5347" w:rsidRPr="00AF5347">
        <w:rPr>
          <w:lang w:val="en-GB" w:eastAsia="zh-CN"/>
        </w:rPr>
        <w:t>1/57(Rev.1)</w:t>
      </w:r>
      <w:r w:rsidRPr="00CA4B55">
        <w:rPr>
          <w:rFonts w:hint="eastAsia"/>
          <w:lang w:eastAsia="zh-CN"/>
        </w:rPr>
        <w:t>号文件</w:t>
      </w:r>
    </w:p>
    <w:p w14:paraId="0CE35C1D" w14:textId="7D9785CA" w:rsidR="00CA4B55" w:rsidRPr="00CA4B55" w:rsidRDefault="00CA4B55" w:rsidP="00CA4B55">
      <w:pPr>
        <w:spacing w:before="120" w:line="240" w:lineRule="auto"/>
        <w:rPr>
          <w:lang w:eastAsia="zh-CN"/>
        </w:rPr>
      </w:pPr>
      <w:r w:rsidRPr="00CA4B55">
        <w:rPr>
          <w:rFonts w:hint="eastAsia"/>
          <w:lang w:eastAsia="zh-CN"/>
        </w:rPr>
        <w:t>以下网站</w:t>
      </w:r>
      <w:r w:rsidRPr="00AF5347">
        <w:rPr>
          <w:rFonts w:hint="eastAsia"/>
          <w:lang w:eastAsia="zh-CN"/>
        </w:rPr>
        <w:t>提供这些</w:t>
      </w:r>
      <w:r w:rsidRPr="00CA4B55">
        <w:rPr>
          <w:rFonts w:hint="eastAsia"/>
          <w:lang w:eastAsia="zh-CN"/>
        </w:rPr>
        <w:t>文件的电子版：</w:t>
      </w:r>
      <w:hyperlink r:id="rId9" w:history="1">
        <w:r w:rsidR="003917B3" w:rsidRPr="005B39FB">
          <w:rPr>
            <w:rStyle w:val="Hyperlink"/>
            <w:szCs w:val="24"/>
            <w:lang w:val="en-GB"/>
          </w:rPr>
          <w:t>https://www.itu.int/md/R19-SG01-C/en</w:t>
        </w:r>
      </w:hyperlink>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78D81D7D"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Pr="00D160A0">
        <w:rPr>
          <w:rFonts w:hint="eastAsia"/>
          <w:sz w:val="28"/>
          <w:szCs w:val="28"/>
          <w:lang w:eastAsia="zh-CN"/>
        </w:rPr>
        <w:t>建议书草案的标题和摘要</w:t>
      </w:r>
    </w:p>
    <w:p w14:paraId="569C75FA" w14:textId="771BFCE5" w:rsidR="00AF5347" w:rsidRPr="00AF5347" w:rsidRDefault="00AF5347" w:rsidP="00AF5347">
      <w:pPr>
        <w:tabs>
          <w:tab w:val="right" w:pos="9639"/>
        </w:tabs>
        <w:spacing w:before="480"/>
        <w:rPr>
          <w:rFonts w:asciiTheme="minorHAnsi" w:hAnsiTheme="minorHAnsi" w:cstheme="minorHAnsi"/>
          <w:szCs w:val="24"/>
          <w:lang w:val="en-GB" w:eastAsia="zh-CN"/>
        </w:rPr>
      </w:pPr>
      <w:r w:rsidRPr="00AF5347">
        <w:rPr>
          <w:rFonts w:asciiTheme="minorHAnsi" w:hAnsiTheme="minorHAnsi" w:cstheme="minorHAnsi"/>
          <w:szCs w:val="24"/>
          <w:u w:val="single"/>
          <w:lang w:val="en-GB" w:eastAsia="zh-CN"/>
        </w:rPr>
        <w:t>ITU-R SM.[TDOA-ACC]</w:t>
      </w:r>
      <w:r w:rsidRPr="00AF5347">
        <w:rPr>
          <w:rFonts w:hint="eastAsia"/>
          <w:u w:val="single"/>
          <w:lang w:eastAsia="zh-CN"/>
        </w:rPr>
        <w:t xml:space="preserve"> </w:t>
      </w:r>
      <w:r w:rsidRPr="00AF5347">
        <w:rPr>
          <w:rFonts w:hint="eastAsia"/>
          <w:u w:val="single"/>
          <w:lang w:eastAsia="zh-CN"/>
        </w:rPr>
        <w:t>新建议书草案</w:t>
      </w:r>
      <w:r w:rsidRPr="00AF5347">
        <w:rPr>
          <w:rFonts w:asciiTheme="minorHAnsi" w:hAnsiTheme="minorHAnsi" w:cstheme="minorHAnsi"/>
          <w:szCs w:val="24"/>
          <w:lang w:val="en-GB" w:eastAsia="zh-CN"/>
        </w:rPr>
        <w:tab/>
        <w:t>1/5</w:t>
      </w:r>
      <w:r w:rsidRPr="00AF5347">
        <w:rPr>
          <w:rFonts w:asciiTheme="minorHAnsi" w:hAnsiTheme="minorHAnsi" w:cstheme="minorHAnsi" w:hint="eastAsia"/>
          <w:szCs w:val="24"/>
          <w:lang w:val="en-GB" w:eastAsia="zh-CN"/>
        </w:rPr>
        <w:t>3</w:t>
      </w:r>
      <w:r w:rsidRPr="00AF5347">
        <w:rPr>
          <w:rFonts w:asciiTheme="minorHAnsi" w:hAnsiTheme="minorHAnsi" w:cstheme="minorHAnsi"/>
          <w:szCs w:val="24"/>
          <w:lang w:val="en-GB" w:eastAsia="zh-CN"/>
        </w:rPr>
        <w:t>(Rev.</w:t>
      </w:r>
      <w:proofErr w:type="gramStart"/>
      <w:r w:rsidRPr="00AF5347">
        <w:rPr>
          <w:rFonts w:asciiTheme="minorHAnsi" w:hAnsiTheme="minorHAnsi" w:cstheme="minorHAnsi"/>
          <w:szCs w:val="24"/>
          <w:lang w:val="en-GB" w:eastAsia="zh-CN"/>
        </w:rPr>
        <w:t>1)</w:t>
      </w:r>
      <w:r w:rsidRPr="00AF5347">
        <w:rPr>
          <w:rFonts w:asciiTheme="minorHAnsi" w:hAnsiTheme="minorHAnsi" w:cstheme="minorHAnsi" w:hint="eastAsia"/>
          <w:szCs w:val="24"/>
          <w:lang w:eastAsia="zh-CN"/>
        </w:rPr>
        <w:t>号文件</w:t>
      </w:r>
      <w:proofErr w:type="gramEnd"/>
    </w:p>
    <w:p w14:paraId="44EC9CA9" w14:textId="345BA12A" w:rsidR="00AF5347" w:rsidRPr="0099686C" w:rsidRDefault="003917B3" w:rsidP="0099686C">
      <w:pPr>
        <w:pStyle w:val="Rectitle"/>
      </w:pPr>
      <w:proofErr w:type="spellStart"/>
      <w:r w:rsidRPr="0099686C">
        <w:rPr>
          <w:rFonts w:hint="eastAsia"/>
        </w:rPr>
        <w:t>确定</w:t>
      </w:r>
      <w:r w:rsidR="00AF5347" w:rsidRPr="0099686C">
        <w:t>TDOA</w:t>
      </w:r>
      <w:r w:rsidRPr="0099686C">
        <w:rPr>
          <w:rFonts w:hint="eastAsia"/>
        </w:rPr>
        <w:t>系统准确性的测试程序</w:t>
      </w:r>
      <w:proofErr w:type="spellEnd"/>
    </w:p>
    <w:p w14:paraId="4442E5D2" w14:textId="378549D8" w:rsidR="00AF5347" w:rsidRPr="00AF5347" w:rsidRDefault="003917B3" w:rsidP="0099686C">
      <w:pPr>
        <w:spacing w:before="240"/>
        <w:ind w:firstLineChars="200" w:firstLine="480"/>
        <w:rPr>
          <w:rFonts w:asciiTheme="minorHAnsi" w:hAnsiTheme="minorHAnsi" w:cstheme="minorHAnsi"/>
          <w:bCs/>
          <w:sz w:val="28"/>
          <w:szCs w:val="24"/>
          <w:lang w:val="en-GB" w:eastAsia="zh-CN"/>
        </w:rPr>
      </w:pPr>
      <w:r w:rsidRPr="003917B3">
        <w:rPr>
          <w:rFonts w:asciiTheme="minorHAnsi" w:hAnsiTheme="minorHAnsi" w:cstheme="minorHAnsi" w:hint="eastAsia"/>
          <w:szCs w:val="24"/>
          <w:lang w:val="en-GB" w:eastAsia="zh-CN"/>
        </w:rPr>
        <w:t>对于监管机构和其他必须使用基于</w:t>
      </w:r>
      <w:r w:rsidRPr="003917B3">
        <w:rPr>
          <w:rFonts w:asciiTheme="minorHAnsi" w:hAnsiTheme="minorHAnsi" w:cstheme="minorHAnsi" w:hint="eastAsia"/>
          <w:szCs w:val="24"/>
          <w:lang w:val="en-GB" w:eastAsia="zh-CN"/>
        </w:rPr>
        <w:t>TDOA</w:t>
      </w:r>
      <w:r w:rsidRPr="003917B3">
        <w:rPr>
          <w:rFonts w:asciiTheme="minorHAnsi" w:hAnsiTheme="minorHAnsi" w:cstheme="minorHAnsi" w:hint="eastAsia"/>
          <w:szCs w:val="24"/>
          <w:lang w:val="en-GB" w:eastAsia="zh-CN"/>
        </w:rPr>
        <w:t>的发射</w:t>
      </w:r>
      <w:r>
        <w:rPr>
          <w:rFonts w:asciiTheme="minorHAnsi" w:hAnsiTheme="minorHAnsi" w:cstheme="minorHAnsi" w:hint="eastAsia"/>
          <w:szCs w:val="24"/>
          <w:lang w:val="en-GB" w:eastAsia="zh-CN"/>
        </w:rPr>
        <w:t>机</w:t>
      </w:r>
      <w:r w:rsidRPr="003917B3">
        <w:rPr>
          <w:rFonts w:asciiTheme="minorHAnsi" w:hAnsiTheme="minorHAnsi" w:cstheme="minorHAnsi" w:hint="eastAsia"/>
          <w:szCs w:val="24"/>
          <w:lang w:val="en-GB" w:eastAsia="zh-CN"/>
        </w:rPr>
        <w:t>定位系统来定位发射</w:t>
      </w:r>
      <w:r>
        <w:rPr>
          <w:rFonts w:asciiTheme="minorHAnsi" w:hAnsiTheme="minorHAnsi" w:cstheme="minorHAnsi" w:hint="eastAsia"/>
          <w:szCs w:val="24"/>
          <w:lang w:val="en-GB" w:eastAsia="zh-CN"/>
        </w:rPr>
        <w:t>机</w:t>
      </w:r>
      <w:r w:rsidRPr="003917B3">
        <w:rPr>
          <w:rFonts w:asciiTheme="minorHAnsi" w:hAnsiTheme="minorHAnsi" w:cstheme="minorHAnsi" w:hint="eastAsia"/>
          <w:szCs w:val="24"/>
          <w:lang w:val="en-GB" w:eastAsia="zh-CN"/>
        </w:rPr>
        <w:t>的</w:t>
      </w:r>
      <w:r>
        <w:rPr>
          <w:rFonts w:asciiTheme="minorHAnsi" w:hAnsiTheme="minorHAnsi" w:cstheme="minorHAnsi" w:hint="eastAsia"/>
          <w:szCs w:val="24"/>
          <w:lang w:val="en-GB" w:eastAsia="zh-CN"/>
        </w:rPr>
        <w:t>各方而言</w:t>
      </w:r>
      <w:r w:rsidRPr="003917B3">
        <w:rPr>
          <w:rFonts w:asciiTheme="minorHAnsi" w:hAnsiTheme="minorHAnsi" w:cstheme="minorHAnsi" w:hint="eastAsia"/>
          <w:szCs w:val="24"/>
          <w:lang w:val="en-GB" w:eastAsia="zh-CN"/>
        </w:rPr>
        <w:t>，</w:t>
      </w:r>
      <w:r w:rsidRPr="003917B3">
        <w:rPr>
          <w:rFonts w:asciiTheme="minorHAnsi" w:hAnsiTheme="minorHAnsi" w:cstheme="minorHAnsi" w:hint="eastAsia"/>
          <w:szCs w:val="24"/>
          <w:lang w:val="en-GB" w:eastAsia="zh-CN"/>
        </w:rPr>
        <w:t>TDOA</w:t>
      </w:r>
      <w:r w:rsidRPr="003917B3">
        <w:rPr>
          <w:rFonts w:asciiTheme="minorHAnsi" w:hAnsiTheme="minorHAnsi" w:cstheme="minorHAnsi" w:hint="eastAsia"/>
          <w:szCs w:val="24"/>
          <w:lang w:val="en-GB" w:eastAsia="zh-CN"/>
        </w:rPr>
        <w:t>系统的准确性是一个重要的考虑因素。为了便于</w:t>
      </w:r>
      <w:r w:rsidRPr="003917B3">
        <w:rPr>
          <w:rFonts w:asciiTheme="minorHAnsi" w:hAnsiTheme="minorHAnsi" w:cstheme="minorHAnsi" w:hint="eastAsia"/>
          <w:szCs w:val="24"/>
          <w:lang w:val="en-GB" w:eastAsia="zh-CN"/>
        </w:rPr>
        <w:t>TDOA</w:t>
      </w:r>
      <w:r w:rsidRPr="003917B3">
        <w:rPr>
          <w:rFonts w:asciiTheme="minorHAnsi" w:hAnsiTheme="minorHAnsi" w:cstheme="minorHAnsi" w:hint="eastAsia"/>
          <w:szCs w:val="24"/>
          <w:lang w:val="en-GB" w:eastAsia="zh-CN"/>
        </w:rPr>
        <w:t>系统之间的比较，本建议</w:t>
      </w:r>
      <w:r>
        <w:rPr>
          <w:rFonts w:asciiTheme="minorHAnsi" w:hAnsiTheme="minorHAnsi" w:cstheme="minorHAnsi" w:hint="eastAsia"/>
          <w:szCs w:val="24"/>
          <w:lang w:val="en-GB" w:eastAsia="zh-CN"/>
        </w:rPr>
        <w:t>书</w:t>
      </w:r>
      <w:r w:rsidRPr="003917B3">
        <w:rPr>
          <w:rFonts w:asciiTheme="minorHAnsi" w:hAnsiTheme="minorHAnsi" w:cstheme="minorHAnsi" w:hint="eastAsia"/>
          <w:szCs w:val="24"/>
          <w:lang w:val="en-GB" w:eastAsia="zh-CN"/>
        </w:rPr>
        <w:t>为确定</w:t>
      </w:r>
      <w:r w:rsidRPr="003917B3">
        <w:rPr>
          <w:rFonts w:asciiTheme="minorHAnsi" w:hAnsiTheme="minorHAnsi" w:cstheme="minorHAnsi" w:hint="eastAsia"/>
          <w:szCs w:val="24"/>
          <w:lang w:val="en-GB" w:eastAsia="zh-CN"/>
        </w:rPr>
        <w:t>TDOA</w:t>
      </w:r>
      <w:r w:rsidRPr="003917B3">
        <w:rPr>
          <w:rFonts w:asciiTheme="minorHAnsi" w:hAnsiTheme="minorHAnsi" w:cstheme="minorHAnsi" w:hint="eastAsia"/>
          <w:szCs w:val="24"/>
          <w:lang w:val="en-GB" w:eastAsia="zh-CN"/>
        </w:rPr>
        <w:t>系统的准确性、报告结果和选择测试场景的方法提供指导</w:t>
      </w:r>
      <w:r>
        <w:rPr>
          <w:rFonts w:asciiTheme="minorHAnsi" w:hAnsiTheme="minorHAnsi" w:cstheme="minorHAnsi" w:hint="eastAsia"/>
          <w:szCs w:val="24"/>
          <w:lang w:val="en-GB" w:eastAsia="zh-CN"/>
        </w:rPr>
        <w:t>。</w:t>
      </w:r>
    </w:p>
    <w:p w14:paraId="55778EBE" w14:textId="07C1C618" w:rsidR="00AF5347" w:rsidRPr="00AF5347" w:rsidRDefault="00AF5347" w:rsidP="00AF5347">
      <w:pPr>
        <w:tabs>
          <w:tab w:val="right" w:pos="9639"/>
        </w:tabs>
        <w:spacing w:before="480"/>
        <w:rPr>
          <w:rFonts w:asciiTheme="minorHAnsi" w:hAnsiTheme="minorHAnsi" w:cstheme="minorHAnsi"/>
          <w:szCs w:val="24"/>
          <w:lang w:val="en-GB"/>
        </w:rPr>
      </w:pPr>
      <w:r w:rsidRPr="00AF5347">
        <w:rPr>
          <w:rFonts w:asciiTheme="minorHAnsi" w:hAnsiTheme="minorHAnsi" w:cstheme="minorHAnsi"/>
          <w:szCs w:val="24"/>
          <w:u w:val="single"/>
          <w:lang w:val="en-GB"/>
        </w:rPr>
        <w:t xml:space="preserve">ITU-R </w:t>
      </w:r>
      <w:proofErr w:type="gramStart"/>
      <w:r w:rsidRPr="00AF5347">
        <w:rPr>
          <w:rFonts w:asciiTheme="minorHAnsi" w:hAnsiTheme="minorHAnsi" w:cstheme="minorHAnsi"/>
          <w:szCs w:val="24"/>
          <w:u w:val="single"/>
          <w:lang w:val="en-GB"/>
        </w:rPr>
        <w:t>SM.[</w:t>
      </w:r>
      <w:proofErr w:type="gramEnd"/>
      <w:r w:rsidRPr="00AF5347">
        <w:rPr>
          <w:rFonts w:asciiTheme="minorHAnsi" w:hAnsiTheme="minorHAnsi" w:cstheme="minorHAnsi"/>
          <w:szCs w:val="24"/>
          <w:u w:val="single"/>
          <w:lang w:val="en-GB"/>
        </w:rPr>
        <w:t>MOB DF PERF]</w:t>
      </w:r>
      <w:r w:rsidRPr="00AF5347">
        <w:rPr>
          <w:rFonts w:hint="eastAsia"/>
          <w:u w:val="single"/>
          <w:lang w:eastAsia="zh-CN"/>
        </w:rPr>
        <w:t xml:space="preserve"> </w:t>
      </w:r>
      <w:r w:rsidRPr="00AF5347">
        <w:rPr>
          <w:rFonts w:hint="eastAsia"/>
          <w:u w:val="single"/>
          <w:lang w:eastAsia="zh-CN"/>
        </w:rPr>
        <w:t>新建议书草案</w:t>
      </w:r>
      <w:r w:rsidRPr="00AF5347">
        <w:rPr>
          <w:rFonts w:asciiTheme="minorHAnsi" w:hAnsiTheme="minorHAnsi" w:cstheme="minorHAnsi"/>
          <w:szCs w:val="24"/>
          <w:lang w:val="en-GB"/>
        </w:rPr>
        <w:tab/>
        <w:t>1/57(Rev.1)</w:t>
      </w:r>
      <w:r w:rsidRPr="00AF5347">
        <w:rPr>
          <w:rFonts w:asciiTheme="minorHAnsi" w:hAnsiTheme="minorHAnsi" w:cstheme="minorHAnsi" w:hint="eastAsia"/>
          <w:szCs w:val="24"/>
          <w:lang w:eastAsia="zh-CN"/>
        </w:rPr>
        <w:t>号文件</w:t>
      </w:r>
    </w:p>
    <w:p w14:paraId="66ABE69D" w14:textId="285CBB2F" w:rsidR="00AF5347" w:rsidRPr="00AF5347" w:rsidRDefault="00AF5347" w:rsidP="00AF5347">
      <w:pPr>
        <w:pStyle w:val="Rectitle"/>
        <w:rPr>
          <w:lang w:eastAsia="zh-CN"/>
        </w:rPr>
      </w:pPr>
      <w:r w:rsidRPr="00AF5347">
        <w:rPr>
          <w:rFonts w:hint="eastAsia"/>
          <w:lang w:eastAsia="zh-CN"/>
        </w:rPr>
        <w:t>操作环境下移动测向（</w:t>
      </w:r>
      <w:r w:rsidRPr="00AF5347">
        <w:rPr>
          <w:rFonts w:hint="eastAsia"/>
          <w:lang w:eastAsia="zh-CN"/>
        </w:rPr>
        <w:t>DF</w:t>
      </w:r>
      <w:r w:rsidRPr="00AF5347">
        <w:rPr>
          <w:rFonts w:hint="eastAsia"/>
          <w:lang w:eastAsia="zh-CN"/>
        </w:rPr>
        <w:t>）</w:t>
      </w:r>
      <w:r w:rsidR="003917B3">
        <w:rPr>
          <w:rFonts w:hint="eastAsia"/>
          <w:lang w:eastAsia="zh-CN"/>
        </w:rPr>
        <w:t>装置</w:t>
      </w:r>
      <w:r w:rsidRPr="00AF5347">
        <w:rPr>
          <w:rFonts w:hint="eastAsia"/>
          <w:lang w:eastAsia="zh-CN"/>
        </w:rPr>
        <w:t>的性能评估</w:t>
      </w:r>
    </w:p>
    <w:p w14:paraId="6BBAFBD6" w14:textId="288853F7" w:rsidR="00AF5347" w:rsidRPr="00AF5347" w:rsidRDefault="003917B3" w:rsidP="0099686C">
      <w:pPr>
        <w:spacing w:before="240"/>
        <w:ind w:firstLineChars="200" w:firstLine="480"/>
        <w:rPr>
          <w:rStyle w:val="RectitleChar"/>
          <w:rFonts w:asciiTheme="minorHAnsi" w:hAnsiTheme="minorHAnsi" w:cstheme="minorHAnsi"/>
          <w:b w:val="0"/>
          <w:bCs/>
          <w:szCs w:val="24"/>
          <w:lang w:val="en-GB" w:eastAsia="zh-CN"/>
        </w:rPr>
      </w:pPr>
      <w:r w:rsidRPr="003917B3">
        <w:rPr>
          <w:rFonts w:hint="eastAsia"/>
          <w:lang w:val="en-GB" w:eastAsia="zh-CN"/>
        </w:rPr>
        <w:t>本建议</w:t>
      </w:r>
      <w:r>
        <w:rPr>
          <w:rFonts w:hint="eastAsia"/>
          <w:lang w:val="en-GB" w:eastAsia="zh-CN"/>
        </w:rPr>
        <w:t>书</w:t>
      </w:r>
      <w:r w:rsidRPr="003917B3">
        <w:rPr>
          <w:rFonts w:hint="eastAsia"/>
          <w:lang w:val="en-GB" w:eastAsia="zh-CN"/>
        </w:rPr>
        <w:t>提供在实际操作条件下评估移动测向装置整体性能的标准方法指南，最好是在采购</w:t>
      </w:r>
      <w:r w:rsidR="001B7E05">
        <w:rPr>
          <w:rFonts w:hint="eastAsia"/>
          <w:lang w:val="en-GB" w:eastAsia="zh-CN"/>
        </w:rPr>
        <w:t>主管</w:t>
      </w:r>
      <w:r w:rsidRPr="003917B3">
        <w:rPr>
          <w:rFonts w:hint="eastAsia"/>
          <w:lang w:val="en-GB" w:eastAsia="zh-CN"/>
        </w:rPr>
        <w:t>部门将系统</w:t>
      </w:r>
      <w:r w:rsidR="001B7E05">
        <w:rPr>
          <w:rFonts w:hint="eastAsia"/>
          <w:lang w:val="en-GB" w:eastAsia="zh-CN"/>
        </w:rPr>
        <w:t>用于</w:t>
      </w:r>
      <w:r w:rsidRPr="003917B3">
        <w:rPr>
          <w:rFonts w:hint="eastAsia"/>
          <w:lang w:val="en-GB" w:eastAsia="zh-CN"/>
        </w:rPr>
        <w:t>典型环境</w:t>
      </w:r>
      <w:r w:rsidR="001B7E05">
        <w:rPr>
          <w:rFonts w:hint="eastAsia"/>
          <w:lang w:val="en-GB" w:eastAsia="zh-CN"/>
        </w:rPr>
        <w:t>的情况下</w:t>
      </w:r>
      <w:r w:rsidRPr="003917B3">
        <w:rPr>
          <w:rFonts w:hint="eastAsia"/>
          <w:lang w:val="en-GB" w:eastAsia="zh-CN"/>
        </w:rPr>
        <w:t>。</w:t>
      </w:r>
      <w:r w:rsidR="001B7E05">
        <w:rPr>
          <w:rFonts w:hint="eastAsia"/>
          <w:lang w:val="en-GB" w:eastAsia="zh-CN"/>
        </w:rPr>
        <w:t>本建议书</w:t>
      </w:r>
      <w:r w:rsidRPr="003917B3">
        <w:rPr>
          <w:rFonts w:hint="eastAsia"/>
          <w:lang w:val="en-GB" w:eastAsia="zh-CN"/>
        </w:rPr>
        <w:t>可作为招标范围内评估测试的一部分，也可作为采购后监督服务的验收测试。</w:t>
      </w:r>
    </w:p>
    <w:p w14:paraId="7F5C22AC" w14:textId="19D763CA" w:rsidR="00AF5347" w:rsidRPr="00AF5347" w:rsidRDefault="00AF5347" w:rsidP="00AF5347">
      <w:pPr>
        <w:tabs>
          <w:tab w:val="right" w:pos="9639"/>
        </w:tabs>
        <w:spacing w:before="480"/>
        <w:rPr>
          <w:rFonts w:asciiTheme="minorHAnsi" w:hAnsiTheme="minorHAnsi" w:cstheme="minorHAnsi"/>
          <w:szCs w:val="24"/>
          <w:lang w:val="en-GB" w:eastAsia="zh-CN"/>
        </w:rPr>
      </w:pPr>
      <w:r w:rsidRPr="00AF5347">
        <w:rPr>
          <w:rFonts w:asciiTheme="minorHAnsi" w:hAnsiTheme="minorHAnsi" w:cstheme="minorHAnsi"/>
          <w:szCs w:val="24"/>
          <w:u w:val="single"/>
          <w:lang w:val="en-GB" w:eastAsia="zh-CN"/>
        </w:rPr>
        <w:t>ITU-R SM.575-2</w:t>
      </w:r>
      <w:r>
        <w:rPr>
          <w:rFonts w:asciiTheme="minorHAnsi" w:hAnsiTheme="minorHAnsi" w:cstheme="minorHAnsi"/>
          <w:szCs w:val="24"/>
          <w:u w:val="single"/>
          <w:lang w:val="en-GB" w:eastAsia="zh-CN"/>
        </w:rPr>
        <w:t xml:space="preserve"> </w:t>
      </w:r>
      <w:r w:rsidRPr="00AF5347">
        <w:rPr>
          <w:rFonts w:hint="eastAsia"/>
          <w:u w:val="single"/>
          <w:lang w:eastAsia="zh-CN"/>
        </w:rPr>
        <w:t>建议书修订草案</w:t>
      </w:r>
      <w:r w:rsidRPr="00AF5347">
        <w:rPr>
          <w:rFonts w:asciiTheme="minorHAnsi" w:hAnsiTheme="minorHAnsi" w:cstheme="minorHAnsi"/>
          <w:szCs w:val="24"/>
          <w:lang w:val="en-GB" w:eastAsia="zh-CN"/>
        </w:rPr>
        <w:tab/>
        <w:t>1/55</w:t>
      </w:r>
      <w:r w:rsidRPr="00AF5347">
        <w:rPr>
          <w:rFonts w:asciiTheme="minorHAnsi" w:hAnsiTheme="minorHAnsi" w:cstheme="minorHAnsi" w:hint="eastAsia"/>
          <w:szCs w:val="24"/>
          <w:lang w:eastAsia="zh-CN"/>
        </w:rPr>
        <w:t>号文件</w:t>
      </w:r>
    </w:p>
    <w:p w14:paraId="0CAB09E9" w14:textId="774E8278" w:rsidR="00AF5347" w:rsidRPr="00AF5347" w:rsidRDefault="00AF5347" w:rsidP="00AF5347">
      <w:pPr>
        <w:pStyle w:val="Rectitle"/>
        <w:rPr>
          <w:lang w:eastAsia="zh-CN"/>
        </w:rPr>
      </w:pPr>
      <w:r w:rsidRPr="00AF5347">
        <w:rPr>
          <w:rFonts w:hint="eastAsia"/>
          <w:lang w:eastAsia="zh-CN"/>
        </w:rPr>
        <w:t>保护固定监测站免受来自邻近或强辐射发射机的干扰</w:t>
      </w:r>
    </w:p>
    <w:p w14:paraId="18A7F901" w14:textId="2E486EA3" w:rsidR="00AF5347" w:rsidRPr="00AF5347" w:rsidRDefault="001B7E05" w:rsidP="0099686C">
      <w:pPr>
        <w:ind w:firstLineChars="200" w:firstLine="480"/>
        <w:rPr>
          <w:lang w:eastAsia="zh-CN"/>
        </w:rPr>
      </w:pPr>
      <w:r>
        <w:rPr>
          <w:rFonts w:hint="eastAsia"/>
          <w:lang w:eastAsia="zh-CN"/>
        </w:rPr>
        <w:t>现提出</w:t>
      </w:r>
      <w:r w:rsidRPr="001B7E05">
        <w:rPr>
          <w:rFonts w:hint="eastAsia"/>
          <w:lang w:eastAsia="zh-CN"/>
        </w:rPr>
        <w:t>ITU-R SM.575-2</w:t>
      </w:r>
      <w:r>
        <w:rPr>
          <w:rFonts w:hint="eastAsia"/>
          <w:lang w:eastAsia="zh-CN"/>
        </w:rPr>
        <w:t>建议书</w:t>
      </w:r>
      <w:r w:rsidRPr="001B7E05">
        <w:rPr>
          <w:rFonts w:hint="eastAsia"/>
          <w:lang w:eastAsia="zh-CN"/>
        </w:rPr>
        <w:t>修订草案，其中在计算最大允许场强时将考虑天线和接收</w:t>
      </w:r>
      <w:r>
        <w:rPr>
          <w:rFonts w:hint="eastAsia"/>
          <w:lang w:eastAsia="zh-CN"/>
        </w:rPr>
        <w:t>机</w:t>
      </w:r>
      <w:r w:rsidRPr="001B7E05">
        <w:rPr>
          <w:rFonts w:hint="eastAsia"/>
          <w:lang w:eastAsia="zh-CN"/>
        </w:rPr>
        <w:t>之间的射频</w:t>
      </w:r>
      <w:r>
        <w:rPr>
          <w:rFonts w:hint="eastAsia"/>
          <w:lang w:eastAsia="zh-CN"/>
        </w:rPr>
        <w:t>（</w:t>
      </w:r>
      <w:r>
        <w:rPr>
          <w:rFonts w:hint="eastAsia"/>
          <w:lang w:eastAsia="zh-CN"/>
        </w:rPr>
        <w:t>RF</w:t>
      </w:r>
      <w:r>
        <w:rPr>
          <w:rFonts w:hint="eastAsia"/>
          <w:lang w:eastAsia="zh-CN"/>
        </w:rPr>
        <w:t>）</w:t>
      </w:r>
      <w:r w:rsidRPr="001B7E05">
        <w:rPr>
          <w:rFonts w:hint="eastAsia"/>
          <w:lang w:eastAsia="zh-CN"/>
        </w:rPr>
        <w:t>电缆的衰减</w:t>
      </w:r>
      <w:r>
        <w:rPr>
          <w:rFonts w:hint="eastAsia"/>
          <w:lang w:eastAsia="zh-CN"/>
        </w:rPr>
        <w:t>。</w:t>
      </w:r>
    </w:p>
    <w:p w14:paraId="7F08482B" w14:textId="77777777" w:rsidR="00AF5347" w:rsidRPr="00AF5347" w:rsidRDefault="00AF5347" w:rsidP="00AF5347">
      <w:pPr>
        <w:rPr>
          <w:lang w:eastAsia="zh-CN"/>
        </w:rPr>
      </w:pPr>
    </w:p>
    <w:p w14:paraId="794D1704" w14:textId="77777777" w:rsidR="00BA539B" w:rsidRPr="00AF5347" w:rsidRDefault="00BA539B" w:rsidP="00BA539B">
      <w:pPr>
        <w:rPr>
          <w:rFonts w:asciiTheme="minorHAnsi" w:hAnsiTheme="minorHAnsi" w:cstheme="minorHAnsi"/>
          <w:szCs w:val="24"/>
          <w:lang w:val="en-GB"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07645A8E" w:rsidR="00E915AF" w:rsidRPr="00AC1F2B" w:rsidRDefault="00AF051D" w:rsidP="00CA49D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E30761B" w:rsidR="00E915AF" w:rsidRPr="00AF3325" w:rsidRDefault="00D160A0" w:rsidP="00CA49D5">
    <w:pPr>
      <w:pStyle w:val="Header"/>
      <w:ind w:left="794" w:hanging="794"/>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041F8"/>
    <w:rsid w:val="0011265F"/>
    <w:rsid w:val="00117282"/>
    <w:rsid w:val="00117389"/>
    <w:rsid w:val="00121C2D"/>
    <w:rsid w:val="00125C7A"/>
    <w:rsid w:val="00134404"/>
    <w:rsid w:val="00144DFB"/>
    <w:rsid w:val="0016379F"/>
    <w:rsid w:val="00164B62"/>
    <w:rsid w:val="00187CA3"/>
    <w:rsid w:val="00196710"/>
    <w:rsid w:val="00196770"/>
    <w:rsid w:val="00197324"/>
    <w:rsid w:val="001B351B"/>
    <w:rsid w:val="001B42C9"/>
    <w:rsid w:val="001B7E05"/>
    <w:rsid w:val="001C06DB"/>
    <w:rsid w:val="001C6971"/>
    <w:rsid w:val="001D2785"/>
    <w:rsid w:val="001D7070"/>
    <w:rsid w:val="001E3B76"/>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5C69"/>
    <w:rsid w:val="003917B3"/>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9686C"/>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0BF1"/>
    <w:rsid w:val="00A63355"/>
    <w:rsid w:val="00A7596D"/>
    <w:rsid w:val="00A963DF"/>
    <w:rsid w:val="00AC0C22"/>
    <w:rsid w:val="00AC1F2B"/>
    <w:rsid w:val="00AC3896"/>
    <w:rsid w:val="00AD2CF2"/>
    <w:rsid w:val="00AE2D88"/>
    <w:rsid w:val="00AE6F6F"/>
    <w:rsid w:val="00AF051D"/>
    <w:rsid w:val="00AF3325"/>
    <w:rsid w:val="00AF34D9"/>
    <w:rsid w:val="00AF5347"/>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9D5"/>
    <w:rsid w:val="00CA4B55"/>
    <w:rsid w:val="00CA4E58"/>
    <w:rsid w:val="00CB3771"/>
    <w:rsid w:val="00CB44BF"/>
    <w:rsid w:val="00CB5153"/>
    <w:rsid w:val="00CE076A"/>
    <w:rsid w:val="00CE463D"/>
    <w:rsid w:val="00D10BA0"/>
    <w:rsid w:val="00D160A0"/>
    <w:rsid w:val="00D21694"/>
    <w:rsid w:val="00D24EB5"/>
    <w:rsid w:val="00D34BDC"/>
    <w:rsid w:val="00D35AB9"/>
    <w:rsid w:val="00D41571"/>
    <w:rsid w:val="00D416A0"/>
    <w:rsid w:val="00D47672"/>
    <w:rsid w:val="00D5123C"/>
    <w:rsid w:val="00D55560"/>
    <w:rsid w:val="00D61C5A"/>
    <w:rsid w:val="00D631CE"/>
    <w:rsid w:val="00D6790C"/>
    <w:rsid w:val="00D73277"/>
    <w:rsid w:val="00D7392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CAC"/>
    <w:rsid w:val="00EB3EB8"/>
    <w:rsid w:val="00EC00EF"/>
    <w:rsid w:val="00EC02FE"/>
    <w:rsid w:val="00EC4A96"/>
    <w:rsid w:val="00EC76C6"/>
    <w:rsid w:val="00ED20E1"/>
    <w:rsid w:val="00EE03A0"/>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AF5347"/>
    <w:rPr>
      <w:color w:val="605E5C"/>
      <w:shd w:val="clear" w:color="auto" w:fill="E1DFDD"/>
    </w:rPr>
  </w:style>
  <w:style w:type="character" w:customStyle="1" w:styleId="RectitleChar">
    <w:name w:val="Rec_title Char"/>
    <w:link w:val="Rectitle"/>
    <w:uiPriority w:val="99"/>
    <w:rsid w:val="00AF5347"/>
    <w:rPr>
      <w:b/>
      <w:sz w:val="28"/>
      <w:szCs w:val="22"/>
      <w:lang w:val="en-US" w:eastAsia="en-US"/>
    </w:rPr>
  </w:style>
  <w:style w:type="paragraph" w:customStyle="1" w:styleId="Reasons">
    <w:name w:val="Reasons"/>
    <w:basedOn w:val="Normal"/>
    <w:qFormat/>
    <w:rsid w:val="00AF53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SG01-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6AC7-C082-41C7-ABFA-2CD6905B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3</Pages>
  <Words>926</Words>
  <Characters>573</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ITU - LRT</cp:lastModifiedBy>
  <cp:revision>4</cp:revision>
  <cp:lastPrinted>2013-03-08T10:15:00Z</cp:lastPrinted>
  <dcterms:created xsi:type="dcterms:W3CDTF">2021-06-08T14:33:00Z</dcterms:created>
  <dcterms:modified xsi:type="dcterms:W3CDTF">2021-06-10T07:08:00Z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