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D0D06" w14:paraId="71AFDA7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5F70D5" w14:textId="77777777" w:rsidR="00E53DCE" w:rsidRPr="000D0D06" w:rsidRDefault="00A96D3A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0D0D06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0D7882B6" w14:textId="77777777" w:rsidR="00E53DCE" w:rsidRPr="000D0D06" w:rsidRDefault="00E53DCE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633B36BD" w14:textId="77777777" w:rsidR="00E53DCE" w:rsidRPr="000D0D06" w:rsidRDefault="00E53DCE" w:rsidP="00CD169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0D0D06" w14:paraId="2D6BD3B0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25CA6A1" w14:textId="77777777" w:rsidR="00E53DCE" w:rsidRPr="000D0D06" w:rsidRDefault="00A96D3A" w:rsidP="00CD1697">
            <w:pPr>
              <w:spacing w:before="0"/>
              <w:jc w:val="left"/>
              <w:rPr>
                <w:szCs w:val="24"/>
                <w:lang w:val="es-ES_tradnl"/>
              </w:rPr>
            </w:pPr>
            <w:r w:rsidRPr="000D0D06">
              <w:rPr>
                <w:szCs w:val="24"/>
                <w:lang w:val="es-ES_tradnl"/>
              </w:rPr>
              <w:t>Circular Administrativa</w:t>
            </w:r>
          </w:p>
          <w:p w14:paraId="37712629" w14:textId="2A9AC181" w:rsidR="00E53DCE" w:rsidRPr="000D0D06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0D0D06">
              <w:rPr>
                <w:b/>
                <w:bCs/>
                <w:szCs w:val="24"/>
                <w:lang w:val="es-ES_tradnl"/>
              </w:rPr>
              <w:t>CA</w:t>
            </w:r>
            <w:r w:rsidR="002E6646" w:rsidRPr="000D0D06">
              <w:rPr>
                <w:b/>
                <w:bCs/>
                <w:szCs w:val="24"/>
                <w:lang w:val="es-ES_tradnl"/>
              </w:rPr>
              <w:t>CE</w:t>
            </w:r>
            <w:r w:rsidRPr="000D0D06">
              <w:rPr>
                <w:b/>
                <w:bCs/>
                <w:szCs w:val="24"/>
                <w:lang w:val="es-ES_tradnl"/>
              </w:rPr>
              <w:t>/</w:t>
            </w:r>
            <w:r w:rsidR="001158EE" w:rsidRPr="000D0D06">
              <w:rPr>
                <w:b/>
                <w:bCs/>
                <w:szCs w:val="24"/>
                <w:lang w:val="es-ES_tradnl"/>
              </w:rPr>
              <w:t>965</w:t>
            </w:r>
          </w:p>
        </w:tc>
        <w:tc>
          <w:tcPr>
            <w:tcW w:w="2835" w:type="dxa"/>
            <w:shd w:val="clear" w:color="auto" w:fill="auto"/>
          </w:tcPr>
          <w:p w14:paraId="0AD1CB2A" w14:textId="58D87506" w:rsidR="00E53DCE" w:rsidRPr="000D0D06" w:rsidRDefault="00224F7B" w:rsidP="00CD1697">
            <w:pPr>
              <w:spacing w:before="0"/>
              <w:jc w:val="right"/>
              <w:rPr>
                <w:szCs w:val="24"/>
                <w:lang w:val="es-ES_tradnl"/>
              </w:rPr>
            </w:pPr>
            <w:sdt>
              <w:sdtPr>
                <w:rPr>
                  <w:rFonts w:cs="Arial"/>
                  <w:szCs w:val="24"/>
                  <w:lang w:val="es-ES_tradnl"/>
                </w:rPr>
                <w:alias w:val="Fecha"/>
                <w:tag w:val="Fecha"/>
                <w:id w:val="1413582770"/>
                <w:placeholder>
                  <w:docPart w:val="51591FC3DA584A6D8E2235DF7659D54C"/>
                </w:placeholder>
                <w:date w:fullDate="2020-12-01T00:00:00Z">
                  <w:dateFormat w:val="d' de 'MMMM' de 'yyyy"/>
                  <w:lid w:val="es-ES"/>
                  <w:storeMappedDataAs w:val="date"/>
                  <w:calendar w:val="gregorian"/>
                </w:date>
              </w:sdtPr>
              <w:sdtEndPr/>
              <w:sdtContent>
                <w:r w:rsidR="001158EE" w:rsidRPr="000D0D06">
                  <w:rPr>
                    <w:rFonts w:cs="Arial"/>
                    <w:szCs w:val="24"/>
                    <w:lang w:val="es-ES_tradnl"/>
                  </w:rPr>
                  <w:t>1 de diciembre de 2020</w:t>
                </w:r>
              </w:sdtContent>
            </w:sdt>
          </w:p>
        </w:tc>
      </w:tr>
      <w:tr w:rsidR="00E53DCE" w:rsidRPr="000D0D06" w14:paraId="7C5B837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A4E114" w14:textId="77777777" w:rsidR="00E53DCE" w:rsidRPr="000D0D06" w:rsidRDefault="00E53DCE" w:rsidP="00CD1697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0D0D06" w14:paraId="5A37585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DCE9BAE" w14:textId="77777777" w:rsidR="00E53DCE" w:rsidRPr="000D0D06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24F7B" w14:paraId="5533A6C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461F83" w14:textId="6CE1FBD0" w:rsidR="00E53DCE" w:rsidRPr="000D0D06" w:rsidRDefault="002E6646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0D0D06">
              <w:rPr>
                <w:b/>
                <w:bCs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</w:t>
            </w:r>
            <w:r w:rsidR="00367ECB" w:rsidRPr="000D0D06">
              <w:rPr>
                <w:b/>
                <w:bCs/>
                <w:lang w:val="es-ES_tradnl"/>
              </w:rPr>
              <w:br/>
            </w:r>
            <w:r w:rsidRPr="000D0D06">
              <w:rPr>
                <w:b/>
                <w:bCs/>
                <w:lang w:val="es-ES_tradnl"/>
              </w:rPr>
              <w:t xml:space="preserve">Comisión de Estudio </w:t>
            </w:r>
            <w:r w:rsidR="001158EE" w:rsidRPr="000D0D06">
              <w:rPr>
                <w:b/>
                <w:bCs/>
                <w:lang w:val="es-ES_tradnl"/>
              </w:rPr>
              <w:t>5</w:t>
            </w:r>
            <w:r w:rsidRPr="000D0D06">
              <w:rPr>
                <w:b/>
                <w:bCs/>
                <w:lang w:val="es-ES_tradnl"/>
              </w:rPr>
              <w:t xml:space="preserve"> de Radiocomunicaciones y a las Instituciones Académicas de la UIT</w:t>
            </w:r>
          </w:p>
        </w:tc>
      </w:tr>
      <w:tr w:rsidR="00E53DCE" w:rsidRPr="00224F7B" w14:paraId="0A3391C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90FC80" w14:textId="77777777" w:rsidR="00E53DCE" w:rsidRPr="000D0D06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24F7B" w14:paraId="27672FE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76CE3AC" w14:textId="77777777" w:rsidR="00E53DCE" w:rsidRPr="000D0D06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24F7B" w14:paraId="43FE1187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CA5727B" w14:textId="77777777" w:rsidR="00E53DCE" w:rsidRPr="000D0D06" w:rsidRDefault="002E6646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0D0D06">
              <w:rPr>
                <w:szCs w:val="24"/>
                <w:lang w:val="es-ES_tradnl"/>
              </w:rPr>
              <w:t>Asunto</w:t>
            </w:r>
            <w:r w:rsidR="00A96D3A" w:rsidRPr="000D0D06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82A6192" w14:textId="60B8E03F" w:rsidR="00DD5D1C" w:rsidRPr="000D0D06" w:rsidRDefault="00DD5D1C" w:rsidP="00DD5D1C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0D0D06">
              <w:rPr>
                <w:b/>
                <w:bCs/>
                <w:szCs w:val="24"/>
                <w:lang w:val="es-ES_tradnl"/>
              </w:rPr>
              <w:t xml:space="preserve">Comisión de Estudio </w:t>
            </w:r>
            <w:sdt>
              <w:sdtPr>
                <w:rPr>
                  <w:rStyle w:val="Style1"/>
                  <w:szCs w:val="24"/>
                  <w:lang w:val="es-ES_tradnl"/>
                </w:rPr>
                <w:alias w:val="Número de la CE"/>
                <w:tag w:val="X"/>
                <w:id w:val="1740519501"/>
                <w:placeholder>
                  <w:docPart w:val="1ABD74BE52794B70AD719F37280D949D"/>
                </w:placeholder>
                <w:comboBox>
                  <w:listItem w:displayText="[X]" w:value="[X]"/>
                  <w:listItem w:displayText="1" w:value="1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comboBox>
              </w:sdtPr>
              <w:sdtEndPr>
                <w:rPr>
                  <w:rStyle w:val="Style1"/>
                </w:rPr>
              </w:sdtEndPr>
              <w:sdtContent>
                <w:r w:rsidR="001158EE" w:rsidRPr="000D0D06">
                  <w:rPr>
                    <w:rStyle w:val="Style1"/>
                    <w:szCs w:val="24"/>
                    <w:lang w:val="es-ES_tradnl"/>
                  </w:rPr>
                  <w:t>5</w:t>
                </w:r>
              </w:sdtContent>
            </w:sdt>
            <w:r w:rsidRPr="000D0D06">
              <w:rPr>
                <w:b/>
                <w:bCs/>
                <w:szCs w:val="24"/>
                <w:lang w:val="es-ES_tradnl"/>
              </w:rPr>
              <w:t xml:space="preserve"> de Radiocomunicaciones </w:t>
            </w:r>
            <w:r w:rsidR="001158EE" w:rsidRPr="000D0D06">
              <w:rPr>
                <w:rStyle w:val="Style2"/>
                <w:szCs w:val="24"/>
                <w:lang w:val="es-ES_tradnl"/>
              </w:rPr>
              <w:t>(Servicios terrenales)</w:t>
            </w:r>
          </w:p>
          <w:p w14:paraId="2320FFB2" w14:textId="46289A8C" w:rsidR="002E6646" w:rsidRPr="000D0D06" w:rsidRDefault="002E6646" w:rsidP="00367ECB">
            <w:pPr>
              <w:spacing w:before="120"/>
              <w:ind w:left="794" w:hanging="794"/>
              <w:jc w:val="left"/>
              <w:rPr>
                <w:b/>
                <w:bCs/>
                <w:lang w:val="es-ES_tradnl"/>
              </w:rPr>
            </w:pPr>
            <w:r w:rsidRPr="000D0D06">
              <w:rPr>
                <w:b/>
                <w:bCs/>
                <w:lang w:val="es-ES_tradnl"/>
              </w:rPr>
              <w:t>–</w:t>
            </w:r>
            <w:r w:rsidRPr="000D0D06">
              <w:rPr>
                <w:b/>
                <w:bCs/>
                <w:lang w:val="es-ES_tradnl"/>
              </w:rPr>
              <w:tab/>
              <w:t xml:space="preserve">Propuesta de adopción de </w:t>
            </w:r>
            <w:r w:rsidR="001158EE" w:rsidRPr="000D0D06">
              <w:rPr>
                <w:b/>
                <w:bCs/>
                <w:lang w:val="es-ES_tradnl"/>
              </w:rPr>
              <w:t xml:space="preserve">1 </w:t>
            </w:r>
            <w:r w:rsidRPr="000D0D06">
              <w:rPr>
                <w:b/>
                <w:bCs/>
                <w:lang w:val="es-ES_tradnl"/>
              </w:rPr>
              <w:t>proyecto</w:t>
            </w:r>
            <w:r w:rsidR="00552165" w:rsidRPr="000D0D06">
              <w:rPr>
                <w:b/>
                <w:bCs/>
                <w:lang w:val="es-ES_tradnl"/>
              </w:rPr>
              <w:t xml:space="preserve">s de nueva </w:t>
            </w:r>
            <w:r w:rsidR="00A33D80" w:rsidRPr="000D0D06">
              <w:rPr>
                <w:b/>
                <w:bCs/>
                <w:lang w:val="es-ES_tradnl"/>
              </w:rPr>
              <w:t>Recomendación</w:t>
            </w:r>
            <w:r w:rsidR="00552165" w:rsidRPr="000D0D06">
              <w:rPr>
                <w:b/>
                <w:bCs/>
                <w:lang w:val="es-ES_tradnl"/>
              </w:rPr>
              <w:t xml:space="preserve"> UIT-</w:t>
            </w:r>
            <w:r w:rsidRPr="000D0D06">
              <w:rPr>
                <w:b/>
                <w:bCs/>
                <w:lang w:val="es-ES_tradnl"/>
              </w:rPr>
              <w:t>R y</w:t>
            </w:r>
            <w:r w:rsidR="00102BFF">
              <w:rPr>
                <w:b/>
                <w:bCs/>
                <w:lang w:val="es-ES_tradnl"/>
              </w:rPr>
              <w:t> </w:t>
            </w:r>
            <w:r w:rsidR="001158EE" w:rsidRPr="000D0D06">
              <w:rPr>
                <w:b/>
                <w:bCs/>
                <w:lang w:val="es-ES_tradnl"/>
              </w:rPr>
              <w:t xml:space="preserve">2 </w:t>
            </w:r>
            <w:r w:rsidRPr="000D0D06">
              <w:rPr>
                <w:b/>
                <w:bCs/>
                <w:lang w:val="es-ES_tradnl"/>
              </w:rPr>
              <w:t xml:space="preserve">proyectos de </w:t>
            </w:r>
            <w:r w:rsidR="005F011A" w:rsidRPr="000D0D06">
              <w:rPr>
                <w:b/>
                <w:bCs/>
                <w:lang w:val="es-ES_tradnl"/>
              </w:rPr>
              <w:t>Recomendación</w:t>
            </w:r>
            <w:r w:rsidRPr="000D0D06">
              <w:rPr>
                <w:b/>
                <w:bCs/>
                <w:lang w:val="es-ES_tradnl"/>
              </w:rPr>
              <w:t xml:space="preserve"> UIT-R revisada y su aprobación simultánea por correspondencia de conformidad con el § A2.6.2.4 de la Resolución UIT</w:t>
            </w:r>
            <w:r w:rsidRPr="000D0D06">
              <w:rPr>
                <w:b/>
                <w:bCs/>
                <w:lang w:val="es-ES_tradnl"/>
              </w:rPr>
              <w:noBreakHyphen/>
              <w:t>R 1</w:t>
            </w:r>
            <w:r w:rsidRPr="000D0D06">
              <w:rPr>
                <w:b/>
                <w:bCs/>
                <w:lang w:val="es-ES_tradnl"/>
              </w:rPr>
              <w:noBreakHyphen/>
            </w:r>
            <w:r w:rsidR="005F011A" w:rsidRPr="000D0D06">
              <w:rPr>
                <w:b/>
                <w:bCs/>
                <w:lang w:val="es-ES_tradnl"/>
              </w:rPr>
              <w:t>8</w:t>
            </w:r>
            <w:r w:rsidRPr="000D0D06">
              <w:rPr>
                <w:b/>
                <w:bCs/>
                <w:lang w:val="es-ES_tradnl"/>
              </w:rPr>
              <w:t xml:space="preserve"> (Procedimiento para la adopción y aprobación simultánea por correspondencia)</w:t>
            </w:r>
          </w:p>
        </w:tc>
      </w:tr>
      <w:tr w:rsidR="00E53DCE" w:rsidRPr="00224F7B" w14:paraId="5C7F923C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4F334EC" w14:textId="77777777" w:rsidR="00E53DCE" w:rsidRPr="000D0D06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1420327" w14:textId="77777777" w:rsidR="00E53DCE" w:rsidRPr="000D0D06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24F7B" w14:paraId="552A80A1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519E1F0" w14:textId="77777777" w:rsidR="00E53DCE" w:rsidRPr="000D0D06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CFD86D5" w14:textId="77777777" w:rsidR="00E53DCE" w:rsidRPr="000D0D06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24F7B" w14:paraId="3543260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958604" w14:textId="77777777" w:rsidR="00E53DCE" w:rsidRPr="000D0D06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14:paraId="30157F6A" w14:textId="2E5DFB20" w:rsidR="00BD4DC1" w:rsidRPr="000D0D06" w:rsidRDefault="002E6646" w:rsidP="002A0BB0">
      <w:pPr>
        <w:pStyle w:val="Normalaftertitle"/>
        <w:spacing w:before="360"/>
        <w:rPr>
          <w:szCs w:val="24"/>
          <w:lang w:val="es-ES_tradnl"/>
        </w:rPr>
      </w:pPr>
      <w:r w:rsidRPr="000D0D06">
        <w:rPr>
          <w:szCs w:val="24"/>
          <w:lang w:val="es-ES_tradnl"/>
        </w:rPr>
        <w:t xml:space="preserve">En la reunión de la Comisión de Estudio </w:t>
      </w:r>
      <w:r w:rsidR="001158EE" w:rsidRPr="000D0D06">
        <w:rPr>
          <w:szCs w:val="24"/>
          <w:lang w:val="es-ES_tradnl"/>
        </w:rPr>
        <w:t xml:space="preserve">5 </w:t>
      </w:r>
      <w:r w:rsidRPr="000D0D06">
        <w:rPr>
          <w:szCs w:val="24"/>
          <w:lang w:val="es-ES_tradnl"/>
        </w:rPr>
        <w:t xml:space="preserve">de Radiocomunicaciones celebrada </w:t>
      </w:r>
      <w:r w:rsidR="001158EE" w:rsidRPr="000D0D06">
        <w:rPr>
          <w:szCs w:val="24"/>
          <w:lang w:val="es-ES_tradnl"/>
        </w:rPr>
        <w:t>el 2</w:t>
      </w:r>
      <w:r w:rsidR="008374E2">
        <w:rPr>
          <w:szCs w:val="24"/>
          <w:lang w:val="es-ES_tradnl"/>
        </w:rPr>
        <w:t>3</w:t>
      </w:r>
      <w:r w:rsidR="001158EE" w:rsidRPr="000D0D06">
        <w:rPr>
          <w:szCs w:val="24"/>
          <w:lang w:val="es-ES_tradnl"/>
        </w:rPr>
        <w:t xml:space="preserve"> de noviembre de 2020</w:t>
      </w:r>
      <w:r w:rsidRPr="000D0D06">
        <w:rPr>
          <w:szCs w:val="24"/>
          <w:lang w:val="es-ES_tradnl"/>
        </w:rPr>
        <w:t xml:space="preserve">, la Comisión de Estudio decidió solicitar la adopción de </w:t>
      </w:r>
      <w:r w:rsidR="001158EE" w:rsidRPr="000D0D06">
        <w:rPr>
          <w:szCs w:val="24"/>
          <w:lang w:val="es-ES_tradnl"/>
        </w:rPr>
        <w:t xml:space="preserve">1 </w:t>
      </w:r>
      <w:r w:rsidRPr="000D0D06">
        <w:rPr>
          <w:szCs w:val="24"/>
          <w:lang w:val="es-ES_tradnl"/>
        </w:rPr>
        <w:t xml:space="preserve">proyecto de nueva </w:t>
      </w:r>
      <w:r w:rsidR="005F011A" w:rsidRPr="000D0D06">
        <w:rPr>
          <w:szCs w:val="24"/>
          <w:lang w:val="es-ES_tradnl"/>
        </w:rPr>
        <w:t>Recomendación</w:t>
      </w:r>
      <w:r w:rsidRPr="000D0D06">
        <w:rPr>
          <w:szCs w:val="24"/>
          <w:lang w:val="es-ES_tradnl"/>
        </w:rPr>
        <w:t xml:space="preserve"> UIT-R y de </w:t>
      </w:r>
      <w:r w:rsidR="001158EE" w:rsidRPr="000D0D06">
        <w:rPr>
          <w:szCs w:val="24"/>
          <w:lang w:val="es-ES_tradnl"/>
        </w:rPr>
        <w:t>2</w:t>
      </w:r>
      <w:r w:rsidRPr="000D0D06">
        <w:rPr>
          <w:szCs w:val="24"/>
          <w:lang w:val="es-ES_tradnl"/>
        </w:rPr>
        <w:t xml:space="preserve"> proyectos de </w:t>
      </w:r>
      <w:r w:rsidR="005F011A" w:rsidRPr="000D0D06">
        <w:rPr>
          <w:szCs w:val="24"/>
          <w:lang w:val="es-ES_tradnl"/>
        </w:rPr>
        <w:t>Recomendación</w:t>
      </w:r>
      <w:r w:rsidRPr="000D0D06">
        <w:rPr>
          <w:szCs w:val="24"/>
          <w:lang w:val="es-ES_tradnl"/>
        </w:rPr>
        <w:t xml:space="preserve"> UIT-R revisada por correspondencia (§ A2.6.2 de la Resolución UIT</w:t>
      </w:r>
      <w:r w:rsidRPr="000D0D06">
        <w:rPr>
          <w:szCs w:val="24"/>
          <w:lang w:val="es-ES_tradnl"/>
        </w:rPr>
        <w:noBreakHyphen/>
        <w:t>R 1</w:t>
      </w:r>
      <w:r w:rsidRPr="000D0D06">
        <w:rPr>
          <w:szCs w:val="24"/>
          <w:lang w:val="es-ES_tradnl"/>
        </w:rPr>
        <w:noBreakHyphen/>
      </w:r>
      <w:r w:rsidR="005F011A" w:rsidRPr="000D0D06">
        <w:rPr>
          <w:szCs w:val="24"/>
          <w:lang w:val="es-ES_tradnl"/>
        </w:rPr>
        <w:t>8</w:t>
      </w:r>
      <w:r w:rsidRPr="000D0D06">
        <w:rPr>
          <w:szCs w:val="24"/>
          <w:lang w:val="es-ES_tradnl"/>
        </w:rPr>
        <w:t>) y además decidió aplicar el procedimiento de adopción y aprobación simultáneas por correspondencia (PAAS</w:t>
      </w:r>
      <w:r w:rsidR="00DE3CEB" w:rsidRPr="000D0D06">
        <w:rPr>
          <w:szCs w:val="24"/>
          <w:lang w:val="es-ES_tradnl"/>
        </w:rPr>
        <w:t xml:space="preserve">, </w:t>
      </w:r>
      <w:r w:rsidRPr="000D0D06">
        <w:rPr>
          <w:szCs w:val="24"/>
          <w:lang w:val="es-ES_tradnl"/>
        </w:rPr>
        <w:t>§ A2.6.2.4) de la Resolución UIT</w:t>
      </w:r>
      <w:r w:rsidRPr="000D0D06">
        <w:rPr>
          <w:szCs w:val="24"/>
          <w:lang w:val="es-ES_tradnl"/>
        </w:rPr>
        <w:noBreakHyphen/>
        <w:t>R 1</w:t>
      </w:r>
      <w:r w:rsidRPr="000D0D06">
        <w:rPr>
          <w:szCs w:val="24"/>
          <w:lang w:val="es-ES_tradnl"/>
        </w:rPr>
        <w:noBreakHyphen/>
      </w:r>
      <w:r w:rsidR="005F011A" w:rsidRPr="000D0D06">
        <w:rPr>
          <w:szCs w:val="24"/>
          <w:lang w:val="es-ES_tradnl"/>
        </w:rPr>
        <w:t>8</w:t>
      </w:r>
      <w:r w:rsidRPr="000D0D06">
        <w:rPr>
          <w:szCs w:val="24"/>
          <w:lang w:val="es-ES_tradnl"/>
        </w:rPr>
        <w:t>. Los</w:t>
      </w:r>
      <w:r w:rsidR="008374E2">
        <w:rPr>
          <w:szCs w:val="24"/>
          <w:lang w:val="es-ES_tradnl"/>
        </w:rPr>
        <w:t> </w:t>
      </w:r>
      <w:r w:rsidRPr="000D0D06">
        <w:rPr>
          <w:szCs w:val="24"/>
          <w:lang w:val="es-ES_tradnl"/>
        </w:rPr>
        <w:t xml:space="preserve">títulos y </w:t>
      </w:r>
      <w:r w:rsidR="005F011A" w:rsidRPr="000D0D06">
        <w:rPr>
          <w:szCs w:val="24"/>
          <w:lang w:val="es-ES_tradnl"/>
        </w:rPr>
        <w:t>res</w:t>
      </w:r>
      <w:r w:rsidR="001119C8" w:rsidRPr="000D0D06">
        <w:rPr>
          <w:szCs w:val="24"/>
          <w:lang w:val="es-ES_tradnl"/>
        </w:rPr>
        <w:t>ú</w:t>
      </w:r>
      <w:r w:rsidR="005F011A" w:rsidRPr="000D0D06">
        <w:rPr>
          <w:szCs w:val="24"/>
          <w:lang w:val="es-ES_tradnl"/>
        </w:rPr>
        <w:t>men</w:t>
      </w:r>
      <w:r w:rsidRPr="000D0D06">
        <w:rPr>
          <w:szCs w:val="24"/>
          <w:lang w:val="es-ES_tradnl"/>
        </w:rPr>
        <w:t xml:space="preserve">es de los proyectos de </w:t>
      </w:r>
      <w:r w:rsidR="005F011A" w:rsidRPr="000D0D06">
        <w:rPr>
          <w:szCs w:val="24"/>
          <w:lang w:val="es-ES_tradnl"/>
        </w:rPr>
        <w:t>Recomendación</w:t>
      </w:r>
      <w:r w:rsidRPr="000D0D06">
        <w:rPr>
          <w:szCs w:val="24"/>
          <w:lang w:val="es-ES_tradnl"/>
        </w:rPr>
        <w:t xml:space="preserve"> aparece</w:t>
      </w:r>
      <w:r w:rsidR="001119C8" w:rsidRPr="000D0D06">
        <w:rPr>
          <w:szCs w:val="24"/>
          <w:lang w:val="es-ES_tradnl"/>
        </w:rPr>
        <w:t>n</w:t>
      </w:r>
      <w:r w:rsidRPr="000D0D06">
        <w:rPr>
          <w:szCs w:val="24"/>
          <w:lang w:val="es-ES_tradnl"/>
        </w:rPr>
        <w:t xml:space="preserve"> en el Anexo a la presente Carta. Todo Estado Miembro que objete la adopción de un proyecto de Recomendación debe informar al </w:t>
      </w:r>
      <w:proofErr w:type="gramStart"/>
      <w:r w:rsidRPr="000D0D06">
        <w:rPr>
          <w:szCs w:val="24"/>
          <w:lang w:val="es-ES_tradnl"/>
        </w:rPr>
        <w:t>Director</w:t>
      </w:r>
      <w:proofErr w:type="gramEnd"/>
      <w:r w:rsidRPr="000D0D06">
        <w:rPr>
          <w:szCs w:val="24"/>
          <w:lang w:val="es-ES_tradnl"/>
        </w:rPr>
        <w:t xml:space="preserve"> y al Presidente de la Comisión de Estudio de los motivos de dicha objeción.</w:t>
      </w:r>
    </w:p>
    <w:p w14:paraId="171836D8" w14:textId="1CCE5A09" w:rsidR="002E6646" w:rsidRPr="000D0D06" w:rsidRDefault="00CD1697" w:rsidP="00BD4DC1">
      <w:pPr>
        <w:rPr>
          <w:lang w:val="es-ES_tradnl"/>
        </w:rPr>
      </w:pPr>
      <w:r w:rsidRPr="000D0D06">
        <w:rPr>
          <w:lang w:val="es-ES_tradnl"/>
        </w:rPr>
        <w:t>El per</w:t>
      </w:r>
      <w:r w:rsidR="008374E2">
        <w:rPr>
          <w:lang w:val="es-ES_tradnl"/>
        </w:rPr>
        <w:t>í</w:t>
      </w:r>
      <w:r w:rsidRPr="000D0D06">
        <w:rPr>
          <w:lang w:val="es-ES_tradnl"/>
        </w:rPr>
        <w:t xml:space="preserve">odo de consideración se extenderá durante 2 meses finalizando el </w:t>
      </w:r>
      <w:r w:rsidR="001158EE" w:rsidRPr="000D0D06">
        <w:rPr>
          <w:u w:val="single"/>
          <w:lang w:val="es-ES_tradnl"/>
        </w:rPr>
        <w:t>1</w:t>
      </w:r>
      <w:r w:rsidR="00102BFF">
        <w:rPr>
          <w:u w:val="single"/>
          <w:lang w:val="es-ES_tradnl"/>
        </w:rPr>
        <w:t xml:space="preserve"> </w:t>
      </w:r>
      <w:r w:rsidR="001158EE" w:rsidRPr="000D0D06">
        <w:rPr>
          <w:u w:val="single"/>
          <w:lang w:val="es-ES_tradnl"/>
        </w:rPr>
        <w:t>de fe</w:t>
      </w:r>
      <w:r w:rsidR="008374E2">
        <w:rPr>
          <w:u w:val="single"/>
          <w:lang w:val="es-ES_tradnl"/>
        </w:rPr>
        <w:t>b</w:t>
      </w:r>
      <w:r w:rsidR="001158EE" w:rsidRPr="000D0D06">
        <w:rPr>
          <w:u w:val="single"/>
          <w:lang w:val="es-ES_tradnl"/>
        </w:rPr>
        <w:t>rero de 2021</w:t>
      </w:r>
      <w:r w:rsidRPr="000D0D06">
        <w:rPr>
          <w:lang w:val="es-ES_tradnl"/>
        </w:rPr>
        <w:t xml:space="preserve">. Si durante este periodo no se reciben objeciones de los Estados Miembros, se considerarán adoptados los proyectos de Recomendación por la Comisión de Estudio </w:t>
      </w:r>
      <w:r w:rsidR="001158EE" w:rsidRPr="000D0D06">
        <w:rPr>
          <w:lang w:val="es-ES_tradnl"/>
        </w:rPr>
        <w:t>5</w:t>
      </w:r>
      <w:r w:rsidRPr="000D0D06">
        <w:rPr>
          <w:lang w:val="es-ES_tradnl"/>
        </w:rPr>
        <w:t>. Además, dado que se ha seguido el procedimiento de PAAS, los proyectos de Recomendación también se considerarán aprobados.</w:t>
      </w:r>
    </w:p>
    <w:p w14:paraId="4480824D" w14:textId="0F00FC46" w:rsidR="002E6646" w:rsidRPr="000D0D06" w:rsidRDefault="002E6646" w:rsidP="00BD4DC1">
      <w:pPr>
        <w:rPr>
          <w:lang w:val="es-ES_tradnl"/>
        </w:rPr>
      </w:pPr>
      <w:r w:rsidRPr="000D0D06">
        <w:rPr>
          <w:lang w:val="es-ES_tradnl"/>
        </w:rPr>
        <w:t>Tras la fecha límite mencionada, los resultados</w:t>
      </w:r>
      <w:r w:rsidR="005E40B8" w:rsidRPr="000D0D06">
        <w:rPr>
          <w:lang w:val="es-ES_tradnl"/>
        </w:rPr>
        <w:t xml:space="preserve"> de</w:t>
      </w:r>
      <w:r w:rsidRPr="000D0D06">
        <w:rPr>
          <w:lang w:val="es-ES_tradnl"/>
        </w:rPr>
        <w:t xml:space="preserve"> </w:t>
      </w:r>
      <w:r w:rsidR="004B6204" w:rsidRPr="000D0D06">
        <w:rPr>
          <w:lang w:val="es-ES_tradnl"/>
        </w:rPr>
        <w:t>los procedimientos arriba citados</w:t>
      </w:r>
      <w:r w:rsidRPr="000D0D06">
        <w:rPr>
          <w:lang w:val="es-ES_tradnl"/>
        </w:rPr>
        <w:t xml:space="preserve"> se comunicarán mediante Circular Administrativa y se publicarán las Recomendaci</w:t>
      </w:r>
      <w:r w:rsidR="001158EE" w:rsidRPr="000D0D06">
        <w:rPr>
          <w:lang w:val="es-ES_tradnl"/>
        </w:rPr>
        <w:t>o</w:t>
      </w:r>
      <w:r w:rsidRPr="000D0D06">
        <w:rPr>
          <w:lang w:val="es-ES_tradnl"/>
        </w:rPr>
        <w:t xml:space="preserve">nes aprobadas tan pronto como sea posible (véase </w:t>
      </w:r>
      <w:hyperlink r:id="rId8" w:history="1">
        <w:r w:rsidRPr="000D0D06">
          <w:rPr>
            <w:color w:val="0000FF"/>
            <w:u w:val="single"/>
            <w:lang w:val="es-ES_tradnl"/>
          </w:rPr>
          <w:t>http://www.itu.int/pub/R-REC</w:t>
        </w:r>
      </w:hyperlink>
      <w:r w:rsidRPr="000D0D06">
        <w:rPr>
          <w:lang w:val="es-ES_tradnl"/>
        </w:rPr>
        <w:t>).</w:t>
      </w:r>
    </w:p>
    <w:p w14:paraId="11139BB8" w14:textId="7F0CC6E0" w:rsidR="006A124F" w:rsidRPr="000D0D06" w:rsidRDefault="002E6646" w:rsidP="002A0BB0">
      <w:pPr>
        <w:keepNext/>
        <w:keepLines/>
        <w:rPr>
          <w:lang w:val="es-ES_tradnl"/>
        </w:rPr>
      </w:pPr>
      <w:r w:rsidRPr="000D0D06">
        <w:rPr>
          <w:lang w:val="es-ES_tradnl"/>
        </w:rPr>
        <w:lastRenderedPageBreak/>
        <w:t xml:space="preserve">Se solicita a toda organización miembro de la UIT que tenga conocimiento de una patente, de su propiedad o de propiedad ajena, que cubra total o parcialmente elementos </w:t>
      </w:r>
      <w:r w:rsidR="005E40B8" w:rsidRPr="000D0D06">
        <w:rPr>
          <w:lang w:val="es-ES_tradnl"/>
        </w:rPr>
        <w:t xml:space="preserve">de los </w:t>
      </w:r>
      <w:r w:rsidRPr="000D0D06">
        <w:rPr>
          <w:lang w:val="es-ES_tradnl"/>
        </w:rPr>
        <w:t xml:space="preserve">proyectos de </w:t>
      </w:r>
      <w:r w:rsidR="00475DD1" w:rsidRPr="000D0D06">
        <w:rPr>
          <w:lang w:val="es-ES_tradnl"/>
        </w:rPr>
        <w:t>Recomendación</w:t>
      </w:r>
      <w:r w:rsidRPr="000D0D06">
        <w:rPr>
          <w:lang w:val="es-ES_tradnl"/>
        </w:rPr>
        <w:t xml:space="preserve"> mencionados en esta carta, que comunique dicha información a la Secretaría tan pronto como sea posible. La Política común en materia de patentes para UIT</w:t>
      </w:r>
      <w:r w:rsidR="00A33D80" w:rsidRPr="000D0D06">
        <w:rPr>
          <w:lang w:val="es-ES_tradnl"/>
        </w:rPr>
        <w:noBreakHyphen/>
      </w:r>
      <w:r w:rsidRPr="000D0D06">
        <w:rPr>
          <w:lang w:val="es-ES_tradnl"/>
        </w:rPr>
        <w:t>T/UIT</w:t>
      </w:r>
      <w:r w:rsidR="00A33D80" w:rsidRPr="000D0D06">
        <w:rPr>
          <w:lang w:val="es-ES_tradnl"/>
        </w:rPr>
        <w:noBreakHyphen/>
      </w:r>
      <w:r w:rsidRPr="000D0D06">
        <w:rPr>
          <w:lang w:val="es-ES_tradnl"/>
        </w:rPr>
        <w:t>R/ISO/CEI puede consultarse en</w:t>
      </w:r>
      <w:r w:rsidR="006A124F" w:rsidRPr="000D0D06">
        <w:rPr>
          <w:lang w:val="es-ES_tradnl"/>
        </w:rPr>
        <w:t xml:space="preserve"> </w:t>
      </w:r>
      <w:hyperlink r:id="rId9" w:history="1">
        <w:r w:rsidR="006A124F" w:rsidRPr="000D0D06">
          <w:rPr>
            <w:rStyle w:val="Hyperlink"/>
            <w:lang w:val="es-ES_tradnl"/>
          </w:rPr>
          <w:t>http://www.itu.int/en/ITU-T/ipr/Pages/policy.aspx</w:t>
        </w:r>
      </w:hyperlink>
      <w:r w:rsidR="006A124F" w:rsidRPr="000D0D06">
        <w:rPr>
          <w:lang w:val="es-ES_tradnl"/>
        </w:rPr>
        <w:t>.</w:t>
      </w:r>
    </w:p>
    <w:p w14:paraId="384989DB" w14:textId="02635BD6" w:rsidR="002E6646" w:rsidRPr="000D0D06" w:rsidRDefault="00475DD1" w:rsidP="002A0BB0">
      <w:pPr>
        <w:keepNext/>
        <w:keepLines/>
        <w:spacing w:before="1560" w:line="240" w:lineRule="auto"/>
        <w:jc w:val="left"/>
        <w:rPr>
          <w:szCs w:val="24"/>
          <w:lang w:val="es-ES_tradnl"/>
        </w:rPr>
      </w:pPr>
      <w:r w:rsidRPr="000D0D06">
        <w:rPr>
          <w:szCs w:val="24"/>
          <w:lang w:val="es-ES_tradnl"/>
        </w:rPr>
        <w:t>Mario Maniewicz</w:t>
      </w:r>
      <w:r w:rsidR="0062522E" w:rsidRPr="000D0D06">
        <w:rPr>
          <w:szCs w:val="24"/>
          <w:lang w:val="es-ES_tradnl"/>
        </w:rPr>
        <w:br/>
      </w:r>
      <w:proofErr w:type="gramStart"/>
      <w:r w:rsidR="002E6646" w:rsidRPr="000D0D06">
        <w:rPr>
          <w:szCs w:val="24"/>
          <w:lang w:val="es-ES_tradnl"/>
        </w:rPr>
        <w:t>Director</w:t>
      </w:r>
      <w:proofErr w:type="gramEnd"/>
    </w:p>
    <w:p w14:paraId="74F10AFB" w14:textId="1E35DEAA" w:rsidR="002E6646" w:rsidRPr="000D0D06" w:rsidRDefault="002E6646" w:rsidP="000D0D06">
      <w:pPr>
        <w:spacing w:before="1080"/>
        <w:rPr>
          <w:lang w:val="es-ES_tradnl"/>
        </w:rPr>
      </w:pPr>
      <w:r w:rsidRPr="000D0D06">
        <w:rPr>
          <w:b/>
          <w:bCs/>
          <w:lang w:val="es-ES_tradnl"/>
        </w:rPr>
        <w:t>Anexo:</w:t>
      </w:r>
      <w:r w:rsidRPr="000D0D06">
        <w:rPr>
          <w:lang w:val="es-ES_tradnl"/>
        </w:rPr>
        <w:t xml:space="preserve"> </w:t>
      </w:r>
      <w:r w:rsidR="001F1D56" w:rsidRPr="000D0D06">
        <w:rPr>
          <w:lang w:val="es-ES_tradnl"/>
        </w:rPr>
        <w:tab/>
      </w:r>
      <w:r w:rsidRPr="000D0D06">
        <w:rPr>
          <w:lang w:val="es-ES_tradnl"/>
        </w:rPr>
        <w:t>Títulos y res</w:t>
      </w:r>
      <w:r w:rsidR="00BD4DC1" w:rsidRPr="000D0D06">
        <w:rPr>
          <w:lang w:val="es-ES_tradnl"/>
        </w:rPr>
        <w:t>ú</w:t>
      </w:r>
      <w:r w:rsidRPr="000D0D06">
        <w:rPr>
          <w:lang w:val="es-ES_tradnl"/>
        </w:rPr>
        <w:t xml:space="preserve">menes </w:t>
      </w:r>
      <w:r w:rsidR="00475DD1" w:rsidRPr="000D0D06">
        <w:rPr>
          <w:lang w:val="es-ES_tradnl"/>
        </w:rPr>
        <w:t>de</w:t>
      </w:r>
      <w:r w:rsidRPr="000D0D06">
        <w:rPr>
          <w:lang w:val="es-ES_tradnl"/>
        </w:rPr>
        <w:t xml:space="preserve"> los proyectos de Recomendación</w:t>
      </w:r>
    </w:p>
    <w:p w14:paraId="3C9A7D43" w14:textId="3360D41A" w:rsidR="002E6646" w:rsidRPr="000D0D06" w:rsidRDefault="002E6646" w:rsidP="00A621D6">
      <w:pPr>
        <w:spacing w:before="1320"/>
        <w:rPr>
          <w:lang w:val="es-ES_tradnl"/>
        </w:rPr>
      </w:pPr>
      <w:r w:rsidRPr="000D0D06">
        <w:rPr>
          <w:b/>
          <w:bCs/>
          <w:lang w:val="es-ES_tradnl"/>
        </w:rPr>
        <w:t>Documentos:</w:t>
      </w:r>
      <w:r w:rsidRPr="000D0D06">
        <w:rPr>
          <w:lang w:val="es-ES_tradnl"/>
        </w:rPr>
        <w:t xml:space="preserve"> </w:t>
      </w:r>
      <w:r w:rsidR="001F1D56" w:rsidRPr="000D0D06">
        <w:rPr>
          <w:lang w:val="es-ES_tradnl"/>
        </w:rPr>
        <w:tab/>
      </w:r>
      <w:r w:rsidRPr="000D0D06">
        <w:rPr>
          <w:lang w:val="es-ES_tradnl"/>
        </w:rPr>
        <w:t>Documento</w:t>
      </w:r>
      <w:r w:rsidR="00475DD1" w:rsidRPr="000D0D06">
        <w:rPr>
          <w:lang w:val="es-ES_tradnl"/>
        </w:rPr>
        <w:t>s</w:t>
      </w:r>
      <w:r w:rsidR="007B3EA3" w:rsidRPr="000D0D06">
        <w:rPr>
          <w:lang w:val="es-ES_tradnl"/>
        </w:rPr>
        <w:t xml:space="preserve"> </w:t>
      </w:r>
      <w:r w:rsidR="00FE3256" w:rsidRPr="000D0D06">
        <w:rPr>
          <w:lang w:val="es-ES_tradnl"/>
        </w:rPr>
        <w:t>5/24, 5/27(Rev.1)</w:t>
      </w:r>
      <w:r w:rsidR="008374E2">
        <w:rPr>
          <w:lang w:val="es-ES_tradnl"/>
        </w:rPr>
        <w:t xml:space="preserve"> y</w:t>
      </w:r>
      <w:r w:rsidR="00FE3256" w:rsidRPr="000D0D06">
        <w:rPr>
          <w:lang w:val="es-ES_tradnl"/>
        </w:rPr>
        <w:t xml:space="preserve"> 5/22(Rev.1)</w:t>
      </w:r>
    </w:p>
    <w:p w14:paraId="0DC44D1B" w14:textId="557F5721" w:rsidR="002E6646" w:rsidRPr="000D0D06" w:rsidRDefault="002E6646" w:rsidP="00CB23E1">
      <w:pPr>
        <w:jc w:val="left"/>
        <w:rPr>
          <w:lang w:val="es-ES_tradnl"/>
        </w:rPr>
      </w:pPr>
      <w:r w:rsidRPr="000D0D06">
        <w:rPr>
          <w:lang w:val="es-ES_tradnl"/>
        </w:rPr>
        <w:t>Dichos documentos están disponibles en formato electrónico en la dirección:</w:t>
      </w:r>
      <w:r w:rsidR="00475DD1" w:rsidRPr="000D0D06">
        <w:rPr>
          <w:lang w:val="es-ES_tradnl"/>
        </w:rPr>
        <w:t xml:space="preserve"> </w:t>
      </w:r>
      <w:hyperlink r:id="rId10" w:history="1">
        <w:r w:rsidR="007B3EA3" w:rsidRPr="000D0D06">
          <w:rPr>
            <w:rStyle w:val="Hyperlink"/>
            <w:lang w:val="es-ES_tradnl"/>
          </w:rPr>
          <w:t>https://www.itu.int/md/R19-SG05-C/en</w:t>
        </w:r>
      </w:hyperlink>
      <w:r w:rsidR="00475DD1" w:rsidRPr="000D0D06">
        <w:rPr>
          <w:lang w:val="es-ES_tradnl"/>
        </w:rPr>
        <w:t xml:space="preserve"> </w:t>
      </w:r>
    </w:p>
    <w:p w14:paraId="10324E00" w14:textId="77777777" w:rsidR="007B3EA3" w:rsidRPr="000D0D06" w:rsidRDefault="00475DD1" w:rsidP="007B3EA3">
      <w:pPr>
        <w:pStyle w:val="AnnexNotitle0"/>
        <w:rPr>
          <w:rFonts w:asciiTheme="minorHAnsi" w:hAnsiTheme="minorHAnsi" w:cstheme="minorHAnsi"/>
        </w:rPr>
      </w:pPr>
      <w:r w:rsidRPr="000D0D06">
        <w:br w:type="page"/>
      </w:r>
      <w:r w:rsidR="007B3EA3" w:rsidRPr="000D0D06">
        <w:rPr>
          <w:rFonts w:asciiTheme="minorHAnsi" w:hAnsiTheme="minorHAnsi" w:cstheme="minorHAnsi"/>
        </w:rPr>
        <w:lastRenderedPageBreak/>
        <w:t>Anexo</w:t>
      </w:r>
      <w:r w:rsidR="007B3EA3" w:rsidRPr="000D0D06">
        <w:rPr>
          <w:rFonts w:asciiTheme="minorHAnsi" w:hAnsiTheme="minorHAnsi" w:cstheme="minorHAnsi"/>
        </w:rPr>
        <w:br/>
      </w:r>
      <w:r w:rsidR="007B3EA3" w:rsidRPr="000D0D06">
        <w:rPr>
          <w:rFonts w:asciiTheme="minorHAnsi" w:hAnsiTheme="minorHAnsi" w:cstheme="minorHAnsi"/>
        </w:rPr>
        <w:br/>
        <w:t>Títulos y resúmenes de los proyectos de Recomendación UIT-R</w:t>
      </w:r>
    </w:p>
    <w:p w14:paraId="74E720B3" w14:textId="211554B5" w:rsidR="007B3EA3" w:rsidRPr="000D0D06" w:rsidRDefault="007B3EA3" w:rsidP="000D0D06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lang w:val="es-ES_tradnl"/>
        </w:rPr>
      </w:pPr>
      <w:r w:rsidRPr="000D0D06">
        <w:rPr>
          <w:rFonts w:asciiTheme="minorHAnsi" w:hAnsiTheme="minorHAnsi" w:cstheme="minorHAnsi"/>
          <w:szCs w:val="24"/>
          <w:u w:val="single"/>
          <w:lang w:val="es-ES_tradnl"/>
        </w:rPr>
        <w:t>Proyecto de revisión de la Recomendación UIT-R M.1798-1</w:t>
      </w:r>
      <w:r w:rsidRPr="000D0D06">
        <w:rPr>
          <w:rFonts w:asciiTheme="minorHAnsi" w:hAnsiTheme="minorHAnsi" w:cstheme="minorHAnsi"/>
          <w:lang w:val="es-ES_tradnl"/>
        </w:rPr>
        <w:tab/>
        <w:t>Doc. 5/24</w:t>
      </w:r>
    </w:p>
    <w:p w14:paraId="61DE76E6" w14:textId="77777777" w:rsidR="007B3EA3" w:rsidRPr="000D0D06" w:rsidRDefault="007B3EA3" w:rsidP="007B3EA3">
      <w:pPr>
        <w:tabs>
          <w:tab w:val="right" w:pos="9639"/>
        </w:tabs>
        <w:spacing w:before="360"/>
        <w:jc w:val="center"/>
        <w:rPr>
          <w:rStyle w:val="RectitleChar"/>
          <w:rFonts w:eastAsia="MS Mincho"/>
          <w:szCs w:val="28"/>
          <w:lang w:val="es-ES_tradnl"/>
        </w:rPr>
      </w:pPr>
      <w:r w:rsidRPr="000D0D06">
        <w:rPr>
          <w:rStyle w:val="RectitleChar"/>
          <w:rFonts w:eastAsia="MS Mincho"/>
          <w:szCs w:val="28"/>
          <w:lang w:val="es-ES_tradnl"/>
        </w:rPr>
        <w:t xml:space="preserve">Características de los equipos radioeléctricos de ondas decamétricas </w:t>
      </w:r>
      <w:r w:rsidRPr="000D0D06">
        <w:rPr>
          <w:rStyle w:val="RectitleChar"/>
          <w:rFonts w:eastAsia="MS Mincho"/>
          <w:szCs w:val="28"/>
          <w:lang w:val="es-ES_tradnl"/>
        </w:rPr>
        <w:br/>
        <w:t xml:space="preserve">para el intercambio de datos digitales y correo electrónico </w:t>
      </w:r>
      <w:r w:rsidRPr="000D0D06">
        <w:rPr>
          <w:rStyle w:val="RectitleChar"/>
          <w:rFonts w:eastAsia="MS Mincho"/>
          <w:szCs w:val="28"/>
          <w:lang w:val="es-ES_tradnl"/>
        </w:rPr>
        <w:br/>
        <w:t>en el servicio móvil marítimo</w:t>
      </w:r>
    </w:p>
    <w:p w14:paraId="2E8449C5" w14:textId="77777777" w:rsidR="007B3EA3" w:rsidRPr="000D0D06" w:rsidRDefault="007B3EA3" w:rsidP="002A0BB0">
      <w:pPr>
        <w:spacing w:before="240" w:line="240" w:lineRule="auto"/>
        <w:rPr>
          <w:rFonts w:asciiTheme="minorHAnsi" w:eastAsia="Malgun Gothic" w:hAnsiTheme="minorHAnsi" w:cstheme="minorHAnsi"/>
          <w:lang w:val="es-ES_tradnl" w:eastAsia="ko-KR"/>
        </w:rPr>
      </w:pPr>
      <w:r w:rsidRPr="000D0D06">
        <w:rPr>
          <w:rFonts w:asciiTheme="minorHAnsi" w:eastAsia="Malgun Gothic" w:hAnsiTheme="minorHAnsi" w:cstheme="minorHAnsi"/>
          <w:lang w:val="es-ES_tradnl" w:eastAsia="ko-KR"/>
        </w:rPr>
        <w:t>En esta revisión se presenta un sistema adicional que proporciona comunicación punto a punto de costa a barco, de barco a costa y de barco a barco en la banda marítima de ondas decamétricas.</w:t>
      </w:r>
    </w:p>
    <w:p w14:paraId="240ED9D8" w14:textId="77777777" w:rsidR="007B3EA3" w:rsidRPr="000D0D06" w:rsidRDefault="007B3EA3" w:rsidP="007B3EA3">
      <w:pPr>
        <w:spacing w:before="120" w:line="240" w:lineRule="auto"/>
        <w:rPr>
          <w:rFonts w:asciiTheme="minorHAnsi" w:eastAsia="Malgun Gothic" w:hAnsiTheme="minorHAnsi" w:cstheme="minorHAnsi"/>
          <w:lang w:val="es-ES_tradnl" w:eastAsia="ko-KR"/>
        </w:rPr>
      </w:pPr>
      <w:r w:rsidRPr="000D0D06">
        <w:rPr>
          <w:rFonts w:asciiTheme="minorHAnsi" w:eastAsia="Malgun Gothic" w:hAnsiTheme="minorHAnsi" w:cstheme="minorHAnsi"/>
          <w:lang w:val="es-ES_tradnl" w:eastAsia="ko-KR"/>
        </w:rPr>
        <w:t>Se ha modificado el Anexo 1, Interoperabilidad de sistemas (apartado 1).</w:t>
      </w:r>
    </w:p>
    <w:p w14:paraId="68C7EDB0" w14:textId="77777777" w:rsidR="007B3EA3" w:rsidRPr="000D0D06" w:rsidRDefault="007B3EA3" w:rsidP="007B3EA3">
      <w:pPr>
        <w:spacing w:before="120" w:line="240" w:lineRule="auto"/>
        <w:rPr>
          <w:rFonts w:asciiTheme="minorHAnsi" w:eastAsia="Malgun Gothic" w:hAnsiTheme="minorHAnsi" w:cstheme="minorHAnsi"/>
          <w:lang w:val="es-ES_tradnl" w:eastAsia="ko-KR"/>
        </w:rPr>
      </w:pPr>
      <w:r w:rsidRPr="000D0D06">
        <w:rPr>
          <w:rFonts w:asciiTheme="minorHAnsi" w:eastAsia="Malgun Gothic" w:hAnsiTheme="minorHAnsi" w:cstheme="minorHAnsi"/>
          <w:lang w:val="es-ES_tradnl" w:eastAsia="ko-KR"/>
        </w:rPr>
        <w:t>Se ha revisado el Anexo 2, Protocolo de módem de servicios de datos en ondas decamétricas que utiliza multiplexión por división de frecuencia (apartado Bloque de control CALLING).</w:t>
      </w:r>
    </w:p>
    <w:p w14:paraId="58F657F2" w14:textId="77777777" w:rsidR="007B3EA3" w:rsidRPr="000D0D06" w:rsidRDefault="007B3EA3" w:rsidP="007B3EA3">
      <w:pPr>
        <w:spacing w:before="120" w:line="240" w:lineRule="auto"/>
        <w:rPr>
          <w:rFonts w:asciiTheme="minorHAnsi" w:eastAsia="Malgun Gothic" w:hAnsiTheme="minorHAnsi" w:cstheme="minorHAnsi"/>
          <w:lang w:val="es-ES_tradnl" w:eastAsia="ko-KR"/>
        </w:rPr>
      </w:pPr>
      <w:r w:rsidRPr="000D0D06">
        <w:rPr>
          <w:rFonts w:asciiTheme="minorHAnsi" w:eastAsia="Malgun Gothic" w:hAnsiTheme="minorHAnsi" w:cstheme="minorHAnsi"/>
          <w:lang w:val="es-ES_tradnl" w:eastAsia="ko-KR"/>
        </w:rPr>
        <w:t>Se ha añadido el Anexo 5, Sistema de intercambio de datos de banda ancha en ondas decamétricas para el sistema de telecomunicaciones entre puntos fijos.</w:t>
      </w:r>
    </w:p>
    <w:p w14:paraId="7D98C50A" w14:textId="77777777" w:rsidR="007B3EA3" w:rsidRPr="000D0D06" w:rsidRDefault="007B3EA3" w:rsidP="007B3EA3">
      <w:pPr>
        <w:spacing w:before="120" w:line="240" w:lineRule="auto"/>
        <w:rPr>
          <w:rFonts w:asciiTheme="minorHAnsi" w:eastAsia="Malgun Gothic" w:hAnsiTheme="minorHAnsi" w:cstheme="minorHAnsi"/>
          <w:lang w:val="es-ES_tradnl" w:eastAsia="ko-KR"/>
        </w:rPr>
      </w:pPr>
      <w:r w:rsidRPr="000D0D06">
        <w:rPr>
          <w:rFonts w:asciiTheme="minorHAnsi" w:eastAsia="Malgun Gothic" w:hAnsiTheme="minorHAnsi" w:cstheme="minorHAnsi"/>
          <w:lang w:val="es-ES_tradnl" w:eastAsia="ko-KR"/>
        </w:rPr>
        <w:t>Se ha eliminado el antiguo Anexo 5, cuyo contenido se ha trasladado a Abreviaturas/Glosario.</w:t>
      </w:r>
    </w:p>
    <w:p w14:paraId="68CC0093" w14:textId="77777777" w:rsidR="007B3EA3" w:rsidRPr="000D0D06" w:rsidRDefault="007B3EA3" w:rsidP="007B3EA3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_tradnl"/>
        </w:rPr>
      </w:pPr>
      <w:r w:rsidRPr="000D0D06">
        <w:rPr>
          <w:rFonts w:asciiTheme="minorHAnsi" w:hAnsiTheme="minorHAnsi" w:cstheme="minorHAnsi"/>
          <w:szCs w:val="24"/>
          <w:u w:val="single"/>
          <w:lang w:val="es-ES_tradnl"/>
        </w:rPr>
        <w:t>Proyecto de revisión de la Recomendación UIT-R F.383-9</w:t>
      </w:r>
      <w:r w:rsidRPr="000D0D06">
        <w:rPr>
          <w:rFonts w:asciiTheme="minorHAnsi" w:hAnsiTheme="minorHAnsi" w:cstheme="minorHAnsi"/>
          <w:szCs w:val="24"/>
          <w:lang w:val="es-ES_tradnl"/>
        </w:rPr>
        <w:tab/>
        <w:t xml:space="preserve">Doc. </w:t>
      </w:r>
      <w:r w:rsidRPr="000D0D06">
        <w:rPr>
          <w:rFonts w:asciiTheme="minorHAnsi" w:hAnsiTheme="minorHAnsi" w:cstheme="minorHAnsi"/>
          <w:lang w:val="es-ES_tradnl"/>
        </w:rPr>
        <w:t>5/27</w:t>
      </w:r>
      <w:r w:rsidRPr="000D0D06">
        <w:rPr>
          <w:rFonts w:asciiTheme="minorHAnsi" w:hAnsiTheme="minorHAnsi" w:cstheme="minorHAnsi"/>
          <w:szCs w:val="24"/>
          <w:lang w:val="es-ES_tradnl"/>
        </w:rPr>
        <w:t>(Rev.1)</w:t>
      </w:r>
    </w:p>
    <w:p w14:paraId="753EEFA0" w14:textId="77777777" w:rsidR="007B3EA3" w:rsidRPr="000D0D06" w:rsidRDefault="007B3EA3" w:rsidP="007B3EA3">
      <w:pPr>
        <w:tabs>
          <w:tab w:val="right" w:pos="9639"/>
        </w:tabs>
        <w:spacing w:before="360"/>
        <w:jc w:val="center"/>
        <w:rPr>
          <w:rStyle w:val="RectitleChar"/>
          <w:rFonts w:eastAsia="MS Mincho"/>
          <w:szCs w:val="28"/>
          <w:lang w:val="es-ES_tradnl"/>
        </w:rPr>
      </w:pPr>
      <w:bookmarkStart w:id="0" w:name="_Hlk47469413"/>
      <w:r w:rsidRPr="000D0D06">
        <w:rPr>
          <w:rStyle w:val="RectitleChar"/>
          <w:rFonts w:eastAsia="MS Mincho"/>
          <w:szCs w:val="28"/>
          <w:lang w:val="es-ES_tradnl"/>
        </w:rPr>
        <w:t xml:space="preserve">Disposición de radiocanales para sistemas inalámbricos fijos de </w:t>
      </w:r>
      <w:r w:rsidRPr="000D0D06">
        <w:rPr>
          <w:rStyle w:val="RectitleChar"/>
          <w:rFonts w:eastAsia="MS Mincho"/>
          <w:szCs w:val="28"/>
          <w:lang w:val="es-ES_tradnl"/>
        </w:rPr>
        <w:br/>
        <w:t xml:space="preserve">alta capacidad que funcionan en la parte inferior de </w:t>
      </w:r>
      <w:r w:rsidRPr="000D0D06">
        <w:rPr>
          <w:rStyle w:val="RectitleChar"/>
          <w:rFonts w:eastAsia="MS Mincho"/>
          <w:szCs w:val="28"/>
          <w:lang w:val="es-ES_tradnl"/>
        </w:rPr>
        <w:br/>
        <w:t>la banda de 6 GHz (5 925-6 425 MHz)</w:t>
      </w:r>
      <w:bookmarkEnd w:id="0"/>
    </w:p>
    <w:p w14:paraId="0A7BC05E" w14:textId="77777777" w:rsidR="007B3EA3" w:rsidRPr="000D0D06" w:rsidRDefault="007B3EA3" w:rsidP="002A0BB0">
      <w:pPr>
        <w:spacing w:before="240" w:line="240" w:lineRule="auto"/>
        <w:rPr>
          <w:rFonts w:asciiTheme="minorHAnsi" w:eastAsia="Malgun Gothic" w:hAnsiTheme="minorHAnsi" w:cstheme="minorHAnsi"/>
          <w:lang w:val="es-ES_tradnl" w:eastAsia="ko-KR"/>
        </w:rPr>
      </w:pPr>
      <w:r w:rsidRPr="000D0D06">
        <w:rPr>
          <w:rFonts w:asciiTheme="minorHAnsi" w:eastAsia="Malgun Gothic" w:hAnsiTheme="minorHAnsi" w:cstheme="minorHAnsi"/>
          <w:lang w:val="es-ES_tradnl" w:eastAsia="ko-KR"/>
        </w:rPr>
        <w:t xml:space="preserve">En esta revisión se incluye un nuevo ancho de canal de radiofrecuencia de 59,3 MHz, que se describe en el </w:t>
      </w:r>
      <w:r w:rsidRPr="000D0D06">
        <w:rPr>
          <w:rFonts w:asciiTheme="minorHAnsi" w:eastAsia="Malgun Gothic" w:hAnsiTheme="minorHAnsi" w:cstheme="minorHAnsi"/>
          <w:i/>
          <w:iCs/>
          <w:lang w:val="es-ES_tradnl" w:eastAsia="ko-KR"/>
        </w:rPr>
        <w:t>recomienda</w:t>
      </w:r>
      <w:r w:rsidRPr="000D0D06">
        <w:rPr>
          <w:rFonts w:asciiTheme="minorHAnsi" w:eastAsia="Malgun Gothic" w:hAnsiTheme="minorHAnsi" w:cstheme="minorHAnsi"/>
          <w:lang w:val="es-ES_tradnl" w:eastAsia="ko-KR"/>
        </w:rPr>
        <w:t xml:space="preserve"> 5 modificado. Se ha adaptado el ámbito de aplicación a este cambio.</w:t>
      </w:r>
    </w:p>
    <w:p w14:paraId="488F97B6" w14:textId="77777777" w:rsidR="007B3EA3" w:rsidRPr="000D0D06" w:rsidRDefault="007B3EA3" w:rsidP="007B3EA3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_tradnl"/>
        </w:rPr>
      </w:pPr>
      <w:r w:rsidRPr="000D0D06">
        <w:rPr>
          <w:rFonts w:asciiTheme="minorHAnsi" w:hAnsiTheme="minorHAnsi" w:cstheme="minorHAnsi"/>
          <w:szCs w:val="24"/>
          <w:u w:val="single"/>
          <w:lang w:val="es-ES_tradnl"/>
        </w:rPr>
        <w:t xml:space="preserve">Proyecto de nueva Recomendación UIT-R </w:t>
      </w:r>
      <w:proofErr w:type="gramStart"/>
      <w:r w:rsidRPr="000D0D06">
        <w:rPr>
          <w:rFonts w:asciiTheme="minorHAnsi" w:hAnsiTheme="minorHAnsi" w:cstheme="minorHAnsi"/>
          <w:szCs w:val="24"/>
          <w:u w:val="single"/>
          <w:lang w:val="es-ES_tradnl"/>
        </w:rPr>
        <w:t>M.[</w:t>
      </w:r>
      <w:proofErr w:type="gramEnd"/>
      <w:r w:rsidRPr="000D0D06">
        <w:rPr>
          <w:rFonts w:asciiTheme="minorHAnsi" w:hAnsiTheme="minorHAnsi" w:cstheme="minorHAnsi"/>
          <w:szCs w:val="24"/>
          <w:u w:val="single"/>
          <w:lang w:val="es-ES_tradnl"/>
        </w:rPr>
        <w:t>IMT-2020.SPECS]</w:t>
      </w:r>
      <w:r w:rsidRPr="000D0D06">
        <w:rPr>
          <w:rFonts w:asciiTheme="minorHAnsi" w:hAnsiTheme="minorHAnsi" w:cstheme="minorHAnsi"/>
          <w:szCs w:val="24"/>
          <w:lang w:val="es-ES_tradnl"/>
        </w:rPr>
        <w:tab/>
        <w:t xml:space="preserve">Doc. </w:t>
      </w:r>
      <w:r w:rsidRPr="000D0D06">
        <w:rPr>
          <w:rFonts w:asciiTheme="minorHAnsi" w:hAnsiTheme="minorHAnsi" w:cstheme="minorHAnsi"/>
          <w:lang w:val="es-ES_tradnl"/>
        </w:rPr>
        <w:t>5/22</w:t>
      </w:r>
      <w:r w:rsidRPr="000D0D06">
        <w:rPr>
          <w:rFonts w:asciiTheme="minorHAnsi" w:hAnsiTheme="minorHAnsi" w:cstheme="minorHAnsi"/>
          <w:szCs w:val="24"/>
          <w:lang w:val="es-ES_tradnl"/>
        </w:rPr>
        <w:t>(Rev.1)</w:t>
      </w:r>
    </w:p>
    <w:p w14:paraId="47BBF87C" w14:textId="77777777" w:rsidR="007B3EA3" w:rsidRPr="000D0D06" w:rsidRDefault="007B3EA3" w:rsidP="007B3EA3">
      <w:pPr>
        <w:tabs>
          <w:tab w:val="right" w:pos="9639"/>
        </w:tabs>
        <w:spacing w:before="360"/>
        <w:jc w:val="center"/>
        <w:rPr>
          <w:rStyle w:val="RectitleChar"/>
          <w:rFonts w:eastAsia="MS Mincho"/>
          <w:szCs w:val="28"/>
          <w:lang w:val="es-ES_tradnl"/>
        </w:rPr>
      </w:pPr>
      <w:r w:rsidRPr="000D0D06">
        <w:rPr>
          <w:rStyle w:val="RectitleChar"/>
          <w:rFonts w:eastAsia="MS Mincho"/>
          <w:szCs w:val="28"/>
          <w:lang w:val="es-ES_tradnl"/>
        </w:rPr>
        <w:t>Especificaciones detalladas de las interfaces radioeléctricas terrenales para las Telecomunicaciones Móviles Internacionales 2020 (IMT-2020)</w:t>
      </w:r>
    </w:p>
    <w:p w14:paraId="11387EF2" w14:textId="77777777" w:rsidR="007B3EA3" w:rsidRPr="000D0D06" w:rsidRDefault="007B3EA3" w:rsidP="002A0B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line="240" w:lineRule="auto"/>
        <w:textAlignment w:val="auto"/>
        <w:rPr>
          <w:rFonts w:asciiTheme="minorHAnsi" w:hAnsiTheme="minorHAnsi" w:cstheme="minorHAnsi"/>
          <w:lang w:val="es-ES_tradnl"/>
        </w:rPr>
      </w:pPr>
      <w:r w:rsidRPr="000D0D06">
        <w:rPr>
          <w:rFonts w:asciiTheme="minorHAnsi" w:hAnsiTheme="minorHAnsi" w:cstheme="minorHAnsi"/>
          <w:lang w:val="es-ES_tradnl"/>
        </w:rPr>
        <w:t xml:space="preserve">En esta Recomendación se detallan las </w:t>
      </w:r>
      <w:r w:rsidRPr="000D0D06">
        <w:rPr>
          <w:rFonts w:asciiTheme="minorHAnsi" w:hAnsiTheme="minorHAnsi" w:cstheme="minorHAnsi"/>
          <w:color w:val="000000"/>
          <w:lang w:val="es-ES_tradnl"/>
        </w:rPr>
        <w:t>tecnologías terrenales de interfaz radioeléctrica de las </w:t>
      </w:r>
      <w:r w:rsidRPr="000D0D06">
        <w:rPr>
          <w:rFonts w:asciiTheme="minorHAnsi" w:hAnsiTheme="minorHAnsi" w:cstheme="minorHAnsi"/>
          <w:lang w:val="es-ES_tradnl"/>
        </w:rPr>
        <w:t>IMT</w:t>
      </w:r>
      <w:r w:rsidRPr="000D0D06">
        <w:rPr>
          <w:rFonts w:asciiTheme="minorHAnsi" w:hAnsiTheme="minorHAnsi" w:cstheme="minorHAnsi"/>
          <w:lang w:val="es-ES_tradnl"/>
        </w:rPr>
        <w:noBreakHyphen/>
        <w:t xml:space="preserve">2020 que, de conformidad con los principios recogidos en la Resolución </w:t>
      </w:r>
      <w:hyperlink r:id="rId11" w:history="1">
        <w:r w:rsidRPr="000D0D06">
          <w:rPr>
            <w:rFonts w:asciiTheme="minorHAnsi" w:hAnsiTheme="minorHAnsi" w:cstheme="minorHAnsi"/>
            <w:color w:val="0000FF"/>
            <w:u w:val="single"/>
            <w:lang w:val="es-ES_tradnl"/>
          </w:rPr>
          <w:t>UIT-R 65</w:t>
        </w:r>
      </w:hyperlink>
      <w:r w:rsidRPr="000D0D06">
        <w:rPr>
          <w:rFonts w:asciiTheme="minorHAnsi" w:hAnsiTheme="minorHAnsi" w:cstheme="minorHAnsi"/>
          <w:lang w:val="es-ES_tradnl"/>
        </w:rPr>
        <w:t xml:space="preserve">, han cumplido —si así lo valora y determina el Grupo de Trabajo 5D del UIT-R, en colaboración con Grupos de Evaluación Independientes externos a la UIT— todos los requisitos mínimos (calidad de funcionamiento, servicios y espectro) contenidos en la Carta Circular </w:t>
      </w:r>
      <w:hyperlink r:id="rId12" w:history="1">
        <w:r w:rsidRPr="000D0D06">
          <w:rPr>
            <w:rFonts w:asciiTheme="minorHAnsi" w:hAnsiTheme="minorHAnsi" w:cstheme="minorHAnsi"/>
            <w:color w:val="0000FF"/>
            <w:u w:val="single"/>
            <w:lang w:val="es-ES_tradnl"/>
          </w:rPr>
          <w:t>5/LCCE/59</w:t>
        </w:r>
      </w:hyperlink>
      <w:r w:rsidRPr="000D0D06">
        <w:rPr>
          <w:rFonts w:asciiTheme="minorHAnsi" w:hAnsiTheme="minorHAnsi" w:cstheme="minorHAnsi"/>
          <w:lang w:val="es-ES_tradnl"/>
        </w:rPr>
        <w:t xml:space="preserve"> (incluidos sus addenda) durante un periodo superior a dos años.</w:t>
      </w:r>
    </w:p>
    <w:p w14:paraId="64353B33" w14:textId="6FBCD8E6" w:rsidR="00475DD1" w:rsidRPr="000D0D06" w:rsidRDefault="007B3EA3" w:rsidP="002A0B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lang w:val="es-ES_tradnl"/>
        </w:rPr>
      </w:pPr>
      <w:r w:rsidRPr="000D0D06">
        <w:rPr>
          <w:rFonts w:asciiTheme="minorHAnsi" w:hAnsiTheme="minorHAnsi" w:cstheme="minorHAnsi"/>
          <w:lang w:val="es-ES_tradnl"/>
        </w:rPr>
        <w:t>En los Anexos de esta Recomendación también se presentan las especificaciones pormenorizadas de las tecnologías de interfaz radioeléctrica de las IMT-2020.</w:t>
      </w:r>
    </w:p>
    <w:p w14:paraId="3AD9EA83" w14:textId="13ABDF73" w:rsidR="007B3EA3" w:rsidRPr="000D0D06" w:rsidRDefault="007B3EA3" w:rsidP="000D0D06">
      <w:pPr>
        <w:spacing w:before="480"/>
        <w:jc w:val="center"/>
        <w:rPr>
          <w:lang w:val="es-ES_tradnl"/>
        </w:rPr>
      </w:pPr>
      <w:r w:rsidRPr="000D0D06">
        <w:rPr>
          <w:lang w:val="es-ES_tradnl"/>
        </w:rPr>
        <w:t>______________</w:t>
      </w:r>
    </w:p>
    <w:sectPr w:rsidR="007B3EA3" w:rsidRPr="000D0D06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58E65" w14:textId="77777777" w:rsidR="00CD1697" w:rsidRDefault="00CD1697">
      <w:r>
        <w:separator/>
      </w:r>
    </w:p>
  </w:endnote>
  <w:endnote w:type="continuationSeparator" w:id="0">
    <w:p w14:paraId="3779F680" w14:textId="77777777" w:rsidR="00CD1697" w:rsidRDefault="00CD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503B" w14:textId="079ABC7B" w:rsidR="00CD1697" w:rsidRPr="009440C7" w:rsidRDefault="00307AFE" w:rsidP="00307AFE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9440C7">
      <w:rPr>
        <w:color w:val="4F81BD" w:themeColor="accent1"/>
        <w:sz w:val="19"/>
        <w:szCs w:val="19"/>
        <w:lang w:val="es-ES"/>
      </w:rPr>
      <w:t>Unión Internacional de Telecomunicaciones • Place des Nations, CH</w:t>
    </w:r>
    <w:r w:rsidRPr="009440C7">
      <w:rPr>
        <w:color w:val="4F81BD" w:themeColor="accent1"/>
        <w:sz w:val="19"/>
        <w:szCs w:val="19"/>
        <w:lang w:val="es-ES"/>
      </w:rPr>
      <w:noBreakHyphen/>
      <w:t xml:space="preserve">1211 Ginebra 20, Suiza • </w:t>
    </w:r>
    <w:r w:rsidRPr="009440C7">
      <w:rPr>
        <w:color w:val="4F81BD" w:themeColor="accent1"/>
        <w:sz w:val="19"/>
        <w:szCs w:val="19"/>
        <w:lang w:val="es-ES"/>
      </w:rPr>
      <w:br/>
      <w:t>Tel</w:t>
    </w:r>
    <w:r w:rsidR="00643B50" w:rsidRPr="009440C7">
      <w:rPr>
        <w:color w:val="4F81BD" w:themeColor="accent1"/>
        <w:sz w:val="19"/>
        <w:szCs w:val="19"/>
        <w:lang w:val="es-ES"/>
      </w:rPr>
      <w:t>.</w:t>
    </w:r>
    <w:r w:rsidRPr="009440C7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r w:rsidRPr="009440C7">
        <w:rPr>
          <w:rStyle w:val="Hyperlink"/>
          <w:sz w:val="19"/>
          <w:szCs w:val="19"/>
          <w:lang w:val="es-ES"/>
        </w:rPr>
        <w:t>itumail@itu.int</w:t>
      </w:r>
    </w:hyperlink>
    <w:r w:rsidRPr="009440C7">
      <w:rPr>
        <w:color w:val="4F81BD" w:themeColor="accent1"/>
        <w:sz w:val="19"/>
        <w:szCs w:val="19"/>
        <w:lang w:val="es-ES"/>
      </w:rPr>
      <w:t xml:space="preserve"> • Fax: +41 22 733 7256 • </w:t>
    </w:r>
    <w:hyperlink r:id="rId2" w:history="1">
      <w:r w:rsidRPr="009440C7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0A123" w14:textId="77777777" w:rsidR="00CD1697" w:rsidRDefault="00CD1697">
      <w:r>
        <w:t>____________________</w:t>
      </w:r>
    </w:p>
  </w:footnote>
  <w:footnote w:type="continuationSeparator" w:id="0">
    <w:p w14:paraId="7D88320D" w14:textId="77777777" w:rsidR="00CD1697" w:rsidRDefault="00CD1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B3E3A" w14:textId="35FAC7A8" w:rsidR="00CD1697" w:rsidRPr="00D239B4" w:rsidRDefault="00CD1697" w:rsidP="00307AF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631740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77273" w14:textId="77777777" w:rsidR="00CD1697" w:rsidRPr="00B13AA0" w:rsidRDefault="00CD1697" w:rsidP="00B13A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631740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3EEA1" w14:textId="3DA22ADA" w:rsidR="00CD1697" w:rsidRPr="00367ECB" w:rsidRDefault="005F011A" w:rsidP="00367ECB"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overflowPunct/>
      <w:autoSpaceDE/>
      <w:autoSpaceDN/>
      <w:adjustRightInd/>
      <w:spacing w:before="240" w:line="360" w:lineRule="auto"/>
      <w:jc w:val="center"/>
      <w:textAlignment w:val="auto"/>
      <w:rPr>
        <w:rFonts w:eastAsia="SimSun" w:cs="Arial"/>
        <w:sz w:val="22"/>
        <w:lang w:val="en-GB" w:eastAsia="zh-CN"/>
      </w:rPr>
    </w:pPr>
    <w:r w:rsidRPr="005F011A">
      <w:rPr>
        <w:rFonts w:eastAsia="SimSun" w:cs="Arial"/>
        <w:noProof/>
        <w:sz w:val="22"/>
        <w:lang w:val="en-GB" w:eastAsia="zh-CN"/>
      </w:rPr>
      <w:drawing>
        <wp:inline distT="0" distB="0" distL="0" distR="0" wp14:anchorId="2346E9F2" wp14:editId="7289BFFA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E664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4F79"/>
    <w:rsid w:val="00086D03"/>
    <w:rsid w:val="000A096A"/>
    <w:rsid w:val="000A375E"/>
    <w:rsid w:val="000A7051"/>
    <w:rsid w:val="000B0AF6"/>
    <w:rsid w:val="000B0E9B"/>
    <w:rsid w:val="000B2CAE"/>
    <w:rsid w:val="000C0264"/>
    <w:rsid w:val="000C03C7"/>
    <w:rsid w:val="000C2AD0"/>
    <w:rsid w:val="000D0D06"/>
    <w:rsid w:val="000D3F3B"/>
    <w:rsid w:val="000E3DEE"/>
    <w:rsid w:val="000E4BCD"/>
    <w:rsid w:val="00100B72"/>
    <w:rsid w:val="00101F7D"/>
    <w:rsid w:val="00102BFF"/>
    <w:rsid w:val="00103C76"/>
    <w:rsid w:val="001119C8"/>
    <w:rsid w:val="0011265F"/>
    <w:rsid w:val="001158EE"/>
    <w:rsid w:val="00117282"/>
    <w:rsid w:val="00117389"/>
    <w:rsid w:val="0012191D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522A"/>
    <w:rsid w:val="001D7070"/>
    <w:rsid w:val="001E212A"/>
    <w:rsid w:val="001F18E3"/>
    <w:rsid w:val="001F1D56"/>
    <w:rsid w:val="001F2170"/>
    <w:rsid w:val="001F2DB8"/>
    <w:rsid w:val="001F3948"/>
    <w:rsid w:val="001F5A49"/>
    <w:rsid w:val="00201097"/>
    <w:rsid w:val="00201B6E"/>
    <w:rsid w:val="0020610F"/>
    <w:rsid w:val="00224F7B"/>
    <w:rsid w:val="002302B3"/>
    <w:rsid w:val="00230C66"/>
    <w:rsid w:val="00235A29"/>
    <w:rsid w:val="00241526"/>
    <w:rsid w:val="002443A2"/>
    <w:rsid w:val="002563F5"/>
    <w:rsid w:val="00266E74"/>
    <w:rsid w:val="0028193E"/>
    <w:rsid w:val="00283C3B"/>
    <w:rsid w:val="002861E6"/>
    <w:rsid w:val="00287D18"/>
    <w:rsid w:val="002A0BB0"/>
    <w:rsid w:val="002A2618"/>
    <w:rsid w:val="002A5DD7"/>
    <w:rsid w:val="002A693B"/>
    <w:rsid w:val="002B0A1E"/>
    <w:rsid w:val="002B0CAC"/>
    <w:rsid w:val="002C09A3"/>
    <w:rsid w:val="002D5A15"/>
    <w:rsid w:val="002D5BDD"/>
    <w:rsid w:val="002E3D27"/>
    <w:rsid w:val="002E6646"/>
    <w:rsid w:val="002F0890"/>
    <w:rsid w:val="002F2531"/>
    <w:rsid w:val="002F2EB3"/>
    <w:rsid w:val="002F4967"/>
    <w:rsid w:val="00306452"/>
    <w:rsid w:val="00307AFE"/>
    <w:rsid w:val="00316935"/>
    <w:rsid w:val="003266ED"/>
    <w:rsid w:val="00326C68"/>
    <w:rsid w:val="0033029C"/>
    <w:rsid w:val="003370B8"/>
    <w:rsid w:val="003428EF"/>
    <w:rsid w:val="00345D38"/>
    <w:rsid w:val="00352097"/>
    <w:rsid w:val="003666FF"/>
    <w:rsid w:val="00367ECB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1EBD"/>
    <w:rsid w:val="00447ECB"/>
    <w:rsid w:val="00453CB9"/>
    <w:rsid w:val="004623F7"/>
    <w:rsid w:val="00475DD1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6204"/>
    <w:rsid w:val="004B7C9A"/>
    <w:rsid w:val="004C6779"/>
    <w:rsid w:val="004D733B"/>
    <w:rsid w:val="004E0DC4"/>
    <w:rsid w:val="004E0FB5"/>
    <w:rsid w:val="004E43BB"/>
    <w:rsid w:val="004E460D"/>
    <w:rsid w:val="004E772A"/>
    <w:rsid w:val="004F178E"/>
    <w:rsid w:val="004F4543"/>
    <w:rsid w:val="004F57BB"/>
    <w:rsid w:val="00501627"/>
    <w:rsid w:val="00505309"/>
    <w:rsid w:val="0050789B"/>
    <w:rsid w:val="0051672E"/>
    <w:rsid w:val="005224A1"/>
    <w:rsid w:val="00534372"/>
    <w:rsid w:val="00543DF8"/>
    <w:rsid w:val="00546101"/>
    <w:rsid w:val="00552165"/>
    <w:rsid w:val="00553DD7"/>
    <w:rsid w:val="005638CF"/>
    <w:rsid w:val="005654B1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2C35"/>
    <w:rsid w:val="005D3669"/>
    <w:rsid w:val="005E40B8"/>
    <w:rsid w:val="005E5EB3"/>
    <w:rsid w:val="005F011A"/>
    <w:rsid w:val="005F3CB6"/>
    <w:rsid w:val="005F657C"/>
    <w:rsid w:val="005F78BF"/>
    <w:rsid w:val="00602D53"/>
    <w:rsid w:val="006047E5"/>
    <w:rsid w:val="00623AE3"/>
    <w:rsid w:val="0062522E"/>
    <w:rsid w:val="006259E9"/>
    <w:rsid w:val="0062700F"/>
    <w:rsid w:val="00631740"/>
    <w:rsid w:val="0064371D"/>
    <w:rsid w:val="00643B50"/>
    <w:rsid w:val="00650543"/>
    <w:rsid w:val="00650B2A"/>
    <w:rsid w:val="00651777"/>
    <w:rsid w:val="006550F8"/>
    <w:rsid w:val="006829F3"/>
    <w:rsid w:val="006A124F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399A"/>
    <w:rsid w:val="00750CFA"/>
    <w:rsid w:val="007553DA"/>
    <w:rsid w:val="00770D9E"/>
    <w:rsid w:val="00775DB8"/>
    <w:rsid w:val="00782354"/>
    <w:rsid w:val="007921A7"/>
    <w:rsid w:val="007A7FF8"/>
    <w:rsid w:val="007B3DB1"/>
    <w:rsid w:val="007B3EA3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374E2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6BC5"/>
    <w:rsid w:val="009076D7"/>
    <w:rsid w:val="00912DAB"/>
    <w:rsid w:val="009151BA"/>
    <w:rsid w:val="00925023"/>
    <w:rsid w:val="009277BC"/>
    <w:rsid w:val="00927D57"/>
    <w:rsid w:val="00927E24"/>
    <w:rsid w:val="00931A51"/>
    <w:rsid w:val="009440C7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000AE"/>
    <w:rsid w:val="00A119E6"/>
    <w:rsid w:val="00A20FBC"/>
    <w:rsid w:val="00A243E2"/>
    <w:rsid w:val="00A31370"/>
    <w:rsid w:val="00A33D80"/>
    <w:rsid w:val="00A34D6F"/>
    <w:rsid w:val="00A41F91"/>
    <w:rsid w:val="00A621D6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13AA0"/>
    <w:rsid w:val="00B13C90"/>
    <w:rsid w:val="00B34CF9"/>
    <w:rsid w:val="00B37559"/>
    <w:rsid w:val="00B4054B"/>
    <w:rsid w:val="00B52E07"/>
    <w:rsid w:val="00B579B0"/>
    <w:rsid w:val="00B57D11"/>
    <w:rsid w:val="00B649D7"/>
    <w:rsid w:val="00B81C2F"/>
    <w:rsid w:val="00B90743"/>
    <w:rsid w:val="00B90C45"/>
    <w:rsid w:val="00B933BE"/>
    <w:rsid w:val="00BD4DC1"/>
    <w:rsid w:val="00BD6738"/>
    <w:rsid w:val="00BD7E5E"/>
    <w:rsid w:val="00BE63DB"/>
    <w:rsid w:val="00BE6574"/>
    <w:rsid w:val="00C07319"/>
    <w:rsid w:val="00C16FD2"/>
    <w:rsid w:val="00C25A19"/>
    <w:rsid w:val="00C32AAA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3E1"/>
    <w:rsid w:val="00CB3771"/>
    <w:rsid w:val="00CB44BF"/>
    <w:rsid w:val="00CB5153"/>
    <w:rsid w:val="00CD1697"/>
    <w:rsid w:val="00CE076A"/>
    <w:rsid w:val="00CE463D"/>
    <w:rsid w:val="00D00AD1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06EA"/>
    <w:rsid w:val="00DA4037"/>
    <w:rsid w:val="00DD5D1C"/>
    <w:rsid w:val="00DE3CEB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3037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738A"/>
    <w:rsid w:val="00EF4CF9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256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1BBF60E3"/>
  <w15:docId w15:val="{FE6CDA31-6BCA-4389-841C-782C8085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2E664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5167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3AA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6A124F"/>
    <w:rPr>
      <w:color w:val="800080" w:themeColor="followedHyperlink"/>
      <w:u w:val="single"/>
    </w:rPr>
  </w:style>
  <w:style w:type="character" w:customStyle="1" w:styleId="TabletextChar">
    <w:name w:val="Table_text Char"/>
    <w:link w:val="Tabletext"/>
    <w:uiPriority w:val="99"/>
    <w:locked/>
    <w:rsid w:val="001D522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D522A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5DD1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2563F5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2563F5"/>
    <w:rPr>
      <w:rFonts w:ascii="Calibri" w:hAnsi="Calibri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E3256"/>
    <w:rPr>
      <w:color w:val="605E5C"/>
      <w:shd w:val="clear" w:color="auto" w:fill="E1DFDD"/>
    </w:rPr>
  </w:style>
  <w:style w:type="character" w:customStyle="1" w:styleId="RectitleChar">
    <w:name w:val="Rec_title Char"/>
    <w:link w:val="Rectitle"/>
    <w:uiPriority w:val="99"/>
    <w:rsid w:val="007B3EA3"/>
    <w:rPr>
      <w:b/>
      <w:sz w:val="28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2A0BB0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00-SG05-CIR-0059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R-RES-R.65/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9-SG05-C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1591FC3DA584A6D8E2235DF7659D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8BF7-AEA8-41A4-9114-EAE4FFE38854}"/>
      </w:docPartPr>
      <w:docPartBody>
        <w:p w:rsidR="005B6DFD" w:rsidRDefault="007518D3" w:rsidP="007518D3">
          <w:pPr>
            <w:pStyle w:val="51591FC3DA584A6D8E2235DF7659D54C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1ABD74BE52794B70AD719F37280D9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F6D47-1895-490C-939A-648FACEDAEBA}"/>
      </w:docPartPr>
      <w:docPartBody>
        <w:p w:rsidR="00577A8C" w:rsidRDefault="00DF71E1" w:rsidP="00DF71E1">
          <w:pPr>
            <w:pStyle w:val="1ABD74BE52794B70AD719F37280D949D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0C"/>
    <w:rsid w:val="001A23E6"/>
    <w:rsid w:val="0039750A"/>
    <w:rsid w:val="00577A8C"/>
    <w:rsid w:val="005B6DFD"/>
    <w:rsid w:val="005F720C"/>
    <w:rsid w:val="007518D3"/>
    <w:rsid w:val="00D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71E1"/>
    <w:rPr>
      <w:color w:val="808080"/>
    </w:rPr>
  </w:style>
  <w:style w:type="paragraph" w:customStyle="1" w:styleId="51591FC3DA584A6D8E2235DF7659D54C">
    <w:name w:val="51591FC3DA584A6D8E2235DF7659D54C"/>
    <w:rsid w:val="007518D3"/>
  </w:style>
  <w:style w:type="paragraph" w:customStyle="1" w:styleId="1ABD74BE52794B70AD719F37280D949D">
    <w:name w:val="1ABD74BE52794B70AD719F37280D949D"/>
    <w:rsid w:val="00DF7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067E-A5D7-49BA-8D9B-13A31F26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32</TotalTime>
  <Pages>3</Pages>
  <Words>750</Words>
  <Characters>4633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5373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Chamova, Alisa</cp:lastModifiedBy>
  <cp:revision>7</cp:revision>
  <cp:lastPrinted>2020-02-07T14:00:00Z</cp:lastPrinted>
  <dcterms:created xsi:type="dcterms:W3CDTF">2020-11-24T10:06:00Z</dcterms:created>
  <dcterms:modified xsi:type="dcterms:W3CDTF">2020-11-30T09:32:00Z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