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E60D8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128635" w14:textId="77777777" w:rsidR="00E53DCE" w:rsidRPr="00EE60D8" w:rsidRDefault="00E53DCE" w:rsidP="0022059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E60D8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4B36829" w14:textId="77777777" w:rsidR="00E53DCE" w:rsidRPr="00EE60D8" w:rsidRDefault="00E53DCE" w:rsidP="0022059C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11AFBC9F" w14:textId="77777777" w:rsidR="00E53DCE" w:rsidRPr="00EE60D8" w:rsidRDefault="00E53DCE" w:rsidP="0022059C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E60D8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3C17EF2A" w:rsidR="007D47FA" w:rsidRPr="007D47FA" w:rsidRDefault="007D47FA" w:rsidP="0022059C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7D47FA">
              <w:rPr>
                <w:szCs w:val="24"/>
                <w:lang w:val="fr-FR"/>
              </w:rPr>
              <w:t>Corrigendum 1 à la</w:t>
            </w:r>
            <w:r w:rsidR="0022059C" w:rsidRPr="00EE60D8">
              <w:rPr>
                <w:szCs w:val="24"/>
                <w:lang w:val="fr-FR"/>
              </w:rPr>
              <w:br/>
            </w:r>
            <w:r w:rsidRPr="007D47FA">
              <w:rPr>
                <w:szCs w:val="24"/>
                <w:lang w:val="fr-FR"/>
              </w:rPr>
              <w:t>Circulaire administrative</w:t>
            </w:r>
          </w:p>
          <w:p w14:paraId="6194B1E6" w14:textId="0F4A536E" w:rsidR="00E53DCE" w:rsidRPr="00EE60D8" w:rsidRDefault="007D47FA" w:rsidP="0022059C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E60D8">
              <w:rPr>
                <w:b/>
                <w:bCs/>
                <w:szCs w:val="24"/>
                <w:lang w:val="fr-FR"/>
              </w:rPr>
              <w:t>CACE/942</w:t>
            </w:r>
          </w:p>
        </w:tc>
        <w:tc>
          <w:tcPr>
            <w:tcW w:w="2835" w:type="dxa"/>
            <w:shd w:val="clear" w:color="auto" w:fill="auto"/>
          </w:tcPr>
          <w:p w14:paraId="20799F5F" w14:textId="7457012E" w:rsidR="00E53DCE" w:rsidRPr="00EE60D8" w:rsidRDefault="00AA781A" w:rsidP="0022059C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EE60D8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03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44169">
                  <w:rPr>
                    <w:rFonts w:cs="Arial"/>
                    <w:szCs w:val="24"/>
                    <w:lang w:val="fr-FR"/>
                  </w:rPr>
                  <w:t>17 mars 2020</w:t>
                </w:r>
              </w:sdtContent>
            </w:sdt>
          </w:p>
        </w:tc>
      </w:tr>
      <w:tr w:rsidR="00E53DCE" w:rsidRPr="00EE60D8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EE60D8" w:rsidRDefault="00E53DCE" w:rsidP="0022059C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E60D8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EE60D8" w:rsidRDefault="00E53DCE" w:rsidP="0022059C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C3E36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0692B675" w:rsidR="00E53DCE" w:rsidRPr="00EE60D8" w:rsidRDefault="007D47FA" w:rsidP="0022059C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E60D8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EE60D8">
              <w:rPr>
                <w:b/>
                <w:bCs/>
                <w:szCs w:val="24"/>
                <w:lang w:val="fr-FR"/>
              </w:rPr>
              <w:t> </w:t>
            </w:r>
            <w:r w:rsidRPr="00EE60D8">
              <w:rPr>
                <w:b/>
                <w:bCs/>
                <w:szCs w:val="24"/>
                <w:lang w:val="fr-FR"/>
              </w:rPr>
              <w:t>d'études 5 des radiocommunications et aux établissements universitaires participant aux travaux de l'UIT</w:t>
            </w:r>
          </w:p>
        </w:tc>
      </w:tr>
      <w:tr w:rsidR="00E53DCE" w:rsidRPr="00CC3E36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EE60D8" w:rsidRDefault="00E53DCE" w:rsidP="0022059C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C3E36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EE60D8" w:rsidRDefault="00E53DCE" w:rsidP="0022059C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D47FA" w:rsidRPr="00CC3E36" w14:paraId="7E8A002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E3FF1F8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D60FC7">
              <w:rPr>
                <w:lang w:val="fr-FR"/>
              </w:rPr>
              <w:t>Objet</w:t>
            </w:r>
            <w:r w:rsidRPr="00EE60D8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329BA6" w14:textId="5E1BDDF5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EE60D8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EE60D8">
              <w:rPr>
                <w:b/>
                <w:spacing w:val="-2"/>
                <w:lang w:val="fr-FR"/>
              </w:rPr>
              <w:t>d'études 5 des radiocommunications</w:t>
            </w:r>
            <w:r w:rsidRPr="00EE60D8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C8BF9B62ECCD4E24BFDCCA84730FD7C5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Pr="00EE60D8">
                  <w:rPr>
                    <w:b/>
                    <w:bCs/>
                    <w:spacing w:val="-2"/>
                    <w:lang w:val="fr-FR"/>
                  </w:rPr>
                  <w:t>(Services de Terre)</w:t>
                </w:r>
              </w:sdtContent>
            </w:sdt>
            <w:r w:rsidRPr="00EE60D8">
              <w:rPr>
                <w:b/>
                <w:bCs/>
                <w:spacing w:val="-2"/>
                <w:lang w:val="fr-FR"/>
              </w:rPr>
              <w:t>,</w:t>
            </w:r>
            <w:r w:rsidRPr="00EE60D8">
              <w:rPr>
                <w:b/>
                <w:bCs/>
                <w:color w:val="000000"/>
                <w:spacing w:val="-2"/>
                <w:lang w:val="fr-FR"/>
              </w:rPr>
              <w:br/>
              <w:t>Genève, le 31 juillet 2020</w:t>
            </w:r>
          </w:p>
        </w:tc>
      </w:tr>
      <w:tr w:rsidR="007D47FA" w:rsidRPr="00CC3E36" w14:paraId="5FC378B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34B1A3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8F6931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CC3E36" w14:paraId="23096CD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FB888E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B29BA3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CC3E36" w14:paraId="3B4E34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A16FE3" w14:textId="77777777" w:rsidR="007D47FA" w:rsidRPr="00EE60D8" w:rsidRDefault="007D47FA" w:rsidP="0022059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D47FA" w:rsidRPr="00CC3E36" w14:paraId="71B8BD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2DCA5A" w14:textId="77777777" w:rsidR="007D47FA" w:rsidRPr="00EE60D8" w:rsidRDefault="007D47FA" w:rsidP="0022059C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4D7E151" w14:textId="640122F1" w:rsidR="007D47FA" w:rsidRPr="00EE60D8" w:rsidRDefault="007D47FA" w:rsidP="0022059C">
      <w:pPr>
        <w:spacing w:before="120" w:after="120" w:line="240" w:lineRule="auto"/>
        <w:jc w:val="left"/>
        <w:rPr>
          <w:szCs w:val="24"/>
          <w:lang w:val="fr-FR"/>
        </w:rPr>
      </w:pPr>
      <w:r w:rsidRPr="00EE60D8">
        <w:rPr>
          <w:lang w:val="fr-FR"/>
        </w:rPr>
        <w:t xml:space="preserve">Je vous informe, par le présent Corrigendum à la Circulaire administrative CACE/942, qu'en raison des circonstances </w:t>
      </w:r>
      <w:r w:rsidR="00EE60D8" w:rsidRPr="00EE60D8">
        <w:rPr>
          <w:lang w:val="fr-FR"/>
        </w:rPr>
        <w:t>exceptionnelles</w:t>
      </w:r>
      <w:r w:rsidRPr="00EE60D8">
        <w:rPr>
          <w:lang w:val="fr-FR"/>
        </w:rPr>
        <w:t xml:space="preserve"> dues à la maladie à coronavirus (</w:t>
      </w:r>
      <w:r w:rsidR="00CC3E36">
        <w:fldChar w:fldCharType="begin"/>
      </w:r>
      <w:r w:rsidR="00CC3E36" w:rsidRPr="00CC3E36">
        <w:rPr>
          <w:lang w:val="fr-FR"/>
        </w:rPr>
        <w:instrText xml:space="preserve"> HYPERLINK "https://www.itu.int/fr/Pages/covid-19.aspx" </w:instrText>
      </w:r>
      <w:r w:rsidR="00CC3E36">
        <w:fldChar w:fldCharType="separate"/>
      </w:r>
      <w:r w:rsidRPr="00EE60D8">
        <w:rPr>
          <w:rStyle w:val="Hyperlink"/>
          <w:lang w:val="fr-FR"/>
        </w:rPr>
        <w:t>COVID-19</w:t>
      </w:r>
      <w:r w:rsidR="00CC3E36">
        <w:rPr>
          <w:rStyle w:val="Hyperlink"/>
          <w:lang w:val="fr-FR"/>
        </w:rPr>
        <w:fldChar w:fldCharType="end"/>
      </w:r>
      <w:r w:rsidRPr="00EE60D8">
        <w:rPr>
          <w:lang w:val="fr-FR"/>
        </w:rPr>
        <w:t>), la réunion de la Commission d'études 5 est reportée au 31 juillet 2020. L</w:t>
      </w:r>
      <w:r w:rsidRPr="00EE60D8">
        <w:rPr>
          <w:szCs w:val="24"/>
          <w:lang w:val="fr-FR"/>
        </w:rPr>
        <w:t>es réunions des Groupes de travail 5A, 5B et 5C sont aussi reportées et se tiendront du 20 au 31 juillet 2020 (voir le Corrigendum 2 à la Circulaire 5/LCCE/85)</w:t>
      </w:r>
      <w:r w:rsidRPr="00EE60D8">
        <w:rPr>
          <w:lang w:val="fr-FR"/>
        </w:rPr>
        <w:t>.</w:t>
      </w:r>
    </w:p>
    <w:p w14:paraId="78EBC08E" w14:textId="01CFDFF5" w:rsidR="007D47FA" w:rsidRPr="00EE60D8" w:rsidRDefault="007D47FA" w:rsidP="00D461AF">
      <w:pPr>
        <w:spacing w:before="120" w:after="240" w:line="240" w:lineRule="auto"/>
        <w:jc w:val="left"/>
        <w:rPr>
          <w:lang w:val="fr-FR"/>
        </w:rPr>
      </w:pPr>
      <w:r w:rsidRPr="00EE60D8">
        <w:rPr>
          <w:lang w:val="fr-FR"/>
        </w:rPr>
        <w:t xml:space="preserve">La réunion de la Commission d'études se tiendra au </w:t>
      </w:r>
      <w:r w:rsidR="00D461AF">
        <w:rPr>
          <w:lang w:val="fr-FR"/>
        </w:rPr>
        <w:t>s</w:t>
      </w:r>
      <w:r w:rsidRPr="00EE60D8">
        <w:rPr>
          <w:lang w:val="fr-FR"/>
        </w:rPr>
        <w:t>iège de l'UIT à Genève. La séance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302"/>
        <w:gridCol w:w="2617"/>
        <w:gridCol w:w="2401"/>
      </w:tblGrid>
      <w:tr w:rsidR="007D47FA" w:rsidRPr="00D461AF" w14:paraId="12BFEA82" w14:textId="77777777" w:rsidTr="00DA6AA7">
        <w:trPr>
          <w:jc w:val="center"/>
        </w:trPr>
        <w:tc>
          <w:tcPr>
            <w:tcW w:w="2229" w:type="dxa"/>
          </w:tcPr>
          <w:p w14:paraId="07470984" w14:textId="77777777" w:rsidR="007D47FA" w:rsidRPr="008F1F8F" w:rsidRDefault="007D47FA" w:rsidP="0022059C">
            <w:pPr>
              <w:pStyle w:val="Tablehead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Groupe</w:t>
            </w:r>
          </w:p>
        </w:tc>
        <w:tc>
          <w:tcPr>
            <w:tcW w:w="2302" w:type="dxa"/>
          </w:tcPr>
          <w:p w14:paraId="4B44BF3B" w14:textId="77777777" w:rsidR="007D47FA" w:rsidRPr="008F1F8F" w:rsidRDefault="007D47FA" w:rsidP="0022059C">
            <w:pPr>
              <w:pStyle w:val="Tablehead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Date de la réunion</w:t>
            </w:r>
          </w:p>
        </w:tc>
        <w:tc>
          <w:tcPr>
            <w:tcW w:w="2617" w:type="dxa"/>
          </w:tcPr>
          <w:p w14:paraId="27690FB4" w14:textId="77777777" w:rsidR="007D47FA" w:rsidRPr="008F1F8F" w:rsidRDefault="007D47FA" w:rsidP="0022059C">
            <w:pPr>
              <w:pStyle w:val="Tablehead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Date limite de soumission des contributions</w:t>
            </w:r>
          </w:p>
        </w:tc>
        <w:tc>
          <w:tcPr>
            <w:tcW w:w="2401" w:type="dxa"/>
          </w:tcPr>
          <w:p w14:paraId="048C3AFF" w14:textId="77777777" w:rsidR="007D47FA" w:rsidRPr="008F1F8F" w:rsidRDefault="007D47FA" w:rsidP="0022059C">
            <w:pPr>
              <w:pStyle w:val="Tablehead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Séance d'ouverture</w:t>
            </w:r>
          </w:p>
        </w:tc>
      </w:tr>
      <w:tr w:rsidR="007D47FA" w:rsidRPr="00CC3E36" w14:paraId="79143CD6" w14:textId="77777777" w:rsidTr="00DA6AA7">
        <w:trPr>
          <w:jc w:val="center"/>
        </w:trPr>
        <w:tc>
          <w:tcPr>
            <w:tcW w:w="2229" w:type="dxa"/>
            <w:vAlign w:val="center"/>
          </w:tcPr>
          <w:p w14:paraId="67943499" w14:textId="77777777" w:rsidR="007D47FA" w:rsidRPr="008F1F8F" w:rsidRDefault="007D47FA" w:rsidP="0022059C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Commission d'études 5</w:t>
            </w:r>
          </w:p>
        </w:tc>
        <w:tc>
          <w:tcPr>
            <w:tcW w:w="2302" w:type="dxa"/>
            <w:vAlign w:val="center"/>
          </w:tcPr>
          <w:p w14:paraId="3BB2B457" w14:textId="77777777" w:rsidR="007D47FA" w:rsidRPr="008F1F8F" w:rsidRDefault="007D47FA" w:rsidP="0022059C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Vendredi 31 juillet 2020</w:t>
            </w:r>
          </w:p>
        </w:tc>
        <w:tc>
          <w:tcPr>
            <w:tcW w:w="2617" w:type="dxa"/>
            <w:vAlign w:val="center"/>
          </w:tcPr>
          <w:p w14:paraId="51BD3084" w14:textId="77777777" w:rsidR="007D47FA" w:rsidRPr="008F1F8F" w:rsidRDefault="007D47FA" w:rsidP="0022059C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Vendredi 24 juillet 2020</w:t>
            </w:r>
            <w:r w:rsidRPr="008F1F8F">
              <w:rPr>
                <w:szCs w:val="20"/>
                <w:lang w:val="fr-FR"/>
              </w:rPr>
              <w:br/>
              <w:t>à 16 h 00 UTC</w:t>
            </w:r>
          </w:p>
        </w:tc>
        <w:tc>
          <w:tcPr>
            <w:tcW w:w="2401" w:type="dxa"/>
            <w:vAlign w:val="center"/>
          </w:tcPr>
          <w:p w14:paraId="61FB19A8" w14:textId="77777777" w:rsidR="007D47FA" w:rsidRPr="008F1F8F" w:rsidRDefault="007D47FA" w:rsidP="0022059C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8F1F8F">
              <w:rPr>
                <w:szCs w:val="20"/>
                <w:lang w:val="fr-FR"/>
              </w:rPr>
              <w:t>Vendredi 31 juillet 2020</w:t>
            </w:r>
            <w:r w:rsidRPr="008F1F8F">
              <w:rPr>
                <w:szCs w:val="20"/>
                <w:lang w:val="fr-FR"/>
              </w:rPr>
              <w:br/>
              <w:t>à 9 h 30 (heure locale)</w:t>
            </w:r>
          </w:p>
        </w:tc>
      </w:tr>
    </w:tbl>
    <w:p w14:paraId="186ED2C8" w14:textId="77777777" w:rsidR="007D47FA" w:rsidRPr="00EE60D8" w:rsidRDefault="007D47FA" w:rsidP="0022059C">
      <w:pPr>
        <w:spacing w:before="168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EE60D8">
        <w:rPr>
          <w:szCs w:val="24"/>
          <w:lang w:val="fr-FR"/>
        </w:rPr>
        <w:t xml:space="preserve">Mario </w:t>
      </w:r>
      <w:proofErr w:type="spellStart"/>
      <w:r w:rsidRPr="00EE60D8">
        <w:rPr>
          <w:szCs w:val="24"/>
          <w:lang w:val="fr-FR"/>
        </w:rPr>
        <w:t>Maniewicz</w:t>
      </w:r>
      <w:proofErr w:type="spellEnd"/>
      <w:r w:rsidRPr="00EE60D8">
        <w:rPr>
          <w:szCs w:val="24"/>
          <w:lang w:val="fr-FR"/>
        </w:rPr>
        <w:br/>
        <w:t>Directeur</w:t>
      </w:r>
    </w:p>
    <w:p w14:paraId="367AD665" w14:textId="77777777" w:rsidR="00D60FC7" w:rsidRDefault="007D47FA" w:rsidP="00D60FC7">
      <w:pPr>
        <w:tabs>
          <w:tab w:val="center" w:pos="7939"/>
          <w:tab w:val="right" w:pos="8505"/>
        </w:tabs>
        <w:spacing w:before="800" w:line="240" w:lineRule="auto"/>
        <w:rPr>
          <w:lang w:val="fr-FR"/>
        </w:rPr>
      </w:pPr>
      <w:r w:rsidRPr="00EE60D8">
        <w:rPr>
          <w:b/>
          <w:bCs/>
          <w:lang w:val="fr-FR"/>
        </w:rPr>
        <w:t>Annexes</w:t>
      </w:r>
      <w:r w:rsidRPr="00EE60D8">
        <w:rPr>
          <w:lang w:val="fr-FR"/>
        </w:rPr>
        <w:t>: 2</w:t>
      </w:r>
    </w:p>
    <w:p w14:paraId="6E991201" w14:textId="3FC2FD43" w:rsidR="007D47FA" w:rsidRPr="00EE60D8" w:rsidRDefault="007D47FA" w:rsidP="00D60FC7">
      <w:pPr>
        <w:tabs>
          <w:tab w:val="center" w:pos="7939"/>
          <w:tab w:val="right" w:pos="8505"/>
        </w:tabs>
        <w:spacing w:before="800" w:line="240" w:lineRule="auto"/>
        <w:rPr>
          <w:sz w:val="18"/>
          <w:szCs w:val="18"/>
          <w:lang w:val="fr-FR"/>
        </w:rPr>
      </w:pPr>
      <w:r w:rsidRPr="00EE60D8">
        <w:rPr>
          <w:rFonts w:asciiTheme="minorHAnsi" w:hAnsiTheme="minorHAnsi" w:cstheme="minorHAnsi"/>
          <w:lang w:val="fr-FR"/>
        </w:rPr>
        <w:br w:type="page"/>
      </w:r>
    </w:p>
    <w:p w14:paraId="015497EB" w14:textId="77777777" w:rsidR="007D47FA" w:rsidRPr="00EE60D8" w:rsidRDefault="007D47FA" w:rsidP="0022059C">
      <w:pPr>
        <w:pStyle w:val="AnnexNotitle0"/>
        <w:rPr>
          <w:lang w:val="fr-FR"/>
        </w:rPr>
      </w:pPr>
      <w:r w:rsidRPr="00EE60D8">
        <w:rPr>
          <w:lang w:val="fr-FR"/>
        </w:rPr>
        <w:lastRenderedPageBreak/>
        <w:t>Annexe 1</w:t>
      </w:r>
      <w:r w:rsidRPr="00EE60D8">
        <w:rPr>
          <w:lang w:val="fr-FR"/>
        </w:rPr>
        <w:br/>
      </w:r>
      <w:r w:rsidRPr="00EE60D8">
        <w:rPr>
          <w:lang w:val="fr-FR"/>
        </w:rPr>
        <w:br/>
        <w:t>Projet d'ordre du jour de la réunion de la Commission d'études 5</w:t>
      </w:r>
      <w:r w:rsidRPr="00EE60D8">
        <w:rPr>
          <w:lang w:val="fr-FR"/>
        </w:rPr>
        <w:br/>
        <w:t>des radiocommunications</w:t>
      </w:r>
    </w:p>
    <w:p w14:paraId="2554C70C" w14:textId="77777777" w:rsidR="007D47FA" w:rsidRPr="00EE60D8" w:rsidRDefault="007D47FA" w:rsidP="00E73E02">
      <w:pPr>
        <w:pStyle w:val="Normalaftertitle"/>
        <w:spacing w:before="240" w:after="360" w:line="240" w:lineRule="auto"/>
        <w:jc w:val="center"/>
        <w:rPr>
          <w:lang w:val="fr-FR"/>
        </w:rPr>
      </w:pPr>
      <w:r w:rsidRPr="00EE60D8">
        <w:rPr>
          <w:lang w:val="fr-FR"/>
        </w:rPr>
        <w:t>(Genève, 31 juillet 2</w:t>
      </w:r>
      <w:bookmarkStart w:id="0" w:name="_GoBack"/>
      <w:bookmarkEnd w:id="0"/>
      <w:r w:rsidRPr="00EE60D8">
        <w:rPr>
          <w:lang w:val="fr-FR"/>
        </w:rPr>
        <w:t>020)</w:t>
      </w:r>
    </w:p>
    <w:p w14:paraId="4064E570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lang w:val="fr-FR"/>
        </w:rPr>
        <w:t>1</w:t>
      </w:r>
      <w:r w:rsidRPr="00EE60D8">
        <w:rPr>
          <w:lang w:val="fr-FR"/>
        </w:rPr>
        <w:tab/>
        <w:t>Ouverture de la réunion</w:t>
      </w:r>
    </w:p>
    <w:p w14:paraId="79C2C300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lang w:val="fr-FR"/>
        </w:rPr>
        <w:t>2</w:t>
      </w:r>
      <w:r w:rsidRPr="00EE60D8">
        <w:rPr>
          <w:b/>
          <w:lang w:val="fr-FR"/>
        </w:rPr>
        <w:tab/>
      </w:r>
      <w:r w:rsidRPr="00EE60D8">
        <w:rPr>
          <w:lang w:val="fr-FR"/>
        </w:rPr>
        <w:t>Adoption de l'ordre du jour</w:t>
      </w:r>
    </w:p>
    <w:p w14:paraId="3FBFE045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lang w:val="fr-FR"/>
        </w:rPr>
        <w:t>3</w:t>
      </w:r>
      <w:r w:rsidRPr="00EE60D8">
        <w:rPr>
          <w:lang w:val="fr-FR"/>
        </w:rPr>
        <w:tab/>
        <w:t>Désignation du Rapporteur</w:t>
      </w:r>
    </w:p>
    <w:p w14:paraId="3F0B87EA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lang w:val="fr-FR"/>
        </w:rPr>
        <w:t>4</w:t>
      </w:r>
      <w:r w:rsidRPr="00EE60D8">
        <w:rPr>
          <w:b/>
          <w:lang w:val="fr-FR"/>
        </w:rPr>
        <w:tab/>
      </w:r>
      <w:r w:rsidRPr="00EE60D8">
        <w:rPr>
          <w:bCs/>
          <w:lang w:val="fr-FR"/>
        </w:rPr>
        <w:t>Compte rendu de la réunion précédente</w:t>
      </w:r>
      <w:r w:rsidRPr="00EE60D8">
        <w:rPr>
          <w:lang w:val="fr-FR"/>
        </w:rPr>
        <w:t xml:space="preserve"> (Document</w:t>
      </w:r>
      <w:r w:rsidRPr="008F1F8F">
        <w:rPr>
          <w:rStyle w:val="Hyperlink"/>
          <w:u w:val="none"/>
          <w:lang w:val="fr-FR"/>
        </w:rPr>
        <w:t xml:space="preserve"> </w:t>
      </w:r>
      <w:hyperlink r:id="rId8" w:history="1">
        <w:r w:rsidRPr="00EE60D8">
          <w:rPr>
            <w:rStyle w:val="Hyperlink"/>
            <w:rFonts w:eastAsia="SimSun"/>
            <w:szCs w:val="24"/>
            <w:lang w:val="fr-FR" w:eastAsia="zh-CN"/>
          </w:rPr>
          <w:t>5/205</w:t>
        </w:r>
      </w:hyperlink>
      <w:r w:rsidRPr="00EE60D8">
        <w:rPr>
          <w:lang w:val="fr-FR"/>
        </w:rPr>
        <w:t>)</w:t>
      </w:r>
    </w:p>
    <w:p w14:paraId="3869F579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5</w:t>
      </w:r>
      <w:r w:rsidRPr="00EE60D8">
        <w:rPr>
          <w:lang w:val="fr-FR"/>
        </w:rPr>
        <w:tab/>
        <w:t>Rapports de synthèse des Présidents des Groupes de travail</w:t>
      </w:r>
    </w:p>
    <w:p w14:paraId="53FAF826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6</w:t>
      </w:r>
      <w:r w:rsidRPr="00EE60D8">
        <w:rPr>
          <w:b/>
          <w:bCs/>
          <w:lang w:val="fr-FR"/>
        </w:rPr>
        <w:tab/>
      </w:r>
      <w:r w:rsidRPr="00EE60D8">
        <w:rPr>
          <w:lang w:val="fr-FR"/>
        </w:rPr>
        <w:t>Examen des Recommandations nouvelles ou révisées</w:t>
      </w:r>
    </w:p>
    <w:p w14:paraId="5E0EB7CC" w14:textId="77777777" w:rsidR="007D47FA" w:rsidRPr="00EE60D8" w:rsidRDefault="007D47FA" w:rsidP="00260A12">
      <w:pPr>
        <w:pStyle w:val="enumlev1"/>
        <w:spacing w:before="120"/>
        <w:jc w:val="left"/>
        <w:rPr>
          <w:b/>
          <w:lang w:val="fr-FR"/>
        </w:rPr>
      </w:pPr>
      <w:r w:rsidRPr="00EE60D8">
        <w:rPr>
          <w:b/>
          <w:bCs/>
          <w:lang w:val="fr-FR"/>
        </w:rPr>
        <w:t>7</w:t>
      </w:r>
      <w:r w:rsidRPr="00EE60D8">
        <w:rPr>
          <w:lang w:val="fr-FR"/>
        </w:rPr>
        <w:tab/>
        <w:t>Examen des Rapports nouveaux ou révisés</w:t>
      </w:r>
    </w:p>
    <w:p w14:paraId="75ADFFD2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lang w:val="fr-FR"/>
        </w:rPr>
        <w:t>8</w:t>
      </w:r>
      <w:r w:rsidRPr="00EE60D8">
        <w:rPr>
          <w:lang w:val="fr-FR"/>
        </w:rPr>
        <w:tab/>
      </w:r>
      <w:bookmarkStart w:id="1" w:name="OLE_LINK1"/>
      <w:bookmarkStart w:id="2" w:name="OLE_LINK2"/>
      <w:r w:rsidRPr="00EE60D8">
        <w:rPr>
          <w:lang w:val="fr-FR"/>
        </w:rPr>
        <w:t>Examen des Questions nouvelles ou révisées</w:t>
      </w:r>
      <w:bookmarkEnd w:id="1"/>
      <w:bookmarkEnd w:id="2"/>
    </w:p>
    <w:p w14:paraId="2F3C1F04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9</w:t>
      </w:r>
      <w:r w:rsidRPr="00EE60D8">
        <w:rPr>
          <w:b/>
          <w:bCs/>
          <w:lang w:val="fr-FR"/>
        </w:rPr>
        <w:tab/>
      </w:r>
      <w:r w:rsidRPr="00EE60D8">
        <w:rPr>
          <w:lang w:val="fr-FR"/>
        </w:rPr>
        <w:t>Examen d'autres contributions</w:t>
      </w:r>
    </w:p>
    <w:p w14:paraId="307E9C85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10</w:t>
      </w:r>
      <w:r w:rsidRPr="00EE60D8">
        <w:rPr>
          <w:lang w:val="fr-FR"/>
        </w:rPr>
        <w:tab/>
        <w:t>État d'avancement des Manuels, Questions, Recommandations, Rapports, Vœux, Résolutions et Décisions</w:t>
      </w:r>
    </w:p>
    <w:p w14:paraId="04475969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11</w:t>
      </w:r>
      <w:r w:rsidRPr="00EE60D8">
        <w:rPr>
          <w:b/>
          <w:bCs/>
          <w:lang w:val="fr-FR"/>
        </w:rPr>
        <w:tab/>
      </w:r>
      <w:r w:rsidRPr="00EE60D8">
        <w:rPr>
          <w:lang w:val="fr-FR"/>
        </w:rPr>
        <w:t>Liaison avec d'autres commissions d'études ou organisations internationales</w:t>
      </w:r>
    </w:p>
    <w:p w14:paraId="403DC25F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12</w:t>
      </w:r>
      <w:r w:rsidRPr="00EE60D8">
        <w:rPr>
          <w:b/>
          <w:bCs/>
          <w:lang w:val="fr-FR"/>
        </w:rPr>
        <w:tab/>
      </w:r>
      <w:r w:rsidRPr="00EE60D8">
        <w:rPr>
          <w:lang w:val="fr-FR"/>
        </w:rPr>
        <w:t>Calendrier des réunions</w:t>
      </w:r>
    </w:p>
    <w:p w14:paraId="1C569D51" w14:textId="77777777" w:rsidR="007D47FA" w:rsidRPr="00EE60D8" w:rsidRDefault="007D47FA" w:rsidP="00260A12">
      <w:pPr>
        <w:pStyle w:val="enumlev1"/>
        <w:spacing w:before="120"/>
        <w:jc w:val="left"/>
        <w:rPr>
          <w:lang w:val="fr-FR"/>
        </w:rPr>
      </w:pPr>
      <w:r w:rsidRPr="00EE60D8">
        <w:rPr>
          <w:b/>
          <w:bCs/>
          <w:lang w:val="fr-FR"/>
        </w:rPr>
        <w:t>13</w:t>
      </w:r>
      <w:r w:rsidRPr="00EE60D8">
        <w:rPr>
          <w:b/>
          <w:bCs/>
          <w:lang w:val="fr-FR"/>
        </w:rPr>
        <w:tab/>
      </w:r>
      <w:r w:rsidRPr="00EE60D8">
        <w:rPr>
          <w:lang w:val="fr-FR"/>
        </w:rPr>
        <w:t>Divers</w:t>
      </w:r>
    </w:p>
    <w:p w14:paraId="41DDE7FE" w14:textId="77777777" w:rsidR="007D47FA" w:rsidRPr="00EE60D8" w:rsidRDefault="007D47FA" w:rsidP="0022059C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EE60D8">
        <w:rPr>
          <w:rFonts w:asciiTheme="minorHAnsi" w:hAnsiTheme="minorHAnsi" w:cstheme="minorHAnsi"/>
          <w:szCs w:val="24"/>
          <w:lang w:val="fr-FR"/>
        </w:rPr>
        <w:tab/>
      </w:r>
      <w:r w:rsidRPr="00EE60D8">
        <w:rPr>
          <w:rFonts w:asciiTheme="minorHAnsi" w:hAnsiTheme="minorHAnsi" w:cstheme="minorHAnsi"/>
          <w:szCs w:val="24"/>
          <w:lang w:val="fr-FR" w:eastAsia="ja-JP"/>
        </w:rPr>
        <w:t>Martin FENTON</w:t>
      </w:r>
      <w:r w:rsidRPr="00EE60D8">
        <w:rPr>
          <w:rFonts w:asciiTheme="minorHAnsi" w:hAnsiTheme="minorHAnsi" w:cstheme="minorHAnsi"/>
          <w:lang w:val="fr-FR"/>
        </w:rPr>
        <w:br/>
      </w:r>
      <w:r w:rsidRPr="00EE60D8">
        <w:rPr>
          <w:szCs w:val="24"/>
          <w:lang w:val="fr-FR"/>
        </w:rPr>
        <w:tab/>
        <w:t xml:space="preserve">Président de la </w:t>
      </w:r>
      <w:r w:rsidRPr="00EE60D8">
        <w:rPr>
          <w:rFonts w:asciiTheme="minorHAnsi" w:hAnsiTheme="minorHAnsi" w:cstheme="minorHAnsi"/>
          <w:lang w:val="fr-FR"/>
        </w:rPr>
        <w:t xml:space="preserve">Commission d'études 5 </w:t>
      </w:r>
      <w:r w:rsidRPr="00EE60D8">
        <w:rPr>
          <w:rFonts w:asciiTheme="minorHAnsi" w:hAnsiTheme="minorHAnsi" w:cstheme="minorHAnsi"/>
          <w:lang w:val="fr-FR"/>
        </w:rPr>
        <w:br/>
      </w:r>
      <w:r w:rsidRPr="00EE60D8">
        <w:rPr>
          <w:rFonts w:asciiTheme="minorHAnsi" w:hAnsiTheme="minorHAnsi" w:cstheme="minorHAnsi"/>
          <w:lang w:val="fr-FR"/>
        </w:rPr>
        <w:tab/>
        <w:t>des radiocommunications</w:t>
      </w:r>
    </w:p>
    <w:p w14:paraId="7919E49F" w14:textId="77777777" w:rsidR="007D47FA" w:rsidRPr="00EE60D8" w:rsidRDefault="007D47FA" w:rsidP="0022059C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EE60D8">
        <w:rPr>
          <w:szCs w:val="24"/>
          <w:lang w:val="fr-FR"/>
        </w:rPr>
        <w:br w:type="page"/>
      </w:r>
    </w:p>
    <w:p w14:paraId="7164906F" w14:textId="77777777" w:rsidR="007D47FA" w:rsidRPr="00EE60D8" w:rsidRDefault="007D47FA" w:rsidP="0022059C">
      <w:pPr>
        <w:pStyle w:val="AnnexNotitle0"/>
        <w:rPr>
          <w:lang w:val="fr-FR"/>
        </w:rPr>
      </w:pPr>
      <w:r w:rsidRPr="00EE60D8">
        <w:rPr>
          <w:rFonts w:cstheme="minorHAnsi"/>
          <w:lang w:val="fr-FR"/>
        </w:rPr>
        <w:lastRenderedPageBreak/>
        <w:t>Annexe 2</w:t>
      </w:r>
      <w:r w:rsidRPr="00EE60D8">
        <w:rPr>
          <w:rFonts w:cstheme="minorHAnsi"/>
          <w:lang w:val="fr-FR"/>
        </w:rPr>
        <w:br/>
      </w:r>
      <w:r w:rsidRPr="00EE60D8">
        <w:rPr>
          <w:rFonts w:cstheme="minorHAnsi"/>
          <w:lang w:val="fr-FR"/>
        </w:rPr>
        <w:br/>
      </w:r>
      <w:r w:rsidRPr="00EE60D8">
        <w:rPr>
          <w:lang w:val="fr-FR"/>
        </w:rPr>
        <w:t xml:space="preserve">Sujets à traiter aux réunions des Groupes de travail 5A, 5B, et 5C tenues avant la réunion de la Commission d'études 5 et pour lesquels des projets de Recommandations pourraient être établis </w:t>
      </w:r>
    </w:p>
    <w:p w14:paraId="3A05E916" w14:textId="77777777" w:rsidR="007D47FA" w:rsidRPr="00EE60D8" w:rsidRDefault="007D47FA" w:rsidP="009A374A">
      <w:pPr>
        <w:pStyle w:val="Headingb"/>
        <w:spacing w:before="480"/>
        <w:jc w:val="center"/>
        <w:rPr>
          <w:lang w:val="fr-FR"/>
        </w:rPr>
      </w:pPr>
      <w:r w:rsidRPr="00EE60D8">
        <w:rPr>
          <w:lang w:val="fr-FR"/>
        </w:rPr>
        <w:t>Groupe de travail 5A</w:t>
      </w:r>
    </w:p>
    <w:p w14:paraId="0FCBC717" w14:textId="77777777" w:rsidR="007D47FA" w:rsidRPr="00EE60D8" w:rsidRDefault="007D47FA" w:rsidP="0022059C">
      <w:pPr>
        <w:pStyle w:val="Normalaftertitle"/>
        <w:spacing w:line="240" w:lineRule="auto"/>
        <w:rPr>
          <w:lang w:val="fr-FR"/>
        </w:rPr>
      </w:pPr>
      <w:r w:rsidRPr="00EE60D8">
        <w:rPr>
          <w:lang w:val="fr-FR"/>
        </w:rPr>
        <w:t>Aucun.</w:t>
      </w:r>
    </w:p>
    <w:p w14:paraId="17A16585" w14:textId="77777777" w:rsidR="007D47FA" w:rsidRPr="00EE60D8" w:rsidRDefault="007D47FA" w:rsidP="009A374A">
      <w:pPr>
        <w:pStyle w:val="Headingb"/>
        <w:jc w:val="center"/>
        <w:rPr>
          <w:lang w:val="fr-FR"/>
        </w:rPr>
      </w:pPr>
      <w:r w:rsidRPr="00EE60D8">
        <w:rPr>
          <w:lang w:val="fr-FR"/>
        </w:rPr>
        <w:t>Groupe de travail 5B</w:t>
      </w:r>
    </w:p>
    <w:p w14:paraId="25C06095" w14:textId="77777777" w:rsidR="007D47FA" w:rsidRPr="00EE60D8" w:rsidRDefault="007D47FA" w:rsidP="0022059C">
      <w:pPr>
        <w:pStyle w:val="Normalaftertitle"/>
        <w:spacing w:line="240" w:lineRule="auto"/>
        <w:rPr>
          <w:lang w:val="fr-FR" w:eastAsia="zh-CN"/>
        </w:rPr>
      </w:pPr>
      <w:r w:rsidRPr="00EE60D8">
        <w:rPr>
          <w:lang w:val="fr-FR" w:eastAsia="zh-CN"/>
        </w:rPr>
        <w:t>Aucun.</w:t>
      </w:r>
    </w:p>
    <w:p w14:paraId="6045EF9F" w14:textId="77777777" w:rsidR="007D47FA" w:rsidRPr="00EE60D8" w:rsidRDefault="007D47FA" w:rsidP="009A374A">
      <w:pPr>
        <w:pStyle w:val="Headingb"/>
        <w:jc w:val="center"/>
        <w:rPr>
          <w:lang w:val="fr-FR"/>
        </w:rPr>
      </w:pPr>
      <w:r w:rsidRPr="00EE60D8">
        <w:rPr>
          <w:lang w:val="fr-FR"/>
        </w:rPr>
        <w:t>Groupe de travail 5C</w:t>
      </w:r>
    </w:p>
    <w:p w14:paraId="76068924" w14:textId="6D2907FE" w:rsidR="007D47FA" w:rsidRDefault="007D47FA" w:rsidP="0022059C">
      <w:pPr>
        <w:pStyle w:val="Normalaftertitle"/>
        <w:spacing w:line="240" w:lineRule="auto"/>
        <w:jc w:val="left"/>
        <w:rPr>
          <w:lang w:val="fr-FR"/>
        </w:rPr>
      </w:pPr>
      <w:r w:rsidRPr="00EE60D8">
        <w:rPr>
          <w:lang w:val="fr-FR"/>
        </w:rPr>
        <w:t>Proposition visant à apporter des modifications de forme à la Recommandation UIT-R F.636-5 – Disposition des canaux radioélectriques pour les systèmes hertziens fixes fonctionnant dans la bande 14,4-15,35 GHz.</w:t>
      </w:r>
    </w:p>
    <w:p w14:paraId="5A249003" w14:textId="77777777" w:rsidR="008F1F8F" w:rsidRPr="008F1F8F" w:rsidRDefault="008F1F8F" w:rsidP="008F1F8F">
      <w:pPr>
        <w:rPr>
          <w:lang w:val="fr-FR"/>
        </w:rPr>
      </w:pPr>
    </w:p>
    <w:p w14:paraId="5E225F52" w14:textId="77777777" w:rsidR="007D47FA" w:rsidRPr="00EE60D8" w:rsidRDefault="007D47FA" w:rsidP="0022059C">
      <w:pPr>
        <w:spacing w:before="360" w:line="240" w:lineRule="auto"/>
        <w:jc w:val="center"/>
        <w:rPr>
          <w:lang w:val="fr-FR"/>
        </w:rPr>
      </w:pPr>
      <w:r w:rsidRPr="00EE60D8">
        <w:rPr>
          <w:lang w:val="fr-FR"/>
        </w:rPr>
        <w:t>______________</w:t>
      </w:r>
    </w:p>
    <w:sectPr w:rsidR="007D47FA" w:rsidRPr="00EE60D8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715E" w14:textId="66C34B34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hyperlink r:id="rId2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636F" w14:textId="40310B2D" w:rsidR="003F2F34" w:rsidRPr="003F2F34" w:rsidRDefault="00CC3E3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C3E36" w14:paraId="38246993" w14:textId="77777777" w:rsidTr="00CC3E36"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729D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47FA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03D5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374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E36"/>
    <w:rsid w:val="00CE076A"/>
    <w:rsid w:val="00CE463D"/>
    <w:rsid w:val="00D10BA0"/>
    <w:rsid w:val="00D21694"/>
    <w:rsid w:val="00D24EB5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E02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E60D8"/>
    <w:rsid w:val="00F03A92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5-C-020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C8BF9B62ECCD4E24BFDCCA84730F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A147-E112-491D-AA9B-21F59E5A12D4}"/>
      </w:docPartPr>
      <w:docPartBody>
        <w:p w:rsidR="0065799A" w:rsidRDefault="0035564E" w:rsidP="0035564E">
          <w:pPr>
            <w:pStyle w:val="C8BF9B62ECCD4E24BFDCCA84730FD7C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35564E"/>
    <w:rsid w:val="006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4E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C8BF9B62ECCD4E24BFDCCA84730FD7C5">
    <w:name w:val="C8BF9B62ECCD4E24BFDCCA84730FD7C5"/>
    <w:rsid w:val="0035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B904-0E1E-446F-A004-83A7CC7D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395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Catherine Limousin</cp:lastModifiedBy>
  <cp:revision>12</cp:revision>
  <cp:lastPrinted>2013-03-08T10:15:00Z</cp:lastPrinted>
  <dcterms:created xsi:type="dcterms:W3CDTF">2020-03-12T13:32:00Z</dcterms:created>
  <dcterms:modified xsi:type="dcterms:W3CDTF">2020-03-16T13:17:00Z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