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B87F7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B87F7F">
              <w:rPr>
                <w:b/>
                <w:bCs/>
                <w:szCs w:val="24"/>
                <w:lang w:val="fr-CH"/>
              </w:rPr>
              <w:t>939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BA598F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A598F">
                  <w:rPr>
                    <w:rFonts w:cs="Arial"/>
                    <w:szCs w:val="24"/>
                    <w:lang w:val="fr-FR"/>
                  </w:rPr>
                  <w:t>3</w:t>
                </w:r>
                <w:r w:rsidR="00340885">
                  <w:rPr>
                    <w:rFonts w:cs="Arial"/>
                    <w:szCs w:val="24"/>
                    <w:lang w:val="fr-FR"/>
                  </w:rPr>
                  <w:t xml:space="preserve"> décembre 2019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A598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76262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76262A">
              <w:rPr>
                <w:b/>
                <w:lang w:val="fr-CH"/>
              </w:rPr>
              <w:t>5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BA598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BA598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BA598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76262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76262A">
              <w:rPr>
                <w:b/>
                <w:bCs/>
                <w:lang w:val="fr-CH"/>
              </w:rPr>
              <w:t>5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76262A">
              <w:rPr>
                <w:b/>
                <w:bCs/>
                <w:lang w:val="fr-FR"/>
              </w:rPr>
              <w:t>Services de terre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Default="006F38C7" w:rsidP="00B516EA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76262A">
              <w:rPr>
                <w:b/>
                <w:bCs/>
                <w:lang w:val="fr-CH"/>
              </w:rPr>
              <w:t>3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 w:rsidR="00B516EA">
              <w:rPr>
                <w:b/>
                <w:bCs/>
                <w:lang w:val="fr-CH"/>
              </w:rPr>
              <w:t xml:space="preserve">8 </w:t>
            </w:r>
            <w:r w:rsidRPr="006E0087">
              <w:rPr>
                <w:b/>
                <w:bCs/>
                <w:lang w:val="fr-CH"/>
              </w:rPr>
              <w:t>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6F38C7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A598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A598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A598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235511">
      <w:pPr>
        <w:spacing w:before="12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76262A">
        <w:rPr>
          <w:lang w:val="fr-CH"/>
        </w:rPr>
        <w:t>925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sdt>
        <w:sdtPr>
          <w:rPr>
            <w:rFonts w:cs="Arial"/>
            <w:szCs w:val="24"/>
            <w:lang w:val="fr-FR"/>
          </w:rPr>
          <w:alias w:val="Date"/>
          <w:tag w:val="Date"/>
          <w:id w:val="2078245058"/>
          <w:placeholder>
            <w:docPart w:val="F133FB474C744A31B1F0B5977D825666"/>
          </w:placeholder>
          <w:date>
            <w:dateFormat w:val="d MMMM yyyy"/>
            <w:lid w:val="fr-FR"/>
            <w:storeMappedDataAs w:val="date"/>
            <w:calendar w:val="gregorian"/>
          </w:date>
        </w:sdtPr>
        <w:sdtEndPr/>
        <w:sdtContent>
          <w:r w:rsidR="0076262A">
            <w:rPr>
              <w:rFonts w:cs="Arial"/>
              <w:szCs w:val="24"/>
              <w:lang w:val="fr-FR"/>
            </w:rPr>
            <w:t>18 septembre 2019</w:t>
          </w:r>
        </w:sdtContent>
      </w:sdt>
      <w:r w:rsidRPr="006E0087">
        <w:rPr>
          <w:lang w:val="fr-CH"/>
        </w:rPr>
        <w:t xml:space="preserve">, </w:t>
      </w:r>
      <w:r w:rsidR="0076262A">
        <w:rPr>
          <w:lang w:val="fr-CH"/>
        </w:rPr>
        <w:t>3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 w:rsidR="00235511">
        <w:rPr>
          <w:lang w:val="fr-CH"/>
        </w:rPr>
        <w:t>8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 xml:space="preserve">). </w:t>
      </w:r>
    </w:p>
    <w:p w:rsidR="006F38C7" w:rsidRPr="006E0087" w:rsidRDefault="006F38C7" w:rsidP="0076262A">
      <w:pPr>
        <w:spacing w:before="120"/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76262A" w:rsidRPr="0076262A">
        <w:rPr>
          <w:lang w:val="fr-FR"/>
        </w:rPr>
        <w:t>18 novembre 2019</w:t>
      </w:r>
      <w:r>
        <w:rPr>
          <w:lang w:val="fr-CH"/>
        </w:rPr>
        <w:t>.</w:t>
      </w:r>
    </w:p>
    <w:p w:rsidR="006F38C7" w:rsidRDefault="006F38C7" w:rsidP="0076262A">
      <w:pPr>
        <w:spacing w:before="120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D338F5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attribués. </w:t>
      </w:r>
    </w:p>
    <w:p w:rsidR="006F38C7" w:rsidRDefault="006F38C7" w:rsidP="006F38C7">
      <w:pPr>
        <w:rPr>
          <w:lang w:val="fr-FR"/>
        </w:rPr>
      </w:pPr>
    </w:p>
    <w:p w:rsidR="002569F7" w:rsidRDefault="00F02E6D" w:rsidP="0076262A">
      <w:pPr>
        <w:spacing w:before="720"/>
        <w:jc w:val="left"/>
        <w:rPr>
          <w:lang w:val="fr-FR"/>
        </w:rPr>
      </w:pPr>
      <w:r w:rsidRPr="0076262A">
        <w:rPr>
          <w:szCs w:val="24"/>
          <w:lang w:val="fr-FR"/>
        </w:rPr>
        <w:t xml:space="preserve">Mario </w:t>
      </w:r>
      <w:proofErr w:type="spellStart"/>
      <w:r w:rsidRPr="0076262A">
        <w:rPr>
          <w:szCs w:val="24"/>
          <w:lang w:val="fr-FR"/>
        </w:rPr>
        <w:t>Maniewicz</w:t>
      </w:r>
      <w:proofErr w:type="spellEnd"/>
      <w:r w:rsidR="00E80E61">
        <w:rPr>
          <w:lang w:val="fr-FR"/>
        </w:rPr>
        <w:br/>
        <w:t>Directeur</w:t>
      </w:r>
    </w:p>
    <w:p w:rsidR="006F38C7" w:rsidRPr="00136CBE" w:rsidRDefault="006F38C7" w:rsidP="00235511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76262A">
        <w:rPr>
          <w:lang w:val="fr-CH"/>
        </w:rPr>
        <w:t>1</w:t>
      </w:r>
    </w:p>
    <w:p w:rsidR="006F38C7" w:rsidRPr="00136CBE" w:rsidRDefault="006F38C7" w:rsidP="00DE1A04">
      <w:pPr>
        <w:keepNext/>
        <w:keepLines/>
        <w:tabs>
          <w:tab w:val="left" w:pos="284"/>
          <w:tab w:val="left" w:pos="568"/>
        </w:tabs>
        <w:spacing w:before="72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76262A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6E0087">
        <w:rPr>
          <w:sz w:val="18"/>
          <w:szCs w:val="18"/>
          <w:lang w:val="fr-CH"/>
        </w:rPr>
        <w:t>Etats</w:t>
      </w:r>
      <w:proofErr w:type="spellEnd"/>
      <w:r w:rsidRPr="006E0087">
        <w:rPr>
          <w:sz w:val="18"/>
          <w:szCs w:val="18"/>
          <w:lang w:val="fr-CH"/>
        </w:rPr>
        <w:t xml:space="preserve">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76262A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76262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76262A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76262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76262A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 xml:space="preserve">Annexe 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B87F7F" w:rsidRPr="006A5ECB" w:rsidRDefault="00B87F7F" w:rsidP="00B87F7F">
      <w:pPr>
        <w:tabs>
          <w:tab w:val="right" w:pos="9639"/>
        </w:tabs>
        <w:spacing w:before="960" w:line="240" w:lineRule="auto"/>
        <w:rPr>
          <w:rFonts w:asciiTheme="minorHAnsi" w:hAnsiTheme="minorHAnsi" w:cstheme="minorHAnsi"/>
          <w:szCs w:val="24"/>
          <w:lang w:val="fr-FR"/>
        </w:rPr>
      </w:pPr>
      <w:r w:rsidRPr="006A5EC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r w:rsidRPr="006A5ECB">
        <w:rPr>
          <w:u w:val="single"/>
          <w:lang w:val="fr-FR"/>
        </w:rPr>
        <w:t>F.636-5</w:t>
      </w:r>
      <w:r w:rsidRPr="006A5ECB">
        <w:rPr>
          <w:rFonts w:asciiTheme="minorHAnsi" w:hAnsiTheme="minorHAnsi" w:cstheme="minorHAnsi"/>
          <w:szCs w:val="24"/>
          <w:lang w:val="fr-FR"/>
        </w:rPr>
        <w:tab/>
        <w:t>Doc. 5/143(Rév.1)</w:t>
      </w:r>
    </w:p>
    <w:p w:rsidR="00B87F7F" w:rsidRPr="006A5ECB" w:rsidRDefault="00B87F7F" w:rsidP="00B87F7F">
      <w:pPr>
        <w:keepNext/>
        <w:keepLines/>
        <w:spacing w:before="360" w:line="240" w:lineRule="auto"/>
        <w:jc w:val="center"/>
        <w:rPr>
          <w:rFonts w:eastAsia="MS Mincho"/>
          <w:b/>
          <w:bCs/>
          <w:sz w:val="28"/>
          <w:lang w:val="fr-FR"/>
        </w:rPr>
      </w:pPr>
      <w:r w:rsidRPr="006A5ECB">
        <w:rPr>
          <w:b/>
          <w:bCs/>
          <w:sz w:val="28"/>
          <w:lang w:val="fr-FR"/>
        </w:rPr>
        <w:t>Disposition des canaux radioélectriques pour les systèmes hertziens fixes fonctionnant dans la bande 14,4-15,35 GHz</w:t>
      </w:r>
    </w:p>
    <w:p w:rsidR="00B87F7F" w:rsidRPr="006A5ECB" w:rsidRDefault="00B87F7F" w:rsidP="00B87F7F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A5EC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r w:rsidRPr="006A5ECB">
        <w:rPr>
          <w:u w:val="single"/>
          <w:lang w:val="fr-FR"/>
        </w:rPr>
        <w:t>F.</w:t>
      </w:r>
      <w:r w:rsidRPr="006A5ECB">
        <w:rPr>
          <w:u w:val="single"/>
          <w:lang w:val="fr-FR" w:eastAsia="zh-CN"/>
        </w:rPr>
        <w:t>387-13</w:t>
      </w:r>
      <w:r w:rsidRPr="006A5ECB">
        <w:rPr>
          <w:rFonts w:asciiTheme="minorHAnsi" w:hAnsiTheme="minorHAnsi" w:cstheme="minorHAnsi"/>
          <w:szCs w:val="24"/>
          <w:lang w:val="fr-FR"/>
        </w:rPr>
        <w:tab/>
        <w:t>Doc. 5/144(Rév.1)</w:t>
      </w:r>
    </w:p>
    <w:p w:rsidR="00B87F7F" w:rsidRPr="006A5ECB" w:rsidRDefault="00B87F7F" w:rsidP="00B87F7F">
      <w:pPr>
        <w:spacing w:before="36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  <w:r w:rsidRPr="006A5ECB">
        <w:rPr>
          <w:b/>
          <w:bCs/>
          <w:sz w:val="28"/>
          <w:lang w:val="fr-FR"/>
        </w:rPr>
        <w:t>Disposition des canaux radioélectriques pour les systèmes</w:t>
      </w:r>
      <w:r>
        <w:rPr>
          <w:b/>
          <w:bCs/>
          <w:sz w:val="28"/>
          <w:lang w:val="fr-FR"/>
        </w:rPr>
        <w:t xml:space="preserve"> </w:t>
      </w:r>
      <w:r w:rsidRPr="006A5ECB">
        <w:rPr>
          <w:b/>
          <w:bCs/>
          <w:sz w:val="28"/>
          <w:lang w:val="fr-FR"/>
        </w:rPr>
        <w:t>hertziens fixes fonctionnant dans la bande 10,7-11,7 GHz</w:t>
      </w:r>
    </w:p>
    <w:p w:rsidR="00B87F7F" w:rsidRPr="006A5ECB" w:rsidRDefault="00B87F7F" w:rsidP="00B87F7F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A5EC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UIT-R </w:t>
      </w:r>
      <w:r w:rsidRPr="006A5ECB">
        <w:rPr>
          <w:u w:val="single"/>
          <w:lang w:val="fr-FR"/>
        </w:rPr>
        <w:t>F.1565-1</w:t>
      </w:r>
      <w:r w:rsidRPr="006A5ECB">
        <w:rPr>
          <w:rFonts w:asciiTheme="minorHAnsi" w:hAnsiTheme="minorHAnsi" w:cstheme="minorHAnsi"/>
          <w:szCs w:val="24"/>
          <w:lang w:val="fr-FR"/>
        </w:rPr>
        <w:tab/>
        <w:t>Doc. 5/146(Rév.1)</w:t>
      </w:r>
    </w:p>
    <w:p w:rsidR="00B87F7F" w:rsidRPr="006A5ECB" w:rsidRDefault="00B87F7F" w:rsidP="00B87F7F">
      <w:pPr>
        <w:spacing w:before="360" w:line="240" w:lineRule="auto"/>
        <w:jc w:val="center"/>
        <w:rPr>
          <w:b/>
          <w:bCs/>
          <w:sz w:val="28"/>
          <w:lang w:val="fr-FR"/>
        </w:rPr>
      </w:pPr>
      <w:r w:rsidRPr="006A5ECB">
        <w:rPr>
          <w:b/>
          <w:bCs/>
          <w:sz w:val="28"/>
          <w:lang w:val="fr-FR"/>
        </w:rPr>
        <w:t>Dégradation de la qualité de fonctionnement due aux brouillages causés par d'autres services partageant les mêmes bandes de fréquences à titre primaire avec</w:t>
      </w:r>
      <w:r>
        <w:rPr>
          <w:b/>
          <w:bCs/>
          <w:sz w:val="28"/>
          <w:lang w:val="fr-FR"/>
        </w:rPr>
        <w:t xml:space="preserve"> </w:t>
      </w:r>
      <w:r w:rsidRPr="006A5ECB">
        <w:rPr>
          <w:b/>
          <w:bCs/>
          <w:sz w:val="28"/>
          <w:lang w:val="fr-FR"/>
        </w:rPr>
        <w:t>égalité des droits, ou causés par d'autres sources de brouillage, avec</w:t>
      </w:r>
      <w:r>
        <w:rPr>
          <w:b/>
          <w:bCs/>
          <w:sz w:val="28"/>
          <w:lang w:val="fr-FR"/>
        </w:rPr>
        <w:t xml:space="preserve"> </w:t>
      </w:r>
      <w:r w:rsidRPr="006A5ECB">
        <w:rPr>
          <w:b/>
          <w:bCs/>
          <w:sz w:val="28"/>
          <w:lang w:val="fr-FR"/>
        </w:rPr>
        <w:t>des</w:t>
      </w:r>
      <w:r>
        <w:rPr>
          <w:b/>
          <w:bCs/>
          <w:sz w:val="28"/>
          <w:lang w:val="fr-FR"/>
        </w:rPr>
        <w:t xml:space="preserve"> </w:t>
      </w:r>
      <w:r w:rsidRPr="006A5ECB">
        <w:rPr>
          <w:b/>
          <w:bCs/>
          <w:sz w:val="28"/>
          <w:lang w:val="fr-FR"/>
        </w:rPr>
        <w:t>systèmes hertziens fixes numériques réels utilisés dans le tronçon international ou national d'un conduit fictif de référence de 27 500 km et</w:t>
      </w:r>
      <w:r>
        <w:rPr>
          <w:b/>
          <w:bCs/>
          <w:sz w:val="28"/>
          <w:lang w:val="fr-FR"/>
        </w:rPr>
        <w:t xml:space="preserve"> </w:t>
      </w:r>
      <w:r w:rsidRPr="006A5ECB">
        <w:rPr>
          <w:b/>
          <w:bCs/>
          <w:sz w:val="28"/>
          <w:lang w:val="fr-FR"/>
        </w:rPr>
        <w:t>fonctionnant</w:t>
      </w:r>
      <w:r>
        <w:rPr>
          <w:b/>
          <w:bCs/>
          <w:sz w:val="28"/>
          <w:lang w:val="fr-FR"/>
        </w:rPr>
        <w:br/>
      </w:r>
      <w:r w:rsidRPr="006A5ECB">
        <w:rPr>
          <w:b/>
          <w:bCs/>
          <w:sz w:val="28"/>
          <w:lang w:val="fr-FR"/>
        </w:rPr>
        <w:t>à un débit égal ou supérieur au débit primaire</w:t>
      </w:r>
    </w:p>
    <w:p w:rsidR="00B87F7F" w:rsidRPr="006A5ECB" w:rsidRDefault="00B87F7F" w:rsidP="00B87F7F">
      <w:pPr>
        <w:pStyle w:val="Reasons"/>
        <w:rPr>
          <w:lang w:val="fr-FR"/>
        </w:rPr>
      </w:pPr>
    </w:p>
    <w:p w:rsidR="003708BF" w:rsidRPr="006F38C7" w:rsidRDefault="00B87F7F" w:rsidP="00B516EA">
      <w:pPr>
        <w:spacing w:line="240" w:lineRule="auto"/>
        <w:jc w:val="center"/>
        <w:rPr>
          <w:lang w:val="fr-CH"/>
        </w:rPr>
      </w:pPr>
      <w:r w:rsidRPr="006A5ECB">
        <w:rPr>
          <w:lang w:val="fr-FR"/>
        </w:rPr>
        <w:t>______________</w:t>
      </w:r>
    </w:p>
    <w:sectPr w:rsidR="003708BF" w:rsidRP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13" w:rsidRDefault="008F5313">
      <w:r>
        <w:separator/>
      </w:r>
    </w:p>
  </w:endnote>
  <w:endnote w:type="continuationSeparator" w:id="0">
    <w:p w:rsidR="008F5313" w:rsidRDefault="008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13" w:rsidRDefault="008F5313">
      <w:r>
        <w:t>____________________</w:t>
      </w:r>
    </w:p>
  </w:footnote>
  <w:footnote w:type="continuationSeparator" w:id="0">
    <w:p w:rsidR="008F5313" w:rsidRDefault="008F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BA598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76262A" w:rsidTr="001026F2">
      <w:tc>
        <w:tcPr>
          <w:tcW w:w="4800" w:type="dxa"/>
          <w:noWrap/>
          <w:tcMar>
            <w:left w:w="0" w:type="dxa"/>
          </w:tcMar>
        </w:tcPr>
        <w:p w:rsidR="0076262A" w:rsidRDefault="0076262A" w:rsidP="0076262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CE0DE3C" wp14:editId="79BA77CA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76262A" w:rsidRDefault="0076262A" w:rsidP="0076262A">
          <w:pPr>
            <w:pStyle w:val="Header"/>
            <w:spacing w:before="240" w:line="360" w:lineRule="auto"/>
            <w:jc w:val="right"/>
          </w:pPr>
          <w:r w:rsidRPr="00B516EA">
            <w:rPr>
              <w:noProof/>
              <w:lang w:val="en-GB" w:eastAsia="zh-CN"/>
            </w:rPr>
            <w:drawing>
              <wp:inline distT="0" distB="0" distL="0" distR="0" wp14:anchorId="019271FA" wp14:editId="6A2B4561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62A" w:rsidRPr="00EA15B3" w:rsidRDefault="0076262A" w:rsidP="0076262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1B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511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0885"/>
    <w:rsid w:val="00345D38"/>
    <w:rsid w:val="003471C9"/>
    <w:rsid w:val="00350598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12A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6262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1529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8F5313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16EA"/>
    <w:rsid w:val="00B579B0"/>
    <w:rsid w:val="00B57D11"/>
    <w:rsid w:val="00B649D7"/>
    <w:rsid w:val="00B81C2F"/>
    <w:rsid w:val="00B87F7F"/>
    <w:rsid w:val="00B90743"/>
    <w:rsid w:val="00B90C45"/>
    <w:rsid w:val="00B933BE"/>
    <w:rsid w:val="00BA598F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8F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1A0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76262A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133FB474C744A31B1F0B5977D82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35A2-F2F0-4B1F-847E-A593C9FE1DC1}"/>
      </w:docPartPr>
      <w:docPartBody>
        <w:p w:rsidR="00053098" w:rsidRDefault="000C271F" w:rsidP="000C271F">
          <w:pPr>
            <w:pStyle w:val="F133FB474C744A31B1F0B5977D82566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053098"/>
    <w:rsid w:val="000C271F"/>
    <w:rsid w:val="0061301D"/>
    <w:rsid w:val="00B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71F"/>
    <w:rPr>
      <w:color w:val="808080"/>
    </w:rPr>
  </w:style>
  <w:style w:type="paragraph" w:customStyle="1" w:styleId="CBFF88FF3F5E43DA8AB7D8A295CDC0F3">
    <w:name w:val="CBFF88FF3F5E43DA8AB7D8A295CDC0F3"/>
  </w:style>
  <w:style w:type="paragraph" w:customStyle="1" w:styleId="F133FB474C744A31B1F0B5977D825666">
    <w:name w:val="F133FB474C744A31B1F0B5977D825666"/>
    <w:rsid w:val="000C271F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D498-7948-4141-B586-BEBC0C41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11</TotalTime>
  <Pages>2</Pages>
  <Words>376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Song, Xiaojing</cp:lastModifiedBy>
  <cp:revision>11</cp:revision>
  <cp:lastPrinted>2013-03-08T10:15:00Z</cp:lastPrinted>
  <dcterms:created xsi:type="dcterms:W3CDTF">2019-09-24T12:39:00Z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