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53067D4B" w14:textId="77777777" w:rsidTr="0029677E">
        <w:tc>
          <w:tcPr>
            <w:tcW w:w="5000" w:type="pct"/>
            <w:gridSpan w:val="3"/>
            <w:shd w:val="clear" w:color="auto" w:fill="auto"/>
          </w:tcPr>
          <w:p w14:paraId="779AAEB4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042D258E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7C8E76A0" w14:textId="77777777" w:rsidTr="0029677E">
        <w:tc>
          <w:tcPr>
            <w:tcW w:w="2707" w:type="pct"/>
            <w:gridSpan w:val="2"/>
            <w:shd w:val="clear" w:color="auto" w:fill="auto"/>
          </w:tcPr>
          <w:p w14:paraId="3B0195BD" w14:textId="627123A6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F31D3C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46DA584A" w14:textId="3E12099B"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F31D3C">
              <w:rPr>
                <w:rFonts w:eastAsiaTheme="minorEastAsia"/>
                <w:b/>
                <w:bCs/>
                <w:lang w:eastAsia="zh-CN" w:bidi="ar-SY"/>
              </w:rPr>
              <w:t>938</w:t>
            </w:r>
          </w:p>
        </w:tc>
        <w:tc>
          <w:tcPr>
            <w:tcW w:w="2293" w:type="pct"/>
            <w:shd w:val="clear" w:color="auto" w:fill="auto"/>
          </w:tcPr>
          <w:p w14:paraId="4179E68D" w14:textId="611BE1E4" w:rsidR="00AF70F6" w:rsidRPr="00AF70F6" w:rsidRDefault="00051898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3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9C6FC3">
              <w:rPr>
                <w:rFonts w:eastAsiaTheme="minorEastAsia" w:hint="cs"/>
                <w:rtl/>
                <w:lang w:eastAsia="zh-CN" w:bidi="ar-EG"/>
              </w:rPr>
              <w:t>ديسمبر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78353955" w14:textId="77777777" w:rsidTr="0029677E">
        <w:tc>
          <w:tcPr>
            <w:tcW w:w="5000" w:type="pct"/>
            <w:gridSpan w:val="3"/>
            <w:shd w:val="clear" w:color="auto" w:fill="auto"/>
          </w:tcPr>
          <w:p w14:paraId="0069DC4D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7548BE5F" w14:textId="77777777" w:rsidTr="0029677E">
        <w:tc>
          <w:tcPr>
            <w:tcW w:w="5000" w:type="pct"/>
            <w:gridSpan w:val="3"/>
            <w:shd w:val="clear" w:color="auto" w:fill="auto"/>
          </w:tcPr>
          <w:p w14:paraId="2CE55709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F31D3C" w:rsidRPr="00AF70F6" w14:paraId="094A2FD3" w14:textId="77777777" w:rsidTr="0029677E">
        <w:tc>
          <w:tcPr>
            <w:tcW w:w="5000" w:type="pct"/>
            <w:gridSpan w:val="3"/>
            <w:shd w:val="clear" w:color="auto" w:fill="auto"/>
          </w:tcPr>
          <w:p w14:paraId="02BC3502" w14:textId="1173A335" w:rsidR="00F31D3C" w:rsidRPr="00AF70F6" w:rsidRDefault="00F31D3C" w:rsidP="00F31D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3536BD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Pr="003536BD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3536BD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3536BD">
              <w:rPr>
                <w:rFonts w:hint="cs"/>
                <w:b/>
                <w:bCs/>
                <w:w w:val="115"/>
                <w:rtl/>
              </w:rPr>
              <w:t xml:space="preserve"> والمنتسبين</w:t>
            </w:r>
            <w:r w:rsidRPr="003536BD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fr-CH" w:bidi="ar-EG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2D414310" w14:textId="77777777" w:rsidTr="001D222D">
        <w:tc>
          <w:tcPr>
            <w:tcW w:w="5000" w:type="pct"/>
            <w:gridSpan w:val="3"/>
            <w:shd w:val="clear" w:color="auto" w:fill="auto"/>
          </w:tcPr>
          <w:p w14:paraId="7E195791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65992387" w14:textId="77777777" w:rsidTr="001D222D">
        <w:tc>
          <w:tcPr>
            <w:tcW w:w="5000" w:type="pct"/>
            <w:gridSpan w:val="3"/>
            <w:shd w:val="clear" w:color="auto" w:fill="auto"/>
          </w:tcPr>
          <w:p w14:paraId="3BB68F02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298DDECE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3EF4F026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FBA89A2" w14:textId="08614C40" w:rsidR="00F31D3C" w:rsidRPr="008D3F8E" w:rsidRDefault="00F31D3C" w:rsidP="00F31D3C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Pr="00F31D3C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2FCB6928" w14:textId="46386AD8" w:rsidR="00AF70F6" w:rsidRPr="00F31D3C" w:rsidRDefault="00F31D3C" w:rsidP="00F31D3C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الموافقة على مراجعة </w:t>
            </w:r>
            <w:r>
              <w:rPr>
                <w:b/>
                <w:bCs/>
                <w:lang w:bidi="ar-EG"/>
              </w:rPr>
              <w:t>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14:paraId="0FCC7F2C" w14:textId="749D8F5D" w:rsidR="00F31D3C" w:rsidRDefault="00F31D3C" w:rsidP="00C16818">
      <w:pPr>
        <w:spacing w:before="840"/>
        <w:rPr>
          <w:rtl/>
          <w:lang w:bidi="ar-EG"/>
        </w:rPr>
      </w:pPr>
      <w:r w:rsidRPr="00320B39">
        <w:rPr>
          <w:rFonts w:hint="cs"/>
          <w:rtl/>
        </w:rPr>
        <w:t>ت</w:t>
      </w:r>
      <w:r>
        <w:rPr>
          <w:rFonts w:hint="cs"/>
          <w:rtl/>
        </w:rPr>
        <w:t>م</w:t>
      </w:r>
      <w:r w:rsidRPr="00320B39">
        <w:rPr>
          <w:rFonts w:hint="cs"/>
          <w:rtl/>
        </w:rPr>
        <w:t xml:space="preserve"> </w:t>
      </w:r>
      <w:r w:rsidRPr="00320B39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وجب</w:t>
      </w:r>
      <w:r w:rsidRPr="00320B39">
        <w:rPr>
          <w:rtl/>
          <w:lang w:bidi="ar-EG"/>
        </w:rPr>
        <w:t xml:space="preserve"> </w:t>
      </w:r>
      <w:r w:rsidRPr="00320B39">
        <w:rPr>
          <w:rFonts w:hint="cs"/>
          <w:rtl/>
          <w:lang w:bidi="ar-EG"/>
        </w:rPr>
        <w:t>الرسالة</w:t>
      </w:r>
      <w:r w:rsidRPr="00320B39">
        <w:rPr>
          <w:rtl/>
          <w:lang w:bidi="ar-EG"/>
        </w:rPr>
        <w:t xml:space="preserve"> الإدارية</w:t>
      </w:r>
      <w:r w:rsidRPr="00320B39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عممة</w:t>
      </w:r>
      <w:r w:rsidRPr="00320B39">
        <w:rPr>
          <w:rtl/>
          <w:lang w:bidi="ar-EG"/>
        </w:rPr>
        <w:t xml:space="preserve"> </w:t>
      </w:r>
      <w:r w:rsidRPr="00320B39">
        <w:t>CACE/</w:t>
      </w:r>
      <w:r>
        <w:t>926</w:t>
      </w:r>
      <w:r w:rsidRPr="00320B39">
        <w:rPr>
          <w:rtl/>
          <w:lang w:bidi="ar-EG"/>
        </w:rPr>
        <w:t xml:space="preserve"> </w:t>
      </w:r>
      <w:r w:rsidRPr="00320B39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ؤرخة</w:t>
      </w:r>
      <w:r w:rsidRPr="00320B39">
        <w:rPr>
          <w:rtl/>
          <w:lang w:bidi="ar-EG"/>
        </w:rPr>
        <w:t xml:space="preserve"> </w:t>
      </w:r>
      <w:r>
        <w:rPr>
          <w:lang w:bidi="ar-EG"/>
        </w:rPr>
        <w:t>19</w:t>
      </w:r>
      <w:r w:rsidRPr="00320B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سبتمبر</w:t>
      </w:r>
      <w:r w:rsidRPr="00320B39">
        <w:rPr>
          <w:rFonts w:hint="cs"/>
          <w:rtl/>
          <w:lang w:bidi="ar-EG"/>
        </w:rPr>
        <w:t xml:space="preserve"> </w:t>
      </w:r>
      <w:r>
        <w:t>2019</w:t>
      </w:r>
      <w:r w:rsidRPr="00320B39">
        <w:rPr>
          <w:rtl/>
          <w:lang w:bidi="ar-EG"/>
        </w:rPr>
        <w:t xml:space="preserve">، </w:t>
      </w:r>
      <w:r w:rsidRPr="00320B39">
        <w:rPr>
          <w:rFonts w:hint="cs"/>
          <w:rtl/>
          <w:lang w:bidi="ar-EG"/>
        </w:rPr>
        <w:t>تقدي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 xml:space="preserve"> مشاريع مراجعة</w:t>
      </w:r>
      <w:r>
        <w:rPr>
          <w:rFonts w:hint="eastAsia"/>
          <w:rtl/>
          <w:lang w:bidi="ar-EG"/>
        </w:rPr>
        <w:t> </w:t>
      </w:r>
      <w:r>
        <w:t>6</w:t>
      </w:r>
      <w:r w:rsidRPr="00320B39">
        <w:rPr>
          <w:rFonts w:hint="cs"/>
          <w:rtl/>
          <w:lang w:bidi="ar-SY"/>
        </w:rPr>
        <w:t xml:space="preserve"> توصيات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320B39">
        <w:rPr>
          <w:rtl/>
          <w:lang w:bidi="ar-EG"/>
        </w:rPr>
        <w:t>للموافقة عليه</w:t>
      </w:r>
      <w:r w:rsidRPr="00320B39">
        <w:rPr>
          <w:rFonts w:hint="cs"/>
          <w:rtl/>
          <w:lang w:bidi="ar-EG"/>
        </w:rPr>
        <w:t>ا</w:t>
      </w:r>
      <w:r w:rsidRPr="00320B39">
        <w:rPr>
          <w:rtl/>
          <w:lang w:bidi="ar-EG"/>
        </w:rPr>
        <w:t xml:space="preserve"> </w:t>
      </w:r>
      <w:r w:rsidRPr="00320B39">
        <w:rPr>
          <w:rFonts w:hint="cs"/>
          <w:rtl/>
        </w:rPr>
        <w:t>باتباع الإجراء ال</w:t>
      </w:r>
      <w:r>
        <w:rPr>
          <w:rFonts w:hint="cs"/>
          <w:rtl/>
        </w:rPr>
        <w:t>م</w:t>
      </w:r>
      <w:r w:rsidRPr="00320B39">
        <w:rPr>
          <w:rFonts w:hint="cs"/>
          <w:rtl/>
        </w:rPr>
        <w:t>نصوص عليه في القرار</w:t>
      </w:r>
      <w:r w:rsidRPr="00320B39">
        <w:rPr>
          <w:rFonts w:hint="eastAsia"/>
          <w:rtl/>
        </w:rPr>
        <w:t> </w:t>
      </w:r>
      <w:r w:rsidRPr="00320B39">
        <w:t>ITU</w:t>
      </w:r>
      <w:r w:rsidRPr="00320B39">
        <w:noBreakHyphen/>
        <w:t>R 1</w:t>
      </w:r>
      <w:r w:rsidRPr="00320B39">
        <w:noBreakHyphen/>
      </w:r>
      <w:r>
        <w:t>8</w:t>
      </w:r>
      <w:r w:rsidRPr="00320B39">
        <w:rPr>
          <w:rFonts w:hint="cs"/>
          <w:rtl/>
        </w:rPr>
        <w:t xml:space="preserve"> (الفقرة</w:t>
      </w:r>
      <w:r w:rsidRPr="00320B39">
        <w:rPr>
          <w:rFonts w:hint="eastAsia"/>
          <w:rtl/>
        </w:rPr>
        <w:t> </w:t>
      </w:r>
      <w:r>
        <w:t>3.2.6.A2</w:t>
      </w:r>
      <w:r w:rsidRPr="00320B39">
        <w:rPr>
          <w:rFonts w:hint="cs"/>
          <w:rtl/>
          <w:lang w:bidi="ar-EG"/>
        </w:rPr>
        <w:t>).</w:t>
      </w:r>
    </w:p>
    <w:p w14:paraId="33376578" w14:textId="31896108" w:rsidR="00F31D3C" w:rsidRDefault="00F31D3C" w:rsidP="00F31D3C">
      <w:pPr>
        <w:rPr>
          <w:rtl/>
        </w:rPr>
      </w:pPr>
      <w:r w:rsidRPr="00320B39">
        <w:rPr>
          <w:rFonts w:hint="cs"/>
          <w:rtl/>
        </w:rPr>
        <w:t>وقد ت</w:t>
      </w:r>
      <w:r>
        <w:rPr>
          <w:rFonts w:hint="cs"/>
          <w:rtl/>
        </w:rPr>
        <w:t>ح</w:t>
      </w:r>
      <w:r w:rsidRPr="00320B39">
        <w:rPr>
          <w:rFonts w:hint="cs"/>
          <w:rtl/>
        </w:rPr>
        <w:t>ققت الشروط التي ت</w:t>
      </w:r>
      <w:r>
        <w:rPr>
          <w:rFonts w:hint="cs"/>
          <w:rtl/>
        </w:rPr>
        <w:t>ح</w:t>
      </w:r>
      <w:r w:rsidRPr="00320B39">
        <w:rPr>
          <w:rFonts w:hint="cs"/>
          <w:rtl/>
        </w:rPr>
        <w:t>كم هذا الإجراء في</w:t>
      </w:r>
      <w:r w:rsidRPr="00320B39">
        <w:rPr>
          <w:rFonts w:hint="eastAsia"/>
          <w:rtl/>
        </w:rPr>
        <w:t> </w:t>
      </w:r>
      <w:r>
        <w:t>19</w:t>
      </w:r>
      <w:r w:rsidRPr="00320B39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نوفمبر</w:t>
      </w:r>
      <w:r w:rsidRPr="00320B39">
        <w:rPr>
          <w:rFonts w:hint="cs"/>
          <w:rtl/>
        </w:rPr>
        <w:t xml:space="preserve"> </w:t>
      </w:r>
      <w:r>
        <w:t>2019</w:t>
      </w:r>
      <w:r w:rsidRPr="00320B39">
        <w:rPr>
          <w:rFonts w:hint="cs"/>
          <w:rtl/>
        </w:rPr>
        <w:t>.</w:t>
      </w:r>
    </w:p>
    <w:p w14:paraId="6F3C860E" w14:textId="0EA4A0DE" w:rsidR="00F31D3C" w:rsidRDefault="00F31D3C" w:rsidP="003849E1">
      <w:pPr>
        <w:rPr>
          <w:rtl/>
        </w:rPr>
      </w:pPr>
      <w:r w:rsidRPr="00320B39">
        <w:rPr>
          <w:rFonts w:hint="cs"/>
          <w:rtl/>
        </w:rPr>
        <w:t>وسينشر الات</w:t>
      </w:r>
      <w:r>
        <w:rPr>
          <w:rFonts w:hint="cs"/>
          <w:rtl/>
        </w:rPr>
        <w:t>ح</w:t>
      </w:r>
      <w:r w:rsidRPr="00320B39">
        <w:rPr>
          <w:rFonts w:hint="cs"/>
          <w:rtl/>
        </w:rPr>
        <w:t>اد التوصيات ال</w:t>
      </w:r>
      <w:r>
        <w:rPr>
          <w:rFonts w:hint="cs"/>
          <w:rtl/>
        </w:rPr>
        <w:t>م</w:t>
      </w:r>
      <w:r w:rsidRPr="00320B39">
        <w:rPr>
          <w:rFonts w:hint="cs"/>
          <w:rtl/>
        </w:rPr>
        <w:t>واف</w:t>
      </w:r>
      <w:r>
        <w:rPr>
          <w:rFonts w:hint="cs"/>
          <w:rtl/>
        </w:rPr>
        <w:t>َ</w:t>
      </w:r>
      <w:r w:rsidRPr="00320B39">
        <w:rPr>
          <w:rFonts w:hint="cs"/>
          <w:rtl/>
        </w:rPr>
        <w:t xml:space="preserve">ق عليها، ويتضمن </w:t>
      </w:r>
      <w:r>
        <w:rPr>
          <w:rFonts w:hint="cs"/>
          <w:rtl/>
        </w:rPr>
        <w:t>الملحق</w:t>
      </w:r>
      <w:r>
        <w:t xml:space="preserve"> </w:t>
      </w:r>
      <w:r w:rsidRPr="00320B39">
        <w:rPr>
          <w:rFonts w:hint="cs"/>
          <w:rtl/>
        </w:rPr>
        <w:t>بهذه الرسالة</w:t>
      </w:r>
      <w:r w:rsidRPr="00320B39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عممة عناوين التوصيات والأرقام ال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خصصة</w:t>
      </w:r>
      <w:r w:rsidRPr="00320B39">
        <w:rPr>
          <w:rFonts w:hint="eastAsia"/>
          <w:rtl/>
        </w:rPr>
        <w:t> </w:t>
      </w:r>
      <w:r w:rsidRPr="00320B39">
        <w:rPr>
          <w:rFonts w:hint="cs"/>
          <w:rtl/>
        </w:rPr>
        <w:t>لها</w:t>
      </w:r>
      <w:r>
        <w:rPr>
          <w:rFonts w:hint="cs"/>
          <w:rtl/>
        </w:rPr>
        <w:t>.</w:t>
      </w:r>
    </w:p>
    <w:p w14:paraId="7FEFC2A4" w14:textId="77777777" w:rsidR="00F31D3C" w:rsidRDefault="00F31D3C" w:rsidP="00F31D3C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2C0AFBA6" w14:textId="71F836BB" w:rsidR="00F31D3C" w:rsidRDefault="003849E1" w:rsidP="00F31D3C">
      <w:pPr>
        <w:spacing w:before="1440"/>
        <w:jc w:val="left"/>
        <w:rPr>
          <w:rtl/>
        </w:rPr>
      </w:pPr>
      <w:r w:rsidRPr="003849E1">
        <w:rPr>
          <w:rtl/>
        </w:rPr>
        <w:t>ماريو مانيفيتش</w:t>
      </w:r>
      <w:r w:rsidR="00F31D3C">
        <w:rPr>
          <w:rtl/>
        </w:rPr>
        <w:br/>
      </w:r>
      <w:r w:rsidR="00F31D3C">
        <w:rPr>
          <w:rFonts w:hint="cs"/>
          <w:rtl/>
        </w:rPr>
        <w:t>المدير</w:t>
      </w:r>
    </w:p>
    <w:p w14:paraId="3C64E2B3" w14:textId="15B1C3A2" w:rsidR="00F31D3C" w:rsidRDefault="00F31D3C" w:rsidP="003849E1">
      <w:pPr>
        <w:spacing w:before="600"/>
        <w:jc w:val="left"/>
        <w:rPr>
          <w:rtl/>
          <w:lang w:bidi="ar-EG"/>
        </w:rPr>
      </w:pPr>
      <w:r w:rsidRPr="00985E16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 w:rsidR="003849E1">
        <w:t>1</w:t>
      </w:r>
    </w:p>
    <w:p w14:paraId="0559CD3D" w14:textId="77777777" w:rsidR="00F31D3C" w:rsidRPr="00E45690" w:rsidRDefault="00F31D3C" w:rsidP="003849E1">
      <w:pPr>
        <w:tabs>
          <w:tab w:val="left" w:pos="283"/>
        </w:tabs>
        <w:spacing w:before="4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14:paraId="61235953" w14:textId="3A9FCD7C" w:rsidR="00F31D3C" w:rsidRPr="00482D2D" w:rsidRDefault="00F31D3C" w:rsidP="00F31D3C">
      <w:pPr>
        <w:tabs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إدارات الدول الأعضاء</w:t>
      </w:r>
      <w:r>
        <w:rPr>
          <w:rFonts w:hint="cs"/>
          <w:sz w:val="16"/>
          <w:szCs w:val="22"/>
          <w:rtl/>
        </w:rPr>
        <w:t xml:space="preserve"> في الاتحاد</w:t>
      </w:r>
      <w:r w:rsidRPr="00482D2D">
        <w:rPr>
          <w:rFonts w:hint="cs"/>
          <w:sz w:val="16"/>
          <w:szCs w:val="22"/>
          <w:rtl/>
        </w:rPr>
        <w:t xml:space="preserve"> وأعضاء قطاع الاتصالات الراديوية</w:t>
      </w:r>
      <w:r>
        <w:rPr>
          <w:rFonts w:hint="cs"/>
          <w:sz w:val="16"/>
          <w:szCs w:val="22"/>
          <w:rtl/>
        </w:rPr>
        <w:t xml:space="preserve"> </w:t>
      </w:r>
      <w:r>
        <w:rPr>
          <w:rFonts w:hint="cs"/>
          <w:noProof/>
          <w:sz w:val="16"/>
          <w:szCs w:val="22"/>
          <w:rtl/>
        </w:rPr>
        <w:t xml:space="preserve">ال‍مشاركون في أعمال ل‍جنة الدراسات </w:t>
      </w:r>
      <w:r w:rsidR="003849E1">
        <w:rPr>
          <w:noProof/>
          <w:sz w:val="16"/>
          <w:szCs w:val="22"/>
        </w:rPr>
        <w:t>5</w:t>
      </w:r>
      <w:r>
        <w:rPr>
          <w:rFonts w:hint="cs"/>
          <w:noProof/>
          <w:sz w:val="16"/>
          <w:szCs w:val="22"/>
          <w:rtl/>
          <w:lang w:bidi="ar-EG"/>
        </w:rPr>
        <w:t xml:space="preserve"> </w:t>
      </w:r>
      <w:r>
        <w:rPr>
          <w:rFonts w:hint="cs"/>
          <w:noProof/>
          <w:sz w:val="16"/>
          <w:szCs w:val="22"/>
          <w:rtl/>
        </w:rPr>
        <w:t>للاتصالات الراديوية</w:t>
      </w:r>
    </w:p>
    <w:p w14:paraId="2426BFE3" w14:textId="14CD207E" w:rsidR="00F31D3C" w:rsidRDefault="00F31D3C" w:rsidP="00F31D3C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ال</w:t>
      </w:r>
      <w:r>
        <w:rPr>
          <w:rFonts w:hint="cs"/>
          <w:sz w:val="16"/>
          <w:szCs w:val="22"/>
          <w:rtl/>
        </w:rPr>
        <w:t>م</w:t>
      </w:r>
      <w:r w:rsidRPr="00482D2D">
        <w:rPr>
          <w:rFonts w:hint="cs"/>
          <w:sz w:val="16"/>
          <w:szCs w:val="22"/>
          <w:rtl/>
        </w:rPr>
        <w:t xml:space="preserve">نتسبون </w:t>
      </w:r>
      <w:r>
        <w:rPr>
          <w:rFonts w:hint="cs"/>
          <w:sz w:val="16"/>
          <w:szCs w:val="22"/>
          <w:rtl/>
        </w:rPr>
        <w:t xml:space="preserve">إلى </w:t>
      </w:r>
      <w:r w:rsidRPr="00482D2D">
        <w:rPr>
          <w:rFonts w:hint="cs"/>
          <w:sz w:val="16"/>
          <w:szCs w:val="22"/>
          <w:rtl/>
        </w:rPr>
        <w:t>قطاع الاتصالات الراديوية ال</w:t>
      </w:r>
      <w:r>
        <w:rPr>
          <w:rFonts w:hint="cs"/>
          <w:sz w:val="16"/>
          <w:szCs w:val="22"/>
          <w:rtl/>
        </w:rPr>
        <w:t>م</w:t>
      </w:r>
      <w:r w:rsidRPr="00482D2D">
        <w:rPr>
          <w:rFonts w:hint="cs"/>
          <w:sz w:val="16"/>
          <w:szCs w:val="22"/>
          <w:rtl/>
        </w:rPr>
        <w:t>شاركون في أعمال ل</w:t>
      </w:r>
      <w:r>
        <w:rPr>
          <w:rFonts w:hint="cs"/>
          <w:sz w:val="16"/>
          <w:szCs w:val="22"/>
          <w:rtl/>
        </w:rPr>
        <w:t>ج</w:t>
      </w:r>
      <w:r w:rsidRPr="00482D2D">
        <w:rPr>
          <w:rFonts w:hint="cs"/>
          <w:sz w:val="16"/>
          <w:szCs w:val="22"/>
          <w:rtl/>
        </w:rPr>
        <w:t xml:space="preserve">نة الدراسات </w:t>
      </w:r>
      <w:r w:rsidR="003849E1">
        <w:rPr>
          <w:sz w:val="16"/>
          <w:szCs w:val="22"/>
        </w:rPr>
        <w:t>5</w:t>
      </w:r>
      <w:r w:rsidRPr="00482D2D">
        <w:rPr>
          <w:rFonts w:hint="cs"/>
          <w:sz w:val="16"/>
          <w:szCs w:val="22"/>
          <w:rtl/>
        </w:rPr>
        <w:t xml:space="preserve"> للاتصالات الراديوية</w:t>
      </w:r>
    </w:p>
    <w:p w14:paraId="7D9C2F2B" w14:textId="77777777" w:rsidR="00F31D3C" w:rsidRDefault="00F31D3C" w:rsidP="00F31D3C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>
        <w:rPr>
          <w:rFonts w:hint="cs"/>
          <w:noProof/>
          <w:sz w:val="16"/>
          <w:szCs w:val="22"/>
          <w:rtl/>
        </w:rPr>
        <w:t>الهيئات الأكادي‍مية ال‍منضمة إلى الات‍حاد</w:t>
      </w:r>
    </w:p>
    <w:p w14:paraId="6BCA7E4D" w14:textId="5FA695CC" w:rsidR="00F31D3C" w:rsidRPr="00482D2D" w:rsidRDefault="00F31D3C" w:rsidP="00F31D3C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رؤساء </w:t>
      </w:r>
      <w:r>
        <w:rPr>
          <w:rFonts w:hint="cs"/>
          <w:sz w:val="16"/>
          <w:szCs w:val="22"/>
          <w:rtl/>
          <w:lang w:val="en-GB" w:bidi="ar-EG"/>
        </w:rPr>
        <w:t>لجان</w:t>
      </w:r>
      <w:r w:rsidRPr="00482D2D">
        <w:rPr>
          <w:rFonts w:hint="cs"/>
          <w:sz w:val="16"/>
          <w:szCs w:val="22"/>
          <w:rtl/>
        </w:rPr>
        <w:t xml:space="preserve"> دراسات الاتصالات الراديوية</w:t>
      </w:r>
      <w:r w:rsidR="00BF1ABB">
        <w:rPr>
          <w:rFonts w:hint="cs"/>
          <w:sz w:val="16"/>
          <w:szCs w:val="22"/>
          <w:rtl/>
        </w:rPr>
        <w:t xml:space="preserve"> ونوابهم</w:t>
      </w:r>
    </w:p>
    <w:p w14:paraId="525C4F93" w14:textId="5C349E17" w:rsidR="00F31D3C" w:rsidRPr="00482D2D" w:rsidRDefault="00F31D3C" w:rsidP="00F31D3C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م</w:t>
      </w:r>
      <w:r w:rsidRPr="00482D2D">
        <w:rPr>
          <w:rFonts w:hint="cs"/>
          <w:sz w:val="16"/>
          <w:szCs w:val="22"/>
          <w:rtl/>
        </w:rPr>
        <w:t>ر</w:t>
      </w:r>
      <w:r>
        <w:rPr>
          <w:rFonts w:hint="cs"/>
          <w:sz w:val="16"/>
          <w:szCs w:val="22"/>
          <w:rtl/>
        </w:rPr>
        <w:t xml:space="preserve"> ونوابه</w:t>
      </w:r>
    </w:p>
    <w:p w14:paraId="3A65A121" w14:textId="09F722F8" w:rsidR="00F31D3C" w:rsidRPr="00482D2D" w:rsidRDefault="00F31D3C" w:rsidP="00F31D3C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ج</w:t>
      </w:r>
      <w:r w:rsidRPr="00482D2D">
        <w:rPr>
          <w:rFonts w:hint="cs"/>
          <w:sz w:val="16"/>
          <w:szCs w:val="22"/>
          <w:rtl/>
        </w:rPr>
        <w:t>نة لوائح الراديو</w:t>
      </w:r>
    </w:p>
    <w:p w14:paraId="1598DCC0" w14:textId="2F7195FD" w:rsidR="00F31D3C" w:rsidRDefault="00F31D3C" w:rsidP="003849E1">
      <w:pPr>
        <w:tabs>
          <w:tab w:val="left" w:pos="425"/>
        </w:tabs>
        <w:spacing w:before="0" w:line="168" w:lineRule="auto"/>
        <w:rPr>
          <w:rtl/>
          <w:lang w:bidi="ar-EG"/>
        </w:rPr>
      </w:pPr>
      <w:r w:rsidRPr="003849E1">
        <w:rPr>
          <w:rFonts w:hint="cs"/>
          <w:sz w:val="16"/>
          <w:szCs w:val="22"/>
          <w:rtl/>
        </w:rPr>
        <w:t>-</w:t>
      </w:r>
      <w:r w:rsidRPr="003849E1">
        <w:rPr>
          <w:rFonts w:hint="cs"/>
          <w:sz w:val="16"/>
          <w:szCs w:val="22"/>
          <w:rtl/>
        </w:rPr>
        <w:tab/>
        <w:t>الأمين العام للاتحاد ومدير مكتب تقييس الاتصالات ومدير</w:t>
      </w:r>
      <w:r w:rsidR="003849E1" w:rsidRPr="003849E1">
        <w:rPr>
          <w:rFonts w:hint="cs"/>
          <w:sz w:val="16"/>
          <w:szCs w:val="22"/>
          <w:rtl/>
          <w:lang w:bidi="ar-EG"/>
        </w:rPr>
        <w:t>ة</w:t>
      </w:r>
      <w:r w:rsidRPr="003849E1">
        <w:rPr>
          <w:rFonts w:hint="cs"/>
          <w:sz w:val="16"/>
          <w:szCs w:val="22"/>
          <w:rtl/>
        </w:rPr>
        <w:t xml:space="preserve"> مكتب تنمية الاتصالات</w:t>
      </w:r>
      <w:r>
        <w:rPr>
          <w:rtl/>
        </w:rPr>
        <w:br w:type="page"/>
      </w:r>
    </w:p>
    <w:p w14:paraId="245973B0" w14:textId="6820BBC1" w:rsidR="00F31D3C" w:rsidRPr="00266E7D" w:rsidRDefault="00F31D3C" w:rsidP="00F31D3C">
      <w:pPr>
        <w:pStyle w:val="AnnexNo0"/>
        <w:rPr>
          <w:rtl/>
        </w:rPr>
      </w:pPr>
      <w:r w:rsidRPr="00266E7D">
        <w:rPr>
          <w:rFonts w:hint="cs"/>
          <w:rtl/>
        </w:rPr>
        <w:lastRenderedPageBreak/>
        <w:t>ال</w:t>
      </w:r>
      <w:r>
        <w:rPr>
          <w:rFonts w:hint="cs"/>
          <w:rtl/>
        </w:rPr>
        <w:t>م</w:t>
      </w:r>
      <w:r w:rsidRPr="00266E7D">
        <w:rPr>
          <w:rFonts w:hint="cs"/>
          <w:rtl/>
        </w:rPr>
        <w:t>لحق</w:t>
      </w:r>
    </w:p>
    <w:p w14:paraId="16B7FAC9" w14:textId="77777777" w:rsidR="00F31D3C" w:rsidRPr="00266E7D" w:rsidRDefault="00F31D3C" w:rsidP="00F31D3C">
      <w:pPr>
        <w:pStyle w:val="Annextitle0"/>
        <w:rPr>
          <w:rtl/>
        </w:rPr>
      </w:pPr>
      <w:r>
        <w:rPr>
          <w:rFonts w:hint="cs"/>
          <w:rtl/>
        </w:rPr>
        <w:t xml:space="preserve">عناوين </w:t>
      </w:r>
      <w:r w:rsidRPr="00266E7D">
        <w:rPr>
          <w:rFonts w:hint="cs"/>
          <w:rtl/>
        </w:rPr>
        <w:t>توصيات</w:t>
      </w:r>
      <w:r>
        <w:rPr>
          <w:rFonts w:hint="cs"/>
          <w:rtl/>
        </w:rPr>
        <w:t xml:space="preserve"> قطاع الاتصالات الراديوية</w:t>
      </w:r>
      <w:r w:rsidRPr="00266E7D">
        <w:rPr>
          <w:rFonts w:hint="cs"/>
          <w:rtl/>
        </w:rPr>
        <w:t xml:space="preserve"> الموافَق عليها</w:t>
      </w:r>
    </w:p>
    <w:p w14:paraId="64824E42" w14:textId="50227E88" w:rsidR="003849E1" w:rsidRPr="00AF70F6" w:rsidRDefault="003849E1" w:rsidP="003849E1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 M.2012-</w:t>
      </w:r>
      <w:r>
        <w:rPr>
          <w:rFonts w:eastAsiaTheme="minorEastAsia"/>
          <w:u w:val="single"/>
          <w:lang w:eastAsia="zh-CN"/>
        </w:rPr>
        <w:t>4</w:t>
      </w:r>
      <w:r w:rsidRPr="000F47F7">
        <w:rPr>
          <w:rFonts w:eastAsiaTheme="minorEastAsia"/>
          <w:rtl/>
          <w:lang w:eastAsia="zh-CN" w:bidi="ar-EG"/>
        </w:rPr>
        <w:tab/>
      </w:r>
      <w:r w:rsidRPr="000F47F7">
        <w:rPr>
          <w:rFonts w:eastAsiaTheme="minorEastAsia" w:hint="cs"/>
          <w:rtl/>
          <w:lang w:eastAsia="zh-CN" w:bidi="ar-EG"/>
        </w:rPr>
        <w:t xml:space="preserve">الوثيقة </w:t>
      </w:r>
      <w:r w:rsidRPr="000F47F7">
        <w:rPr>
          <w:rFonts w:eastAsiaTheme="minorEastAsia"/>
          <w:lang w:eastAsia="zh-CN" w:bidi="ar-EG"/>
        </w:rPr>
        <w:t>5/170(Rev.1)</w:t>
      </w:r>
    </w:p>
    <w:p w14:paraId="76011ADB" w14:textId="348BE71D" w:rsidR="003849E1" w:rsidRPr="00AF70F6" w:rsidRDefault="003849E1" w:rsidP="003849E1">
      <w:pPr>
        <w:pStyle w:val="Rectitle"/>
        <w:rPr>
          <w:rFonts w:eastAsiaTheme="minorEastAsia"/>
          <w:rtl/>
          <w:lang w:eastAsia="zh-CN" w:bidi="ar-SY"/>
        </w:rPr>
      </w:pPr>
      <w:r w:rsidRPr="0026322C">
        <w:rPr>
          <w:rFonts w:eastAsiaTheme="minorEastAsia" w:hint="cs"/>
          <w:rtl/>
          <w:lang w:eastAsia="zh-CN" w:bidi="ar-EG"/>
        </w:rPr>
        <w:t>المواصفات التفصيلية للسطوح البينية الراديوية للأرض</w:t>
      </w:r>
      <w:r w:rsidRPr="0026322C">
        <w:rPr>
          <w:rFonts w:eastAsiaTheme="minorEastAsia"/>
          <w:lang w:eastAsia="zh-CN" w:bidi="ar-SY"/>
        </w:rPr>
        <w:br/>
      </w:r>
      <w:r w:rsidRPr="0026322C">
        <w:rPr>
          <w:rFonts w:eastAsiaTheme="minorEastAsia" w:hint="cs"/>
          <w:rtl/>
          <w:lang w:eastAsia="zh-CN" w:bidi="ar-EG"/>
        </w:rPr>
        <w:t>للاتصالات المتنقلة الدولية</w:t>
      </w:r>
      <w:r w:rsidR="00C16818">
        <w:rPr>
          <w:rFonts w:eastAsiaTheme="minorEastAsia" w:hint="cs"/>
          <w:rtl/>
          <w:lang w:eastAsia="zh-CN" w:bidi="ar-SY"/>
        </w:rPr>
        <w:t>-</w:t>
      </w:r>
      <w:r w:rsidRPr="0026322C">
        <w:rPr>
          <w:rFonts w:eastAsiaTheme="minorEastAsia" w:hint="eastAsia"/>
          <w:rtl/>
          <w:lang w:eastAsia="zh-CN" w:bidi="ar-EG"/>
        </w:rPr>
        <w:t xml:space="preserve">المتقدمة </w:t>
      </w:r>
      <w:r w:rsidRPr="0026322C">
        <w:rPr>
          <w:rFonts w:eastAsiaTheme="minorEastAsia"/>
          <w:lang w:eastAsia="zh-CN" w:bidi="ar-SY"/>
        </w:rPr>
        <w:t>(IMT</w:t>
      </w:r>
      <w:r w:rsidR="00B46566">
        <w:rPr>
          <w:rFonts w:eastAsiaTheme="minorEastAsia"/>
          <w:lang w:eastAsia="zh-CN" w:bidi="ar-SY"/>
        </w:rPr>
        <w:t>-</w:t>
      </w:r>
      <w:r w:rsidRPr="0026322C">
        <w:rPr>
          <w:rFonts w:eastAsiaTheme="minorEastAsia"/>
          <w:lang w:eastAsia="zh-CN" w:bidi="ar-SY"/>
        </w:rPr>
        <w:t>Advanced)</w:t>
      </w:r>
    </w:p>
    <w:p w14:paraId="52F659BE" w14:textId="565D18FF" w:rsidR="003849E1" w:rsidRPr="00AF70F6" w:rsidRDefault="003849E1" w:rsidP="00C16818">
      <w:pPr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 M.1746-</w:t>
      </w:r>
      <w:r>
        <w:rPr>
          <w:rFonts w:eastAsiaTheme="minorEastAsia"/>
          <w:u w:val="single"/>
          <w:lang w:eastAsia="zh-CN"/>
        </w:rPr>
        <w:t>1</w:t>
      </w:r>
      <w:r w:rsidRPr="00A57A16">
        <w:rPr>
          <w:rFonts w:eastAsiaTheme="minorEastAsia"/>
          <w:rtl/>
          <w:lang w:eastAsia="zh-CN" w:bidi="ar-EG"/>
        </w:rPr>
        <w:tab/>
      </w:r>
      <w:r w:rsidRPr="00A57A16">
        <w:rPr>
          <w:rFonts w:eastAsiaTheme="minorEastAsia" w:hint="cs"/>
          <w:rtl/>
          <w:lang w:eastAsia="zh-CN" w:bidi="ar-EG"/>
        </w:rPr>
        <w:t xml:space="preserve">الوثيقة </w:t>
      </w:r>
      <w:r w:rsidRPr="00A57A16">
        <w:rPr>
          <w:rFonts w:eastAsiaTheme="minorEastAsia"/>
          <w:lang w:eastAsia="zh-CN" w:bidi="ar-EG"/>
        </w:rPr>
        <w:t>5/139</w:t>
      </w:r>
    </w:p>
    <w:p w14:paraId="4FDDA803" w14:textId="77777777" w:rsidR="003849E1" w:rsidRDefault="003849E1" w:rsidP="003849E1">
      <w:pPr>
        <w:pStyle w:val="Rectitle"/>
        <w:rPr>
          <w:rFonts w:eastAsiaTheme="minorEastAsia"/>
          <w:rtl/>
          <w:lang w:eastAsia="zh-CN" w:bidi="ar-EG"/>
        </w:rPr>
      </w:pPr>
      <w:r w:rsidRPr="003A07ED">
        <w:rPr>
          <w:rFonts w:eastAsiaTheme="minorEastAsia" w:hint="cs"/>
          <w:rtl/>
          <w:lang w:eastAsia="zh-CN" w:bidi="ar-EG"/>
        </w:rPr>
        <w:t xml:space="preserve">خطط قنوات التردد المنسقة من أجل حماية الممتلكات </w:t>
      </w:r>
      <w:r>
        <w:rPr>
          <w:rFonts w:eastAsiaTheme="minorEastAsia"/>
          <w:rtl/>
          <w:lang w:eastAsia="zh-CN" w:bidi="ar-EG"/>
        </w:rPr>
        <w:br/>
      </w:r>
      <w:r w:rsidRPr="003A07ED">
        <w:rPr>
          <w:rFonts w:eastAsiaTheme="minorEastAsia" w:hint="cs"/>
          <w:rtl/>
          <w:lang w:eastAsia="zh-CN" w:bidi="ar-EG"/>
        </w:rPr>
        <w:t>باستخدام اتصالات البيانات</w:t>
      </w:r>
    </w:p>
    <w:p w14:paraId="1B3B562D" w14:textId="4C94D690" w:rsidR="003849E1" w:rsidRPr="00AF70F6" w:rsidRDefault="003849E1" w:rsidP="00C16818">
      <w:pPr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 M.1826</w:t>
      </w:r>
      <w:r>
        <w:rPr>
          <w:rFonts w:eastAsiaTheme="minorEastAsia"/>
          <w:u w:val="single"/>
          <w:lang w:eastAsia="zh-CN"/>
        </w:rPr>
        <w:t>-1</w:t>
      </w:r>
      <w:r w:rsidRPr="001844C8">
        <w:rPr>
          <w:rFonts w:eastAsiaTheme="minorEastAsia"/>
          <w:rtl/>
          <w:lang w:eastAsia="zh-CN" w:bidi="ar-EG"/>
        </w:rPr>
        <w:tab/>
      </w:r>
      <w:r w:rsidRPr="001844C8">
        <w:rPr>
          <w:rFonts w:eastAsiaTheme="minorEastAsia" w:hint="cs"/>
          <w:rtl/>
          <w:lang w:eastAsia="zh-CN" w:bidi="ar-EG"/>
        </w:rPr>
        <w:t xml:space="preserve">الوثيقة </w:t>
      </w:r>
      <w:r w:rsidRPr="001844C8">
        <w:rPr>
          <w:rFonts w:eastAsiaTheme="minorEastAsia"/>
          <w:lang w:eastAsia="zh-CN" w:bidi="ar-EG"/>
        </w:rPr>
        <w:t>5/140(Rev.1)</w:t>
      </w:r>
    </w:p>
    <w:p w14:paraId="4E65CB52" w14:textId="77777777" w:rsidR="003849E1" w:rsidRDefault="003849E1" w:rsidP="003849E1">
      <w:pPr>
        <w:pStyle w:val="Rectitle"/>
        <w:rPr>
          <w:rFonts w:eastAsiaTheme="minorEastAsia"/>
          <w:rtl/>
          <w:lang w:eastAsia="zh-CN" w:bidi="ar-EG"/>
        </w:rPr>
      </w:pPr>
      <w:r w:rsidRPr="003A07ED">
        <w:rPr>
          <w:rFonts w:eastAsiaTheme="minorEastAsia"/>
          <w:rtl/>
          <w:lang w:eastAsia="zh-CN" w:bidi="ar-EG"/>
        </w:rPr>
        <w:t xml:space="preserve">خطة </w:t>
      </w:r>
      <w:r w:rsidRPr="003A07ED">
        <w:rPr>
          <w:rFonts w:eastAsiaTheme="minorEastAsia" w:hint="cs"/>
          <w:rtl/>
          <w:lang w:eastAsia="zh-CN" w:bidi="ar-EG"/>
        </w:rPr>
        <w:t>قنوات ال</w:t>
      </w:r>
      <w:r w:rsidRPr="003A07ED">
        <w:rPr>
          <w:rFonts w:eastAsiaTheme="minorEastAsia"/>
          <w:rtl/>
          <w:lang w:eastAsia="zh-CN" w:bidi="ar-EG"/>
        </w:rPr>
        <w:t xml:space="preserve">تردد </w:t>
      </w:r>
      <w:r w:rsidRPr="003A07ED">
        <w:rPr>
          <w:rFonts w:eastAsiaTheme="minorEastAsia" w:hint="cs"/>
          <w:rtl/>
          <w:lang w:eastAsia="zh-CN" w:bidi="ar-EG"/>
        </w:rPr>
        <w:t xml:space="preserve">المنسقة من أجل تطبيقات </w:t>
      </w:r>
      <w:r w:rsidRPr="003A07ED">
        <w:rPr>
          <w:rFonts w:eastAsiaTheme="minorEastAsia"/>
          <w:rtl/>
          <w:lang w:eastAsia="zh-CN" w:bidi="ar-EG"/>
        </w:rPr>
        <w:t>النطاق العريض</w:t>
      </w:r>
      <w:r>
        <w:rPr>
          <w:rFonts w:eastAsiaTheme="minorEastAsia"/>
          <w:rtl/>
          <w:lang w:eastAsia="zh-CN" w:bidi="ar-EG"/>
        </w:rPr>
        <w:br/>
      </w:r>
      <w:r w:rsidRPr="003A07ED">
        <w:rPr>
          <w:rFonts w:eastAsiaTheme="minorEastAsia"/>
          <w:rtl/>
          <w:lang w:eastAsia="zh-CN" w:bidi="ar-EG"/>
        </w:rPr>
        <w:t xml:space="preserve">لأغراض </w:t>
      </w:r>
      <w:r w:rsidRPr="003A07ED">
        <w:rPr>
          <w:rFonts w:eastAsiaTheme="minorEastAsia" w:hint="cs"/>
          <w:rtl/>
          <w:lang w:eastAsia="zh-CN" w:bidi="ar-EG"/>
        </w:rPr>
        <w:t xml:space="preserve">عمليات </w:t>
      </w:r>
      <w:r w:rsidRPr="003A07ED">
        <w:rPr>
          <w:rFonts w:eastAsiaTheme="minorEastAsia"/>
          <w:rtl/>
          <w:lang w:eastAsia="zh-CN" w:bidi="ar-EG"/>
        </w:rPr>
        <w:t xml:space="preserve">حماية </w:t>
      </w:r>
      <w:r w:rsidRPr="003A07ED">
        <w:rPr>
          <w:rFonts w:eastAsiaTheme="minorEastAsia" w:hint="cs"/>
          <w:rtl/>
          <w:lang w:eastAsia="zh-CN" w:bidi="ar-EG"/>
        </w:rPr>
        <w:t>الجمهور و</w:t>
      </w:r>
      <w:r w:rsidRPr="003A07ED">
        <w:rPr>
          <w:rFonts w:eastAsiaTheme="minorEastAsia"/>
          <w:rtl/>
          <w:lang w:eastAsia="zh-CN" w:bidi="ar-EG"/>
        </w:rPr>
        <w:t>الإغاثة في</w:t>
      </w:r>
      <w:r w:rsidRPr="003A07ED">
        <w:rPr>
          <w:rFonts w:eastAsiaTheme="minorEastAsia" w:hint="cs"/>
          <w:rtl/>
          <w:lang w:eastAsia="zh-CN" w:bidi="ar-EG"/>
        </w:rPr>
        <w:t> </w:t>
      </w:r>
      <w:r w:rsidRPr="003A07ED">
        <w:rPr>
          <w:rFonts w:eastAsiaTheme="minorEastAsia"/>
          <w:rtl/>
          <w:lang w:eastAsia="zh-CN" w:bidi="ar-EG"/>
        </w:rPr>
        <w:t>حالات الكوارث</w:t>
      </w:r>
      <w:r>
        <w:rPr>
          <w:rFonts w:eastAsiaTheme="minorEastAsia"/>
          <w:rtl/>
          <w:lang w:eastAsia="zh-CN" w:bidi="ar-EG"/>
        </w:rPr>
        <w:br/>
      </w:r>
      <w:r w:rsidRPr="003A07ED">
        <w:rPr>
          <w:rFonts w:eastAsiaTheme="minorEastAsia"/>
          <w:rtl/>
          <w:lang w:eastAsia="zh-CN" w:bidi="ar-EG"/>
        </w:rPr>
        <w:t>في</w:t>
      </w:r>
      <w:r w:rsidRPr="003A07ED">
        <w:rPr>
          <w:rFonts w:eastAsiaTheme="minorEastAsia" w:hint="cs"/>
          <w:rtl/>
          <w:lang w:eastAsia="zh-CN" w:bidi="ar-EG"/>
        </w:rPr>
        <w:t> </w:t>
      </w:r>
      <w:r w:rsidRPr="003A07ED">
        <w:rPr>
          <w:rFonts w:eastAsiaTheme="minorEastAsia"/>
          <w:rtl/>
          <w:lang w:eastAsia="zh-CN" w:bidi="ar-EG"/>
        </w:rPr>
        <w:t xml:space="preserve">النطاق </w:t>
      </w:r>
      <w:r w:rsidRPr="003A07ED">
        <w:rPr>
          <w:rFonts w:eastAsiaTheme="minorEastAsia"/>
          <w:lang w:eastAsia="zh-CN" w:bidi="ar-EG"/>
        </w:rPr>
        <w:t>MHz 4 990</w:t>
      </w:r>
      <w:r w:rsidRPr="003A07ED">
        <w:rPr>
          <w:rFonts w:eastAsiaTheme="minorEastAsia"/>
          <w:lang w:eastAsia="zh-CN" w:bidi="ar-EG"/>
        </w:rPr>
        <w:noBreakHyphen/>
        <w:t>4 940</w:t>
      </w:r>
      <w:r w:rsidRPr="003A07ED">
        <w:rPr>
          <w:rFonts w:eastAsiaTheme="minorEastAsia"/>
          <w:rtl/>
          <w:lang w:eastAsia="zh-CN" w:bidi="ar-EG"/>
        </w:rPr>
        <w:t xml:space="preserve"> في الإقليمين</w:t>
      </w:r>
      <w:r w:rsidRPr="003A07ED">
        <w:rPr>
          <w:rFonts w:eastAsiaTheme="minorEastAsia" w:hint="eastAsia"/>
          <w:rtl/>
          <w:lang w:eastAsia="zh-CN" w:bidi="ar-EG"/>
        </w:rPr>
        <w:t> </w:t>
      </w:r>
      <w:r w:rsidRPr="003A07ED">
        <w:rPr>
          <w:rFonts w:eastAsiaTheme="minorEastAsia"/>
          <w:lang w:eastAsia="zh-CN" w:bidi="ar-EG"/>
        </w:rPr>
        <w:t>2</w:t>
      </w:r>
      <w:r w:rsidRPr="003A07ED">
        <w:rPr>
          <w:rFonts w:eastAsiaTheme="minorEastAsia" w:hint="eastAsia"/>
          <w:rtl/>
          <w:lang w:eastAsia="zh-CN" w:bidi="ar-EG"/>
        </w:rPr>
        <w:t> </w:t>
      </w:r>
      <w:r w:rsidRPr="003A07ED">
        <w:rPr>
          <w:rFonts w:eastAsiaTheme="minorEastAsia"/>
          <w:rtl/>
          <w:lang w:eastAsia="zh-CN" w:bidi="ar-EG"/>
        </w:rPr>
        <w:t>و</w:t>
      </w:r>
      <w:r w:rsidRPr="003A07ED">
        <w:rPr>
          <w:rFonts w:eastAsiaTheme="minorEastAsia"/>
          <w:lang w:eastAsia="zh-CN" w:bidi="ar-EG"/>
        </w:rPr>
        <w:t>3</w:t>
      </w:r>
    </w:p>
    <w:p w14:paraId="5AD92E6A" w14:textId="04F829AF" w:rsidR="003849E1" w:rsidRPr="00AF70F6" w:rsidRDefault="003849E1" w:rsidP="00C16818">
      <w:pPr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 M.1808</w:t>
      </w:r>
      <w:r>
        <w:rPr>
          <w:rFonts w:eastAsiaTheme="minorEastAsia"/>
          <w:u w:val="single"/>
          <w:lang w:eastAsia="zh-CN"/>
        </w:rPr>
        <w:t>-1</w:t>
      </w:r>
      <w:r w:rsidRPr="001A0DA4">
        <w:rPr>
          <w:rFonts w:eastAsiaTheme="minorEastAsia"/>
          <w:rtl/>
          <w:lang w:eastAsia="zh-CN" w:bidi="ar-EG"/>
        </w:rPr>
        <w:tab/>
      </w:r>
      <w:r w:rsidRPr="001A0DA4">
        <w:rPr>
          <w:rFonts w:eastAsiaTheme="minorEastAsia" w:hint="cs"/>
          <w:rtl/>
          <w:lang w:eastAsia="zh-CN" w:bidi="ar-EG"/>
        </w:rPr>
        <w:t xml:space="preserve">الوثيقة </w:t>
      </w:r>
      <w:r w:rsidRPr="001A0DA4">
        <w:rPr>
          <w:rFonts w:eastAsiaTheme="minorEastAsia"/>
          <w:lang w:eastAsia="zh-CN" w:bidi="ar-EG"/>
        </w:rPr>
        <w:t>5/142</w:t>
      </w:r>
    </w:p>
    <w:p w14:paraId="58D67D23" w14:textId="3FB81998" w:rsidR="003849E1" w:rsidRPr="00BF1ABB" w:rsidRDefault="003849E1" w:rsidP="003849E1">
      <w:pPr>
        <w:pStyle w:val="Rectitle"/>
        <w:rPr>
          <w:rFonts w:eastAsiaTheme="minorEastAsia"/>
          <w:rtl/>
          <w:lang w:val="en-GB" w:eastAsia="zh-CN"/>
        </w:rPr>
      </w:pPr>
      <w:r w:rsidRPr="00104C27">
        <w:rPr>
          <w:rFonts w:eastAsiaTheme="minorEastAsia" w:hint="cs"/>
          <w:rtl/>
          <w:lang w:eastAsia="zh-CN" w:bidi="ar-EG"/>
        </w:rPr>
        <w:t>الخصائص التقنية والتشغيلية للأنظمة المتنقلة البرية التقليدية والمتقاسمة</w:t>
      </w:r>
      <w:r>
        <w:rPr>
          <w:rFonts w:eastAsiaTheme="minorEastAsia"/>
          <w:rtl/>
          <w:lang w:eastAsia="zh-CN" w:bidi="ar-EG"/>
        </w:rPr>
        <w:br/>
      </w:r>
      <w:r w:rsidRPr="00104C27">
        <w:rPr>
          <w:rFonts w:eastAsiaTheme="minorEastAsia" w:hint="cs"/>
          <w:rtl/>
          <w:lang w:eastAsia="zh-CN" w:bidi="ar-EG"/>
        </w:rPr>
        <w:t>العاملة في</w:t>
      </w:r>
      <w:r w:rsidRPr="00104C27">
        <w:rPr>
          <w:rFonts w:eastAsiaTheme="minorEastAsia" w:hint="eastAsia"/>
          <w:rtl/>
          <w:lang w:eastAsia="zh-CN" w:bidi="ar-EG"/>
        </w:rPr>
        <w:t> </w:t>
      </w:r>
      <w:r w:rsidRPr="00104C27">
        <w:rPr>
          <w:rFonts w:eastAsiaTheme="minorEastAsia" w:hint="cs"/>
          <w:rtl/>
          <w:lang w:eastAsia="zh-CN" w:bidi="ar-EG"/>
        </w:rPr>
        <w:t xml:space="preserve">توزيعات الخدمة المتنقلة تحت </w:t>
      </w:r>
      <w:r w:rsidRPr="00104C27">
        <w:rPr>
          <w:rFonts w:eastAsiaTheme="minorEastAsia"/>
          <w:lang w:eastAsia="zh-CN" w:bidi="ar-EG"/>
        </w:rPr>
        <w:t>MHz 869</w:t>
      </w:r>
      <w:r w:rsidRPr="00104C27">
        <w:rPr>
          <w:rFonts w:eastAsiaTheme="minorEastAsia" w:hint="cs"/>
          <w:rtl/>
          <w:lang w:eastAsia="zh-CN" w:bidi="ar-EG"/>
        </w:rPr>
        <w:t xml:space="preserve"> والتي يتعين استعمالها</w:t>
      </w:r>
      <w:r>
        <w:rPr>
          <w:rFonts w:eastAsiaTheme="minorEastAsia"/>
          <w:rtl/>
          <w:lang w:eastAsia="zh-CN" w:bidi="ar-EG"/>
        </w:rPr>
        <w:br/>
      </w:r>
      <w:r w:rsidRPr="00104C27">
        <w:rPr>
          <w:rFonts w:eastAsiaTheme="minorEastAsia" w:hint="cs"/>
          <w:rtl/>
          <w:lang w:eastAsia="zh-CN" w:bidi="ar-EG"/>
        </w:rPr>
        <w:t>في دراسات التقاسم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BF1ABB">
        <w:rPr>
          <w:rFonts w:eastAsiaTheme="minorEastAsia" w:hint="cs"/>
          <w:rtl/>
          <w:lang w:eastAsia="zh-CN" w:bidi="ar-EG"/>
        </w:rPr>
        <w:t xml:space="preserve">في النطاقات دون </w:t>
      </w:r>
      <w:r w:rsidR="00BF1ABB">
        <w:rPr>
          <w:rFonts w:eastAsiaTheme="minorEastAsia"/>
          <w:lang w:val="en-GB" w:eastAsia="zh-CN" w:bidi="ar-EG"/>
        </w:rPr>
        <w:t>MHz 960</w:t>
      </w:r>
    </w:p>
    <w:p w14:paraId="7DA29A01" w14:textId="3F63CA1C" w:rsidR="003849E1" w:rsidRPr="00AF70F6" w:rsidRDefault="003849E1" w:rsidP="00C16818">
      <w:pPr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 M.2084-</w:t>
      </w:r>
      <w:r>
        <w:rPr>
          <w:rFonts w:eastAsiaTheme="minorEastAsia"/>
          <w:u w:val="single"/>
          <w:lang w:eastAsia="zh-CN"/>
        </w:rPr>
        <w:t>1</w:t>
      </w:r>
      <w:r w:rsidRPr="001A0DA4">
        <w:rPr>
          <w:rFonts w:eastAsiaTheme="minorEastAsia"/>
          <w:rtl/>
          <w:lang w:eastAsia="zh-CN" w:bidi="ar-EG"/>
        </w:rPr>
        <w:tab/>
      </w:r>
      <w:r w:rsidRPr="001A0DA4">
        <w:rPr>
          <w:rFonts w:eastAsiaTheme="minorEastAsia" w:hint="cs"/>
          <w:rtl/>
          <w:lang w:eastAsia="zh-CN" w:bidi="ar-EG"/>
        </w:rPr>
        <w:t xml:space="preserve">الوثيقة </w:t>
      </w:r>
      <w:r w:rsidRPr="001A0DA4">
        <w:rPr>
          <w:rFonts w:eastAsiaTheme="minorEastAsia"/>
          <w:lang w:eastAsia="zh-CN" w:bidi="ar-EG"/>
        </w:rPr>
        <w:t>5/149(Rev.1)</w:t>
      </w:r>
    </w:p>
    <w:p w14:paraId="61FB1C89" w14:textId="5BE1FEC2" w:rsidR="003849E1" w:rsidRPr="00A67ABC" w:rsidRDefault="003849E1" w:rsidP="003849E1">
      <w:pPr>
        <w:pStyle w:val="Rectitle"/>
        <w:keepNext w:val="0"/>
        <w:keepLines w:val="0"/>
        <w:rPr>
          <w:rtl/>
        </w:rPr>
      </w:pPr>
      <w:r w:rsidRPr="001A0DA4">
        <w:rPr>
          <w:rFonts w:hint="cs"/>
          <w:rtl/>
        </w:rPr>
        <w:t>معايير السطوح البينية الراديوية للاتصالات</w:t>
      </w:r>
      <w:r w:rsidR="00BF1ABB">
        <w:rPr>
          <w:rFonts w:hint="cs"/>
          <w:rtl/>
        </w:rPr>
        <w:t xml:space="preserve"> ثنائية الاتجاه</w:t>
      </w:r>
      <w:r w:rsidRPr="001A0DA4">
        <w:rPr>
          <w:rFonts w:hint="cs"/>
          <w:rtl/>
        </w:rPr>
        <w:t xml:space="preserve"> من مركبة إلى مركبة</w:t>
      </w:r>
      <w:r>
        <w:br/>
      </w:r>
      <w:r w:rsidRPr="001A0DA4">
        <w:rPr>
          <w:rFonts w:hint="cs"/>
          <w:rtl/>
        </w:rPr>
        <w:t xml:space="preserve">ومن مركبة إلى البنية التحتية </w:t>
      </w:r>
      <w:r w:rsidRPr="00BF1ABB">
        <w:rPr>
          <w:rFonts w:hint="cs"/>
          <w:rtl/>
        </w:rPr>
        <w:t>من أجل</w:t>
      </w:r>
      <w:r w:rsidRPr="001A0DA4">
        <w:rPr>
          <w:rFonts w:hint="cs"/>
          <w:rtl/>
        </w:rPr>
        <w:t xml:space="preserve"> تطبيقات أنظمة النقل الذكية</w:t>
      </w:r>
    </w:p>
    <w:p w14:paraId="22E0CFEE" w14:textId="724D5C1A" w:rsidR="003849E1" w:rsidRPr="00AF70F6" w:rsidRDefault="003849E1" w:rsidP="00C16818">
      <w:pPr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 F.758-</w:t>
      </w:r>
      <w:r>
        <w:rPr>
          <w:rFonts w:eastAsiaTheme="minorEastAsia"/>
          <w:u w:val="single"/>
          <w:lang w:eastAsia="zh-CN"/>
        </w:rPr>
        <w:t>7</w:t>
      </w:r>
      <w:r w:rsidRPr="00BC472C">
        <w:rPr>
          <w:rFonts w:eastAsiaTheme="minorEastAsia"/>
          <w:rtl/>
          <w:lang w:eastAsia="zh-CN" w:bidi="ar-EG"/>
        </w:rPr>
        <w:tab/>
      </w:r>
      <w:r w:rsidRPr="00BC472C">
        <w:rPr>
          <w:rFonts w:eastAsiaTheme="minorEastAsia" w:hint="cs"/>
          <w:rtl/>
          <w:lang w:eastAsia="zh-CN" w:bidi="ar-EG"/>
        </w:rPr>
        <w:t xml:space="preserve">الوثيقة </w:t>
      </w:r>
      <w:r w:rsidRPr="00BC472C">
        <w:rPr>
          <w:rFonts w:eastAsiaTheme="minorEastAsia"/>
          <w:lang w:eastAsia="zh-CN" w:bidi="ar-EG"/>
        </w:rPr>
        <w:t>5/145(Rev.1)</w:t>
      </w:r>
    </w:p>
    <w:p w14:paraId="25959955" w14:textId="77777777" w:rsidR="003849E1" w:rsidRDefault="003849E1" w:rsidP="00C16818">
      <w:pPr>
        <w:pStyle w:val="Rectitle"/>
        <w:keepNext w:val="0"/>
        <w:keepLines w:val="0"/>
      </w:pPr>
      <w:r w:rsidRPr="007B66AF">
        <w:rPr>
          <w:rtl/>
        </w:rPr>
        <w:t>معلمات النظام و</w:t>
      </w:r>
      <w:r w:rsidRPr="007B66AF">
        <w:rPr>
          <w:rFonts w:hint="cs"/>
          <w:rtl/>
        </w:rPr>
        <w:t>ال</w:t>
      </w:r>
      <w:r w:rsidRPr="007B66AF">
        <w:rPr>
          <w:rtl/>
        </w:rPr>
        <w:t xml:space="preserve">اعتبارات </w:t>
      </w:r>
      <w:r w:rsidRPr="007B66AF">
        <w:rPr>
          <w:rFonts w:hint="cs"/>
          <w:rtl/>
        </w:rPr>
        <w:t>المتعلق</w:t>
      </w:r>
      <w:bookmarkStart w:id="0" w:name="_GoBack"/>
      <w:bookmarkEnd w:id="0"/>
      <w:r w:rsidRPr="007B66AF">
        <w:rPr>
          <w:rFonts w:hint="cs"/>
          <w:rtl/>
        </w:rPr>
        <w:t xml:space="preserve">ة بإعداد </w:t>
      </w:r>
      <w:r w:rsidRPr="007B66AF">
        <w:rPr>
          <w:rtl/>
        </w:rPr>
        <w:t>معايير التقاسم</w:t>
      </w:r>
      <w:r>
        <w:rPr>
          <w:rtl/>
        </w:rPr>
        <w:br/>
      </w:r>
      <w:r w:rsidRPr="007B66AF">
        <w:rPr>
          <w:rtl/>
        </w:rPr>
        <w:t>أو</w:t>
      </w:r>
      <w:r w:rsidRPr="007B66AF">
        <w:rPr>
          <w:rFonts w:hint="cs"/>
          <w:rtl/>
        </w:rPr>
        <w:t> </w:t>
      </w:r>
      <w:r w:rsidRPr="007B66AF">
        <w:rPr>
          <w:rtl/>
        </w:rPr>
        <w:t>التوافق بين الأنظمة اللاسلكية الثابتة الرقمية في الخدمة الثابتة</w:t>
      </w:r>
      <w:r>
        <w:rPr>
          <w:rtl/>
        </w:rPr>
        <w:br/>
      </w:r>
      <w:r w:rsidRPr="007B66AF">
        <w:rPr>
          <w:rtl/>
        </w:rPr>
        <w:t>وأنظمة في</w:t>
      </w:r>
      <w:r w:rsidRPr="007B66AF">
        <w:rPr>
          <w:rFonts w:hint="cs"/>
          <w:rtl/>
        </w:rPr>
        <w:t> </w:t>
      </w:r>
      <w:r w:rsidRPr="007B66AF">
        <w:rPr>
          <w:rtl/>
        </w:rPr>
        <w:t>خدمات أخرى وغيرها من مصادر التداخل</w:t>
      </w:r>
    </w:p>
    <w:p w14:paraId="5622DD11" w14:textId="3C163989" w:rsidR="003849E1" w:rsidRDefault="003849E1" w:rsidP="00C16818">
      <w:pPr>
        <w:spacing w:before="360"/>
        <w:jc w:val="center"/>
        <w:rPr>
          <w:rFonts w:hint="cs"/>
          <w:rtl/>
          <w:lang w:bidi="ar-EG"/>
        </w:rPr>
      </w:pPr>
      <w:r>
        <w:rPr>
          <w:rtl/>
          <w:lang w:bidi="ar-EG"/>
        </w:rPr>
        <w:t>__________</w:t>
      </w:r>
    </w:p>
    <w:sectPr w:rsidR="003849E1" w:rsidSect="008B5B5D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A02F" w14:textId="77777777" w:rsidR="007559CA" w:rsidRDefault="007559CA" w:rsidP="00E07379">
      <w:pPr>
        <w:spacing w:before="0" w:line="240" w:lineRule="auto"/>
      </w:pPr>
      <w:r>
        <w:separator/>
      </w:r>
    </w:p>
  </w:endnote>
  <w:endnote w:type="continuationSeparator" w:id="0">
    <w:p w14:paraId="48AA2D3D" w14:textId="77777777" w:rsidR="007559CA" w:rsidRDefault="007559C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DF088" w14:textId="1154C958" w:rsidR="002D4DD1" w:rsidRPr="002D4DD1" w:rsidRDefault="002D4DD1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46B8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9EC7" w14:textId="77777777" w:rsidR="007559CA" w:rsidRDefault="007559CA" w:rsidP="00E07379">
      <w:pPr>
        <w:spacing w:before="0" w:line="240" w:lineRule="auto"/>
      </w:pPr>
      <w:r>
        <w:separator/>
      </w:r>
    </w:p>
  </w:footnote>
  <w:footnote w:type="continuationSeparator" w:id="0">
    <w:p w14:paraId="3BFAF1A5" w14:textId="77777777" w:rsidR="007559CA" w:rsidRDefault="007559C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A4B1" w14:textId="77777777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F5990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9C6FC3" w:rsidRPr="000218F7" w14:paraId="354B1ABA" w14:textId="77777777" w:rsidTr="00F61A79">
      <w:trPr>
        <w:jc w:val="center"/>
      </w:trPr>
      <w:tc>
        <w:tcPr>
          <w:tcW w:w="2472" w:type="pct"/>
          <w:vAlign w:val="center"/>
        </w:tcPr>
        <w:p w14:paraId="3038E160" w14:textId="77777777" w:rsidR="009C6FC3" w:rsidRPr="000218F7" w:rsidRDefault="009C6FC3" w:rsidP="009C6FC3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 w:bidi="ar-EG"/>
            </w:rPr>
          </w:pPr>
          <w:r w:rsidRPr="000218F7">
            <w:rPr>
              <w:noProof/>
              <w:color w:val="3399FF"/>
              <w:lang w:eastAsia="zh-CN"/>
            </w:rPr>
            <w:drawing>
              <wp:inline distT="0" distB="0" distL="0" distR="0" wp14:anchorId="1D4D2604" wp14:editId="33B8362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14:paraId="112AE2CA" w14:textId="77777777" w:rsidR="009C6FC3" w:rsidRPr="000218F7" w:rsidRDefault="009C6FC3" w:rsidP="009C6FC3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  <w:r w:rsidRPr="000218F7">
            <w:rPr>
              <w:noProof/>
              <w:lang w:eastAsia="zh-CN"/>
            </w:rPr>
            <w:drawing>
              <wp:inline distT="0" distB="0" distL="0" distR="0" wp14:anchorId="3D015F30" wp14:editId="78AD8E0C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E5FD7D" w14:textId="77777777" w:rsidR="00AF70F6" w:rsidRPr="00933E83" w:rsidRDefault="00AF70F6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C"/>
    <w:rsid w:val="000124CC"/>
    <w:rsid w:val="00021C65"/>
    <w:rsid w:val="00041F8B"/>
    <w:rsid w:val="00046444"/>
    <w:rsid w:val="00051898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36BD"/>
    <w:rsid w:val="00357185"/>
    <w:rsid w:val="003849E1"/>
    <w:rsid w:val="003A233F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10C6"/>
    <w:rsid w:val="0063315A"/>
    <w:rsid w:val="0065591D"/>
    <w:rsid w:val="00662C5A"/>
    <w:rsid w:val="00670AF5"/>
    <w:rsid w:val="006C1556"/>
    <w:rsid w:val="006C3BD6"/>
    <w:rsid w:val="006F267F"/>
    <w:rsid w:val="006F63F7"/>
    <w:rsid w:val="006F6F03"/>
    <w:rsid w:val="00706D7A"/>
    <w:rsid w:val="00726AEC"/>
    <w:rsid w:val="007530CA"/>
    <w:rsid w:val="007559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C6FC3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46566"/>
    <w:rsid w:val="00B66B9A"/>
    <w:rsid w:val="00B82089"/>
    <w:rsid w:val="00B970AE"/>
    <w:rsid w:val="00BA1427"/>
    <w:rsid w:val="00BD72FA"/>
    <w:rsid w:val="00BE49D0"/>
    <w:rsid w:val="00BF1ABB"/>
    <w:rsid w:val="00BF2C38"/>
    <w:rsid w:val="00C1681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571B"/>
    <w:rsid w:val="00F126F1"/>
    <w:rsid w:val="00F2106A"/>
    <w:rsid w:val="00F2369A"/>
    <w:rsid w:val="00F31D3C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90273"/>
  <w15:chartTrackingRefBased/>
  <w15:docId w15:val="{D5B1C443-0DFA-4CBE-982D-C1F502D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31D3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F31D3C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4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de10a323-94a9-4e93-88b4-ea964576960d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CB0E45-0CE4-4B69-B9C7-1225399A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Al-Midani, Mohammad Haitham</dc:creator>
  <cp:keywords>DPM_v2016.12.12.1_prod</cp:keywords>
  <dc:description>Template used by DPM and CPI for the WTSA-16</dc:description>
  <cp:lastModifiedBy>Arabic</cp:lastModifiedBy>
  <cp:revision>3</cp:revision>
  <cp:lastPrinted>2019-11-22T14:46:00Z</cp:lastPrinted>
  <dcterms:created xsi:type="dcterms:W3CDTF">2019-12-02T15:55:00Z</dcterms:created>
  <dcterms:modified xsi:type="dcterms:W3CDTF">2019-12-02T15:55:00Z</dcterms:modified>
  <cp:category>Conference document</cp:category>
</cp:coreProperties>
</file>