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21D7B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4E450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CF4175">
              <w:rPr>
                <w:b/>
                <w:bCs/>
                <w:szCs w:val="24"/>
                <w:lang w:val="fr-CH"/>
              </w:rPr>
              <w:t>9</w:t>
            </w:r>
            <w:r w:rsidR="004E4507">
              <w:rPr>
                <w:b/>
                <w:bCs/>
                <w:szCs w:val="24"/>
                <w:lang w:val="fr-CH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E53DCE" w:rsidRPr="00C21D7B" w:rsidRDefault="003B1CB1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lang w:val="es-ES"/>
              </w:rPr>
              <w:t>17</w:t>
            </w:r>
            <w:r w:rsidR="00C21D7B" w:rsidRPr="00C21D7B">
              <w:rPr>
                <w:lang w:val="es-ES"/>
              </w:rPr>
              <w:t xml:space="preserve"> de octubre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574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F4175" w:rsidP="00C1082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03849">
              <w:rPr>
                <w:b/>
                <w:szCs w:val="24"/>
                <w:lang w:val="es-ES"/>
              </w:rPr>
              <w:t>A las Administraciones de los Estados Miembros de la UIT, a los Miembros del Sector de Radiocomunicaciones, a los Asociados del UIT-R que participan en los trabajos de la Comisión de Estudio 6 de Radiocomunicaciones y a las Instituciones Académicas de la UIT</w:t>
            </w:r>
          </w:p>
        </w:tc>
      </w:tr>
      <w:tr w:rsidR="00E53DCE" w:rsidRPr="007574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574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5742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CF4175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Comisión de Estudio</w:t>
            </w:r>
            <w:r w:rsidR="00746DF5">
              <w:rPr>
                <w:b/>
                <w:bCs/>
                <w:lang w:val="es-ES"/>
              </w:rPr>
              <w:t xml:space="preserve"> </w:t>
            </w:r>
            <w:r w:rsidR="00CF4175">
              <w:rPr>
                <w:b/>
                <w:bCs/>
                <w:lang w:val="es-ES"/>
              </w:rPr>
              <w:t>6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CF4175">
              <w:rPr>
                <w:b/>
                <w:bCs/>
                <w:szCs w:val="24"/>
                <w:lang w:val="es-ES"/>
              </w:rPr>
              <w:t>Servicio de radiodifusión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CF4175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CF4175">
              <w:rPr>
                <w:b/>
                <w:bCs/>
                <w:lang w:val="es-ES"/>
              </w:rPr>
              <w:t>2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CF4175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 xml:space="preserve">nuevas y </w:t>
            </w:r>
            <w:r w:rsidR="00CF4175">
              <w:rPr>
                <w:b/>
                <w:bCs/>
                <w:lang w:val="es-ES"/>
              </w:rPr>
              <w:t>9</w:t>
            </w:r>
            <w:r w:rsidRPr="00C1082E">
              <w:rPr>
                <w:b/>
                <w:bCs/>
                <w:lang w:val="es-ES"/>
              </w:rPr>
              <w:t xml:space="preserve"> Recomendac</w:t>
            </w:r>
            <w:r w:rsidR="00B56F66">
              <w:rPr>
                <w:b/>
                <w:bCs/>
                <w:lang w:val="es-ES"/>
              </w:rPr>
              <w:t>i</w:t>
            </w:r>
            <w:r w:rsidR="00CF4175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r w:rsidR="00E02F15">
              <w:rPr>
                <w:b/>
                <w:bCs/>
                <w:lang w:val="es-ES"/>
              </w:rPr>
              <w:br/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C1082E" w:rsidP="00CF4175">
            <w:pPr>
              <w:spacing w:before="120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Supresión de </w:t>
            </w:r>
            <w:r w:rsidR="00CF4175" w:rsidRPr="00303849">
              <w:rPr>
                <w:b/>
                <w:bCs/>
                <w:szCs w:val="24"/>
                <w:lang w:val="es-ES"/>
              </w:rPr>
              <w:t>1 Recomendación UIT-R</w:t>
            </w:r>
          </w:p>
        </w:tc>
      </w:tr>
      <w:tr w:rsidR="00E53DCE" w:rsidRPr="0075742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5742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574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E02F15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CF4175">
        <w:rPr>
          <w:lang w:val="es-ES"/>
        </w:rPr>
        <w:t>913</w:t>
      </w:r>
      <w:r w:rsidRPr="00456F71">
        <w:rPr>
          <w:lang w:val="es-ES"/>
        </w:rPr>
        <w:t xml:space="preserve"> de </w:t>
      </w:r>
      <w:r w:rsidR="00CF4175" w:rsidRPr="00303849">
        <w:rPr>
          <w:bCs/>
          <w:szCs w:val="24"/>
          <w:lang w:val="es-ES"/>
        </w:rPr>
        <w:t>14 de agosto de 2019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CF4175">
        <w:rPr>
          <w:lang w:val="es-ES"/>
        </w:rPr>
        <w:t>2</w:t>
      </w:r>
      <w:r w:rsidRPr="00456F71">
        <w:rPr>
          <w:lang w:val="es-ES"/>
        </w:rPr>
        <w:t xml:space="preserve"> proyectos de 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CF4175">
        <w:rPr>
          <w:lang w:val="es-ES"/>
        </w:rPr>
        <w:t>9</w:t>
      </w:r>
      <w:r w:rsidRPr="00456F71">
        <w:rPr>
          <w:lang w:val="es-ES"/>
        </w:rPr>
        <w:t xml:space="preserve"> proyectos de Recomendación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>revisada. Además, la Comisión de Estudio propuso la supresión de </w:t>
      </w:r>
      <w:r w:rsidR="00E02F15">
        <w:rPr>
          <w:lang w:val="es-ES"/>
        </w:rPr>
        <w:t>1</w:t>
      </w:r>
      <w:r w:rsidR="00CF4175">
        <w:rPr>
          <w:lang w:val="es-ES"/>
        </w:rPr>
        <w:t> </w:t>
      </w:r>
      <w:r w:rsidR="00E02F15" w:rsidRPr="00E02F15">
        <w:rPr>
          <w:szCs w:val="24"/>
          <w:lang w:val="es-ES"/>
        </w:rPr>
        <w:t>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>.</w:t>
      </w:r>
    </w:p>
    <w:p w:rsidR="00C1082E" w:rsidRPr="00456F71" w:rsidRDefault="00C1082E" w:rsidP="00CF4175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CF4175" w:rsidRPr="00CF4175">
        <w:rPr>
          <w:lang w:val="es-ES"/>
        </w:rPr>
        <w:t>14 de octubre de 2019</w:t>
      </w:r>
      <w:r w:rsidRPr="00CF4175">
        <w:rPr>
          <w:lang w:val="es-ES"/>
        </w:rPr>
        <w:t>.</w:t>
      </w:r>
      <w:r w:rsidRPr="00456F71">
        <w:rPr>
          <w:lang w:val="es-ES"/>
        </w:rPr>
        <w:t xml:space="preserve"> </w:t>
      </w:r>
    </w:p>
    <w:p w:rsidR="00C1082E" w:rsidRPr="00456F71" w:rsidRDefault="00C1082E" w:rsidP="00EB63D6">
      <w:pPr>
        <w:rPr>
          <w:lang w:val="es-ES"/>
        </w:rPr>
      </w:pPr>
      <w:r w:rsidRPr="00456F71">
        <w:rPr>
          <w:lang w:val="es-ES"/>
        </w:rPr>
        <w:t>Las</w:t>
      </w:r>
      <w:r w:rsidR="00CF4175">
        <w:rPr>
          <w:lang w:val="es-ES"/>
        </w:rPr>
        <w:t xml:space="preserve"> Recomendacio</w:t>
      </w:r>
      <w:r w:rsidRPr="00456F71">
        <w:rPr>
          <w:lang w:val="es-ES"/>
        </w:rPr>
        <w:t xml:space="preserve">nes aprobadas serán publicadas por la UIT, y en el Anexo 1 a la presente Circular figuran sus títulos, con </w:t>
      </w:r>
      <w:r w:rsidR="00683C97">
        <w:rPr>
          <w:lang w:val="es-ES"/>
        </w:rPr>
        <w:t>los</w:t>
      </w:r>
      <w:r w:rsidRPr="00456F71">
        <w:rPr>
          <w:lang w:val="es-ES"/>
        </w:rPr>
        <w:t xml:space="preserve"> números asignados. En el Anexo 2 se facilita la</w:t>
      </w:r>
      <w:r w:rsidR="00EB63D6">
        <w:rPr>
          <w:lang w:val="es-ES"/>
        </w:rPr>
        <w:t xml:space="preserve"> Recomendaci</w:t>
      </w:r>
      <w:r w:rsidR="00EB63D6" w:rsidRPr="00EB63D6">
        <w:rPr>
          <w:lang w:val="es-ES"/>
        </w:rPr>
        <w:t>ón</w:t>
      </w:r>
      <w:r w:rsidR="00EC132D">
        <w:rPr>
          <w:lang w:val="es-ES"/>
        </w:rPr>
        <w:t xml:space="preserve"> suprimida</w:t>
      </w:r>
      <w:r w:rsidRPr="00456F71">
        <w:rPr>
          <w:lang w:val="es-ES"/>
        </w:rPr>
        <w:t>.</w:t>
      </w:r>
    </w:p>
    <w:p w:rsidR="00C1082E" w:rsidRPr="00456F71" w:rsidRDefault="00B555E4" w:rsidP="00CF4175">
      <w:pPr>
        <w:tabs>
          <w:tab w:val="left" w:pos="4820"/>
        </w:tabs>
        <w:spacing w:before="840"/>
        <w:rPr>
          <w:bCs/>
          <w:lang w:val="es-ES"/>
        </w:rPr>
      </w:pPr>
      <w:r w:rsidRPr="00CF4175">
        <w:rPr>
          <w:szCs w:val="24"/>
          <w:lang w:val="es-ES"/>
        </w:rPr>
        <w:t>Mario Maniewicz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CF4175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CF4175">
        <w:rPr>
          <w:bCs/>
          <w:lang w:val="es-ES"/>
        </w:rPr>
        <w:t>2</w:t>
      </w:r>
    </w:p>
    <w:p w:rsidR="00C1082E" w:rsidRPr="00456F71" w:rsidRDefault="00C1082E" w:rsidP="00CF4175">
      <w:pPr>
        <w:tabs>
          <w:tab w:val="left" w:pos="6237"/>
        </w:tabs>
        <w:spacing w:before="360" w:line="220" w:lineRule="exact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F4175" w:rsidRPr="00303849" w:rsidRDefault="00CF4175" w:rsidP="00CF4175">
      <w:pPr>
        <w:tabs>
          <w:tab w:val="clear" w:pos="794"/>
          <w:tab w:val="left" w:pos="426"/>
        </w:tabs>
        <w:spacing w:before="0" w:line="240" w:lineRule="exact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Administraciones de los Estados Miembros del Sector de Radiocomunicaciones que participan en los trabajos de la Comisión de Estudio 6 de Radiocomunicaciones</w:t>
      </w:r>
    </w:p>
    <w:p w:rsidR="00CF4175" w:rsidRPr="00303849" w:rsidRDefault="00CF4175" w:rsidP="00CF4175">
      <w:pPr>
        <w:tabs>
          <w:tab w:val="clear" w:pos="794"/>
          <w:tab w:val="left" w:pos="426"/>
        </w:tabs>
        <w:spacing w:before="0" w:line="240" w:lineRule="exact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Asociados del UIT-R que participan en los trabajos de la Comisión de Estudio 6 de Radiocomunicaciones</w:t>
      </w:r>
    </w:p>
    <w:p w:rsidR="00CF4175" w:rsidRPr="00303849" w:rsidRDefault="00CF4175" w:rsidP="00CF4175">
      <w:pPr>
        <w:tabs>
          <w:tab w:val="clear" w:pos="794"/>
          <w:tab w:val="left" w:pos="426"/>
        </w:tabs>
        <w:spacing w:before="0" w:line="240" w:lineRule="exact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Instituciones Académicas de la UIT</w:t>
      </w:r>
    </w:p>
    <w:p w:rsidR="00CF4175" w:rsidRPr="00303849" w:rsidRDefault="00CF4175" w:rsidP="00CF4175">
      <w:pPr>
        <w:tabs>
          <w:tab w:val="clear" w:pos="794"/>
          <w:tab w:val="left" w:pos="426"/>
        </w:tabs>
        <w:spacing w:before="0" w:line="240" w:lineRule="exact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Presidentes y Vicepresidentes de las Comisiones de</w:t>
      </w:r>
      <w:r>
        <w:rPr>
          <w:sz w:val="18"/>
          <w:szCs w:val="18"/>
          <w:lang w:val="es-ES"/>
        </w:rPr>
        <w:t xml:space="preserve"> Estudio de Radiocomunicaciones</w:t>
      </w:r>
    </w:p>
    <w:p w:rsidR="00CF4175" w:rsidRPr="00303849" w:rsidRDefault="00CF4175" w:rsidP="00CF4175">
      <w:pPr>
        <w:tabs>
          <w:tab w:val="clear" w:pos="794"/>
          <w:tab w:val="left" w:pos="426"/>
        </w:tabs>
        <w:spacing w:before="0" w:line="240" w:lineRule="exact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F4175" w:rsidRPr="00303849" w:rsidRDefault="00CF4175" w:rsidP="00CF4175">
      <w:pPr>
        <w:tabs>
          <w:tab w:val="clear" w:pos="794"/>
          <w:tab w:val="left" w:pos="426"/>
        </w:tabs>
        <w:spacing w:before="0" w:line="240" w:lineRule="exact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Miembros de la Junta del Reglamento de Radiocomunicaciones</w:t>
      </w:r>
    </w:p>
    <w:p w:rsidR="00CF4175" w:rsidRDefault="00CF4175" w:rsidP="00CF4175">
      <w:pPr>
        <w:spacing w:before="0" w:line="240" w:lineRule="exact"/>
        <w:ind w:left="397" w:hanging="397"/>
        <w:rPr>
          <w:rFonts w:asciiTheme="minorHAnsi" w:hAnsiTheme="minorHAnsi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</w:r>
      <w:r w:rsidRPr="00CF4175">
        <w:rPr>
          <w:sz w:val="18"/>
          <w:szCs w:val="18"/>
          <w:lang w:val="es-ES"/>
        </w:rPr>
        <w:t>Secretario General de la UIT, Director de la Oficina de Normalización de las Telecomunicaciones, Directora de la Oficina de Desarrollo de Telecomunicaciones</w:t>
      </w:r>
      <w:r w:rsidRPr="00C21D7B">
        <w:rPr>
          <w:rFonts w:asciiTheme="minorHAnsi" w:hAnsiTheme="minorHAnsi"/>
          <w:lang w:val="es-ES"/>
        </w:rPr>
        <w:t xml:space="preserve"> </w:t>
      </w:r>
    </w:p>
    <w:p w:rsidR="00C1082E" w:rsidRPr="003B07BE" w:rsidRDefault="00C1082E" w:rsidP="009C392C">
      <w:pPr>
        <w:pStyle w:val="AnnexNotitle0"/>
        <w:rPr>
          <w:rFonts w:asciiTheme="minorHAnsi" w:hAnsiTheme="minorHAnsi"/>
          <w:lang w:val="es-ES"/>
          <w:rPrChange w:id="0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  <w:lastRenderedPageBreak/>
        <w:t>Anexo 1</w:t>
      </w: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  <w:t>Títulos de las</w:t>
      </w:r>
      <w:r w:rsidR="009C392C">
        <w:rPr>
          <w:rFonts w:asciiTheme="minorHAnsi" w:hAnsiTheme="minorHAnsi"/>
          <w:lang w:val="es-ES"/>
        </w:rPr>
        <w:t xml:space="preserve"> Recomendacio</w:t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t xml:space="preserve">nes </w:t>
      </w:r>
      <w:r w:rsidR="007F5C60">
        <w:rPr>
          <w:rFonts w:asciiTheme="minorHAnsi" w:hAnsiTheme="minorHAnsi"/>
          <w:lang w:val="es-ES"/>
        </w:rPr>
        <w:t xml:space="preserve">UIT-R </w:t>
      </w:r>
      <w:r w:rsidRPr="003B07BE"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  <w:t>aprobadas</w:t>
      </w:r>
    </w:p>
    <w:p w:rsidR="00CF4175" w:rsidRPr="00303849" w:rsidRDefault="00CF4175" w:rsidP="00787298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Recomendación UIT-R BS.</w:t>
      </w:r>
      <w:r w:rsidR="00787298">
        <w:rPr>
          <w:u w:val="single"/>
          <w:lang w:val="es-ES"/>
        </w:rPr>
        <w:t>2132-0</w:t>
      </w:r>
      <w:r w:rsidRPr="00303849">
        <w:rPr>
          <w:lang w:val="es-ES"/>
        </w:rPr>
        <w:tab/>
        <w:t>Doc. 6/379(Rev.1)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Método para la evaluación subjetiva de la calidad de las diferencias audibles de </w:t>
      </w:r>
      <w:r w:rsidRPr="00303849">
        <w:rPr>
          <w:lang w:val="es-ES"/>
        </w:rPr>
        <w:br/>
        <w:t>los sistemas sonoros utilizando múltiples estímulos sin una referencia dada</w:t>
      </w:r>
    </w:p>
    <w:p w:rsidR="00CF4175" w:rsidRPr="00303849" w:rsidRDefault="00CF4175" w:rsidP="00787298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Recomendación UIT-R BT.</w:t>
      </w:r>
      <w:r w:rsidR="00787298">
        <w:rPr>
          <w:u w:val="single"/>
          <w:lang w:val="es-ES"/>
        </w:rPr>
        <w:t>2133-0</w:t>
      </w:r>
      <w:r w:rsidRPr="00303849">
        <w:rPr>
          <w:lang w:val="es-ES"/>
        </w:rPr>
        <w:tab/>
        <w:t>Doc. 6/384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Transporte de contenido audiovisual inmersivo avanzado (AIAV) </w:t>
      </w:r>
      <w:r w:rsidRPr="00303849">
        <w:rPr>
          <w:lang w:val="es-ES"/>
        </w:rPr>
        <w:br/>
        <w:t>en sistemas de radiodifusión IP</w:t>
      </w:r>
    </w:p>
    <w:p w:rsidR="00CF4175" w:rsidRPr="00303849" w:rsidRDefault="00CF4175" w:rsidP="00757425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Recomendación UIT-R BT.1702-</w:t>
      </w:r>
      <w:r w:rsidR="00757425">
        <w:rPr>
          <w:u w:val="single"/>
          <w:lang w:val="es-ES"/>
        </w:rPr>
        <w:t>2</w:t>
      </w:r>
      <w:r w:rsidRPr="00303849">
        <w:rPr>
          <w:lang w:val="es-ES"/>
        </w:rPr>
        <w:tab/>
        <w:t>Doc. 6/362(Rev.1)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Directrices para reducir el riesgo de ataques de epilepsia fotosensible </w:t>
      </w:r>
      <w:r w:rsidRPr="00303849">
        <w:rPr>
          <w:lang w:val="es-ES"/>
        </w:rPr>
        <w:br/>
        <w:t>causados por la televisión</w:t>
      </w:r>
    </w:p>
    <w:p w:rsidR="00CF4175" w:rsidRPr="00303849" w:rsidRDefault="00CF4175" w:rsidP="00757425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Recomendación UIT-R BS.1283-</w:t>
      </w:r>
      <w:r w:rsidR="00757425">
        <w:rPr>
          <w:u w:val="single"/>
          <w:lang w:val="es-ES"/>
        </w:rPr>
        <w:t>2</w:t>
      </w:r>
      <w:r w:rsidRPr="00303849">
        <w:rPr>
          <w:lang w:val="es-ES"/>
        </w:rPr>
        <w:tab/>
        <w:t>Doc. 6/363(Rev.1)</w:t>
      </w:r>
    </w:p>
    <w:p w:rsidR="0071075E" w:rsidRPr="00E41C07" w:rsidRDefault="00E41C07" w:rsidP="0071075E">
      <w:pPr>
        <w:pStyle w:val="Normalaftertitle"/>
        <w:tabs>
          <w:tab w:val="left" w:pos="8505"/>
        </w:tabs>
        <w:jc w:val="center"/>
        <w:rPr>
          <w:b/>
          <w:bCs/>
          <w:sz w:val="28"/>
          <w:szCs w:val="28"/>
          <w:u w:val="single"/>
          <w:lang w:val="es-ES"/>
        </w:rPr>
      </w:pPr>
      <w:r w:rsidRPr="00E41C07">
        <w:rPr>
          <w:b/>
          <w:bCs/>
          <w:sz w:val="28"/>
          <w:szCs w:val="28"/>
          <w:lang w:val="es-ES_tradnl"/>
        </w:rPr>
        <w:t xml:space="preserve">Guía para la selección de las Recomendaciones UIT-R más apropiadas en materia </w:t>
      </w:r>
      <w:r w:rsidRPr="00E41C07">
        <w:rPr>
          <w:b/>
          <w:bCs/>
          <w:sz w:val="28"/>
          <w:szCs w:val="28"/>
          <w:lang w:val="es-ES_tradnl"/>
        </w:rPr>
        <w:br/>
        <w:t>de evaluación subjetiva de la calidad del sonido</w:t>
      </w:r>
    </w:p>
    <w:p w:rsidR="00CF4175" w:rsidRPr="00303849" w:rsidRDefault="00CF4175" w:rsidP="00757425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Recomendación UIT-R BT.500-1</w:t>
      </w:r>
      <w:r w:rsidR="00757425">
        <w:rPr>
          <w:u w:val="single"/>
          <w:lang w:val="es-ES"/>
        </w:rPr>
        <w:t>4</w:t>
      </w:r>
      <w:r w:rsidRPr="00303849">
        <w:rPr>
          <w:lang w:val="es-ES"/>
        </w:rPr>
        <w:tab/>
        <w:t>Doc. 6/364</w:t>
      </w:r>
    </w:p>
    <w:p w:rsidR="00CF4175" w:rsidRPr="00303849" w:rsidRDefault="00757425" w:rsidP="00CF4175">
      <w:pPr>
        <w:pStyle w:val="Rectitle"/>
        <w:rPr>
          <w:lang w:val="es-ES"/>
        </w:rPr>
      </w:pPr>
      <w:r w:rsidRPr="00967267">
        <w:rPr>
          <w:lang w:val="es-ES_tradnl"/>
        </w:rPr>
        <w:t xml:space="preserve">Metodologías para la evaluación subjetiva de la calidad </w:t>
      </w:r>
      <w:r w:rsidRPr="00967267">
        <w:rPr>
          <w:lang w:val="es-ES_tradnl"/>
        </w:rPr>
        <w:br/>
        <w:t>de las imágenes de televisión</w:t>
      </w:r>
    </w:p>
    <w:p w:rsidR="00CF4175" w:rsidRPr="00303849" w:rsidRDefault="00CF4175" w:rsidP="00757425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Recomendación UIT-R BS.450-</w:t>
      </w:r>
      <w:r w:rsidR="00757425">
        <w:rPr>
          <w:u w:val="single"/>
          <w:lang w:val="es-ES"/>
        </w:rPr>
        <w:t>4</w:t>
      </w:r>
      <w:r w:rsidRPr="00303849">
        <w:rPr>
          <w:lang w:val="es-ES"/>
        </w:rPr>
        <w:tab/>
        <w:t>Doc. 6/377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Normas de transmisión para radiodifusión sonora con modulación </w:t>
      </w:r>
      <w:r w:rsidRPr="00303849">
        <w:rPr>
          <w:lang w:val="es-ES"/>
        </w:rPr>
        <w:br/>
        <w:t>de frecuencia en ondas métricas</w:t>
      </w:r>
    </w:p>
    <w:p w:rsidR="00CF4175" w:rsidRPr="00303849" w:rsidRDefault="00CF4175" w:rsidP="00757425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Recomendación UIT-R BS.1196-</w:t>
      </w:r>
      <w:r w:rsidR="00757425">
        <w:rPr>
          <w:u w:val="single"/>
          <w:lang w:val="es-ES"/>
        </w:rPr>
        <w:t>8</w:t>
      </w:r>
      <w:r w:rsidRPr="00303849">
        <w:rPr>
          <w:lang w:val="es-ES"/>
        </w:rPr>
        <w:tab/>
        <w:t>Doc. 6/389(Rev.1)</w:t>
      </w:r>
    </w:p>
    <w:p w:rsidR="00CF4175" w:rsidRPr="00303849" w:rsidRDefault="00CF4175" w:rsidP="00E41C07">
      <w:pPr>
        <w:pStyle w:val="Rectitle"/>
        <w:keepNext w:val="0"/>
        <w:rPr>
          <w:lang w:val="es-ES"/>
        </w:rPr>
      </w:pPr>
      <w:r w:rsidRPr="00303849">
        <w:rPr>
          <w:lang w:val="es-ES"/>
        </w:rPr>
        <w:t>Codificación audio para radiodifusión digital</w:t>
      </w:r>
    </w:p>
    <w:p w:rsidR="00CF4175" w:rsidRPr="00303849" w:rsidRDefault="00CF4175" w:rsidP="00757425">
      <w:pPr>
        <w:pStyle w:val="Normalaftertitle"/>
        <w:keepNext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lastRenderedPageBreak/>
        <w:t>Recomendación UIT-R BS.1548-</w:t>
      </w:r>
      <w:r w:rsidR="00757425">
        <w:rPr>
          <w:u w:val="single"/>
          <w:lang w:val="es-ES"/>
        </w:rPr>
        <w:t>7</w:t>
      </w:r>
      <w:r w:rsidRPr="00303849">
        <w:rPr>
          <w:lang w:val="es-ES"/>
        </w:rPr>
        <w:tab/>
        <w:t>Doc. 6/390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Requisitos de usuario para sistemas de codificación </w:t>
      </w:r>
      <w:r w:rsidRPr="00303849">
        <w:rPr>
          <w:lang w:val="es-ES"/>
        </w:rPr>
        <w:br/>
        <w:t>de audio para la radiodifusión digital</w:t>
      </w:r>
    </w:p>
    <w:p w:rsidR="00CF4175" w:rsidRPr="00303849" w:rsidRDefault="00CF4175" w:rsidP="00757425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Recomendación UIT-R BT.1872-</w:t>
      </w:r>
      <w:r w:rsidR="00757425">
        <w:rPr>
          <w:u w:val="single"/>
          <w:lang w:val="es-ES"/>
        </w:rPr>
        <w:t>3</w:t>
      </w:r>
      <w:r w:rsidRPr="00303849">
        <w:rPr>
          <w:lang w:val="es-ES"/>
        </w:rPr>
        <w:tab/>
        <w:t>Doc. 6/391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Requisitos de usuario para los servicios auxiliares a la radiodifusión, </w:t>
      </w:r>
      <w:r w:rsidRPr="00303849">
        <w:rPr>
          <w:lang w:val="es-ES"/>
        </w:rPr>
        <w:br/>
        <w:t xml:space="preserve">incluidos la radiodifusión exterior de televisión digital, el periodismo </w:t>
      </w:r>
      <w:r w:rsidRPr="00303849">
        <w:rPr>
          <w:lang w:val="es-ES"/>
        </w:rPr>
        <w:br/>
        <w:t>electrónico/por satélite y la producción electrónica en directo</w:t>
      </w:r>
    </w:p>
    <w:p w:rsidR="00CF4175" w:rsidRPr="00303849" w:rsidRDefault="00CF4175" w:rsidP="00757425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Recomendación UIT-R BS.2076-</w:t>
      </w:r>
      <w:r w:rsidR="00757425">
        <w:rPr>
          <w:u w:val="single"/>
          <w:lang w:val="es-ES"/>
        </w:rPr>
        <w:t>2</w:t>
      </w:r>
      <w:r w:rsidRPr="00303849">
        <w:rPr>
          <w:lang w:val="es-ES"/>
        </w:rPr>
        <w:tab/>
        <w:t>Doc. 6/392(Rev.1)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>Modelo de definición de audio</w:t>
      </w:r>
    </w:p>
    <w:p w:rsidR="00CF4175" w:rsidRPr="00303849" w:rsidRDefault="00CF4175" w:rsidP="00757425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Recomendación UIT-R BS.2088-</w:t>
      </w:r>
      <w:r w:rsidR="00757425">
        <w:rPr>
          <w:u w:val="single"/>
          <w:lang w:val="es-ES"/>
        </w:rPr>
        <w:t>1</w:t>
      </w:r>
      <w:r w:rsidRPr="00303849">
        <w:rPr>
          <w:lang w:val="es-ES"/>
        </w:rPr>
        <w:tab/>
        <w:t>Doc. 6/393(Rev.1)</w:t>
      </w:r>
    </w:p>
    <w:p w:rsidR="00CF4175" w:rsidRPr="00303849" w:rsidRDefault="00CF4175" w:rsidP="00CF4175">
      <w:pPr>
        <w:pStyle w:val="Rectitle"/>
        <w:rPr>
          <w:lang w:val="es-ES"/>
        </w:rPr>
      </w:pPr>
      <w:r w:rsidRPr="00303849">
        <w:rPr>
          <w:lang w:val="es-ES"/>
        </w:rPr>
        <w:t xml:space="preserve">Formato de fichero largo para el intercambio internacional </w:t>
      </w:r>
      <w:r w:rsidRPr="00303849">
        <w:rPr>
          <w:lang w:val="es-ES"/>
        </w:rPr>
        <w:br/>
        <w:t>de material de programas de audio con metadatos</w:t>
      </w:r>
    </w:p>
    <w:p w:rsidR="00CF4175" w:rsidRDefault="00CF4175" w:rsidP="00CF4175">
      <w:pPr>
        <w:rPr>
          <w:lang w:val="es-ES"/>
        </w:rPr>
      </w:pPr>
    </w:p>
    <w:p w:rsidR="00CF4175" w:rsidRPr="007772EE" w:rsidRDefault="00CF4175" w:rsidP="00CF4175">
      <w:pPr>
        <w:pStyle w:val="AnnexNoTitle"/>
        <w:rPr>
          <w:sz w:val="28"/>
          <w:szCs w:val="28"/>
          <w:lang w:val="es-ES"/>
        </w:rPr>
      </w:pPr>
      <w:r w:rsidRPr="007772EE">
        <w:rPr>
          <w:sz w:val="28"/>
          <w:szCs w:val="28"/>
          <w:lang w:val="es-ES"/>
        </w:rPr>
        <w:t>Anexo 2</w:t>
      </w:r>
    </w:p>
    <w:p w:rsidR="00CF4175" w:rsidRPr="00303849" w:rsidRDefault="009C392C" w:rsidP="009C392C">
      <w:pPr>
        <w:pStyle w:val="Rectitle"/>
        <w:rPr>
          <w:lang w:val="es-ES"/>
        </w:rPr>
      </w:pPr>
      <w:r w:rsidRPr="003B07BE">
        <w:rPr>
          <w:rFonts w:asciiTheme="minorHAnsi" w:hAnsiTheme="minorHAnsi"/>
          <w:lang w:val="es-ES"/>
          <w:rPrChange w:id="6" w:author="I T U" w:date="2016-08-22T14:58:00Z">
            <w:rPr>
              <w:lang w:val="es-ES"/>
            </w:rPr>
          </w:rPrChange>
        </w:rPr>
        <w:t>Recomendación</w:t>
      </w:r>
      <w:r>
        <w:rPr>
          <w:rFonts w:asciiTheme="minorHAnsi" w:hAnsiTheme="minorHAnsi"/>
          <w:lang w:val="es-ES"/>
        </w:rPr>
        <w:t xml:space="preserve"> UIT-R </w:t>
      </w:r>
      <w:r w:rsidRPr="003B07BE">
        <w:rPr>
          <w:rFonts w:asciiTheme="minorHAnsi" w:hAnsiTheme="minorHAnsi"/>
          <w:lang w:val="es-ES"/>
          <w:rPrChange w:id="7" w:author="I T U" w:date="2016-08-22T14:58:00Z">
            <w:rPr>
              <w:lang w:val="es-ES"/>
            </w:rPr>
          </w:rPrChange>
        </w:rPr>
        <w:t>suprimida</w:t>
      </w:r>
    </w:p>
    <w:p w:rsidR="00CF4175" w:rsidRPr="00303849" w:rsidRDefault="00CF4175" w:rsidP="00CF4175">
      <w:pPr>
        <w:rPr>
          <w:lang w:val="es-ES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CF4175" w:rsidRPr="00303849" w:rsidTr="001026F2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175" w:rsidRPr="00303849" w:rsidRDefault="00CF4175" w:rsidP="001026F2">
            <w:pPr>
              <w:pStyle w:val="Tablehead"/>
              <w:rPr>
                <w:lang w:val="es-ES"/>
              </w:rPr>
            </w:pPr>
            <w:r w:rsidRPr="00303849">
              <w:rPr>
                <w:lang w:val="es-ES"/>
              </w:rPr>
              <w:t>Recomendación</w:t>
            </w:r>
            <w:r w:rsidRPr="00303849">
              <w:rPr>
                <w:lang w:val="es-ES"/>
              </w:rPr>
              <w:br/>
              <w:t>UIT-R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175" w:rsidRPr="00303849" w:rsidRDefault="00CF4175" w:rsidP="001026F2">
            <w:pPr>
              <w:pStyle w:val="Tablehead"/>
              <w:rPr>
                <w:lang w:val="es-ES"/>
              </w:rPr>
            </w:pPr>
            <w:r w:rsidRPr="00303849">
              <w:rPr>
                <w:lang w:val="es-ES"/>
              </w:rPr>
              <w:t>Título</w:t>
            </w:r>
          </w:p>
        </w:tc>
      </w:tr>
      <w:tr w:rsidR="00CF4175" w:rsidRPr="00757425" w:rsidTr="001026F2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175" w:rsidRPr="00303849" w:rsidRDefault="00CF4175" w:rsidP="001026F2">
            <w:pPr>
              <w:pStyle w:val="Tabletext"/>
              <w:jc w:val="center"/>
              <w:rPr>
                <w:lang w:val="es-ES"/>
              </w:rPr>
            </w:pPr>
            <w:r w:rsidRPr="00303849">
              <w:rPr>
                <w:lang w:val="es-ES"/>
              </w:rPr>
              <w:t>BS.1286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175" w:rsidRPr="00445582" w:rsidRDefault="00CF4175" w:rsidP="001026F2">
            <w:pPr>
              <w:pStyle w:val="Tabletext"/>
              <w:rPr>
                <w:lang w:val="es-ES"/>
              </w:rPr>
            </w:pPr>
            <w:r w:rsidRPr="00445582">
              <w:rPr>
                <w:lang w:val="es-ES"/>
              </w:rPr>
              <w:t>Métodos para la evaluación subjetiva de los sistemas de audio con acompañamiento de imagen</w:t>
            </w:r>
          </w:p>
        </w:tc>
      </w:tr>
    </w:tbl>
    <w:p w:rsidR="00C1082E" w:rsidRPr="00456F71" w:rsidRDefault="00C1082E" w:rsidP="00C1082E">
      <w:pPr>
        <w:jc w:val="center"/>
        <w:rPr>
          <w:lang w:val="es-ES"/>
        </w:rPr>
      </w:pPr>
      <w:bookmarkStart w:id="8" w:name="_GoBack"/>
      <w:bookmarkEnd w:id="8"/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1E" w:rsidRDefault="00F0291E">
      <w:r>
        <w:separator/>
      </w:r>
    </w:p>
  </w:endnote>
  <w:endnote w:type="continuationSeparator" w:id="0">
    <w:p w:rsidR="00F0291E" w:rsidRDefault="00F0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1E" w:rsidRDefault="00F0291E">
      <w:r>
        <w:t>____________________</w:t>
      </w:r>
    </w:p>
  </w:footnote>
  <w:footnote w:type="continuationSeparator" w:id="0">
    <w:p w:rsidR="00F0291E" w:rsidRDefault="00F0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E41C0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F4175" w:rsidRDefault="00E915AF" w:rsidP="00CF4175">
    <w:pPr>
      <w:pStyle w:val="Header"/>
      <w:rPr>
        <w:rFonts w:asciiTheme="majorBidi" w:hAnsiTheme="majorBidi" w:cstheme="majorBidi"/>
        <w:iCs/>
        <w:sz w:val="18"/>
        <w:szCs w:val="18"/>
      </w:rPr>
    </w:pPr>
    <w:r>
      <w:tab/>
    </w:r>
    <w:r>
      <w:tab/>
    </w:r>
    <w:r w:rsidR="00CF4175" w:rsidRPr="00CF4175">
      <w:rPr>
        <w:rFonts w:asciiTheme="majorBidi" w:hAnsiTheme="majorBidi" w:cstheme="majorBidi"/>
        <w:iCs/>
        <w:sz w:val="18"/>
        <w:szCs w:val="18"/>
      </w:rPr>
      <w:t>-</w:t>
    </w:r>
    <w:r w:rsidR="00CF4175" w:rsidRPr="00CF4175">
      <w:rPr>
        <w:rFonts w:asciiTheme="majorBidi" w:hAnsiTheme="majorBidi" w:cstheme="majorBidi"/>
      </w:rPr>
      <w:t xml:space="preserve"> </w:t>
    </w:r>
    <w:r w:rsidR="001B42C9" w:rsidRPr="00CF4175">
      <w:rPr>
        <w:rFonts w:asciiTheme="majorBidi" w:hAnsiTheme="majorBidi" w:cstheme="majorBidi"/>
        <w:iCs/>
        <w:sz w:val="18"/>
        <w:szCs w:val="18"/>
      </w:rPr>
      <w:fldChar w:fldCharType="begin"/>
    </w:r>
    <w:r w:rsidRPr="00CF4175">
      <w:rPr>
        <w:rFonts w:asciiTheme="majorBidi" w:hAnsiTheme="majorBidi" w:cstheme="majorBidi"/>
        <w:iCs/>
        <w:sz w:val="18"/>
        <w:szCs w:val="18"/>
      </w:rPr>
      <w:instrText xml:space="preserve"> PAGE  \* MERGEFORMAT </w:instrText>
    </w:r>
    <w:r w:rsidR="001B42C9" w:rsidRPr="00CF4175">
      <w:rPr>
        <w:rFonts w:asciiTheme="majorBidi" w:hAnsiTheme="majorBidi" w:cstheme="majorBidi"/>
        <w:iCs/>
        <w:sz w:val="18"/>
        <w:szCs w:val="18"/>
      </w:rPr>
      <w:fldChar w:fldCharType="separate"/>
    </w:r>
    <w:r w:rsidR="0002478E">
      <w:rPr>
        <w:rFonts w:asciiTheme="majorBidi" w:hAnsiTheme="majorBidi" w:cstheme="majorBidi"/>
        <w:iCs/>
        <w:noProof/>
        <w:sz w:val="18"/>
        <w:szCs w:val="18"/>
      </w:rPr>
      <w:t>3</w:t>
    </w:r>
    <w:r w:rsidR="001B42C9" w:rsidRPr="00CF4175">
      <w:rPr>
        <w:rFonts w:asciiTheme="majorBidi" w:hAnsiTheme="majorBidi" w:cstheme="majorBidi"/>
        <w:iCs/>
        <w:sz w:val="18"/>
        <w:szCs w:val="18"/>
      </w:rPr>
      <w:fldChar w:fldCharType="end"/>
    </w:r>
    <w:r w:rsidR="00CF4175" w:rsidRPr="00CF4175">
      <w:rPr>
        <w:rFonts w:asciiTheme="majorBidi" w:hAnsiTheme="majorBidi" w:cstheme="majorBidi"/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4"/>
      <w:gridCol w:w="5131"/>
    </w:tblGrid>
    <w:tr w:rsidR="00CF4175" w:rsidTr="001026F2">
      <w:tc>
        <w:tcPr>
          <w:tcW w:w="4934" w:type="dxa"/>
          <w:tcMar>
            <w:left w:w="0" w:type="dxa"/>
          </w:tcMar>
        </w:tcPr>
        <w:p w:rsidR="00CF4175" w:rsidRDefault="00CF4175" w:rsidP="00CF417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B4A88D1" wp14:editId="656F951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CF4175" w:rsidRDefault="00CF4175" w:rsidP="00CF417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4B8558D" wp14:editId="2EB6B7CC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4175" w:rsidRPr="001B3D4D" w:rsidRDefault="00CF4175" w:rsidP="00CF4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478E"/>
    <w:rsid w:val="00026CF8"/>
    <w:rsid w:val="00030BD7"/>
    <w:rsid w:val="00031E64"/>
    <w:rsid w:val="00034340"/>
    <w:rsid w:val="00035CB3"/>
    <w:rsid w:val="00045A8D"/>
    <w:rsid w:val="0005167A"/>
    <w:rsid w:val="00054E5D"/>
    <w:rsid w:val="000553D5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648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1CB1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507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47E6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1075E"/>
    <w:rsid w:val="007234B1"/>
    <w:rsid w:val="00723D08"/>
    <w:rsid w:val="00725FDA"/>
    <w:rsid w:val="00727816"/>
    <w:rsid w:val="00730B9A"/>
    <w:rsid w:val="00746DF5"/>
    <w:rsid w:val="00750CFA"/>
    <w:rsid w:val="007553DA"/>
    <w:rsid w:val="00757425"/>
    <w:rsid w:val="00775DB8"/>
    <w:rsid w:val="00782354"/>
    <w:rsid w:val="00787298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92C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6F6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21D7B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4637"/>
    <w:rsid w:val="00CE076A"/>
    <w:rsid w:val="00CE463D"/>
    <w:rsid w:val="00CF4175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2F15"/>
    <w:rsid w:val="00E04C86"/>
    <w:rsid w:val="00E17344"/>
    <w:rsid w:val="00E20F30"/>
    <w:rsid w:val="00E2189C"/>
    <w:rsid w:val="00E25BB1"/>
    <w:rsid w:val="00E27BBA"/>
    <w:rsid w:val="00E30E3F"/>
    <w:rsid w:val="00E35E8F"/>
    <w:rsid w:val="00E41C07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B63D6"/>
    <w:rsid w:val="00EC00EF"/>
    <w:rsid w:val="00EC02FE"/>
    <w:rsid w:val="00EC132D"/>
    <w:rsid w:val="00EC4A96"/>
    <w:rsid w:val="00EE03A0"/>
    <w:rsid w:val="00EF6AD5"/>
    <w:rsid w:val="00EF72BE"/>
    <w:rsid w:val="00F0291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4175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F41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TabletextChar">
    <w:name w:val="Table_text Char"/>
    <w:link w:val="Tabletext"/>
    <w:uiPriority w:val="99"/>
    <w:locked/>
    <w:rsid w:val="00CF417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F4175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576B-43BF-4CFD-9C73-8DCAA7B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37</TotalTime>
  <Pages>3</Pages>
  <Words>557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18</cp:revision>
  <cp:lastPrinted>2016-02-10T15:09:00Z</cp:lastPrinted>
  <dcterms:created xsi:type="dcterms:W3CDTF">2019-09-24T09:13:00Z</dcterms:created>
  <dcterms:modified xsi:type="dcterms:W3CDTF">2019-10-16T05:41:00Z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