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FE08CC" w:rsidP="0000151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E08CC">
              <w:rPr>
                <w:b/>
                <w:bCs/>
                <w:szCs w:val="24"/>
                <w:lang w:val="fr-CH"/>
              </w:rPr>
              <w:t>CACE/</w:t>
            </w:r>
            <w:r w:rsidR="00B01F41">
              <w:rPr>
                <w:b/>
                <w:bCs/>
                <w:szCs w:val="24"/>
                <w:lang w:val="fr-CH"/>
              </w:rPr>
              <w:t>9</w:t>
            </w:r>
            <w:r w:rsidR="00001515">
              <w:rPr>
                <w:b/>
                <w:bCs/>
                <w:szCs w:val="24"/>
                <w:lang w:val="fr-CH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B01F41" w:rsidP="00F07173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>019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9B5811">
              <w:rPr>
                <w:szCs w:val="24"/>
                <w:lang w:eastAsia="zh-CN"/>
              </w:rPr>
              <w:t>10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F07173">
              <w:rPr>
                <w:szCs w:val="24"/>
                <w:lang w:eastAsia="zh-CN"/>
              </w:rPr>
              <w:t>17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FE08CC" w:rsidP="009B581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B01F41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FE08CC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B01F41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B01F41">
              <w:rPr>
                <w:rFonts w:eastAsia="SimSun" w:hint="eastAsia"/>
                <w:b/>
                <w:bCs/>
                <w:szCs w:val="24"/>
                <w:lang w:eastAsia="zh-CN"/>
              </w:rPr>
              <w:t>广播业务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FE08CC" w:rsidRPr="00FE08CC" w:rsidRDefault="00FE08CC" w:rsidP="009B5811">
            <w:pPr>
              <w:tabs>
                <w:tab w:val="clear" w:pos="1191"/>
                <w:tab w:val="clear" w:pos="1588"/>
                <w:tab w:val="clear" w:pos="1985"/>
              </w:tabs>
              <w:spacing w:before="80"/>
              <w:ind w:left="425" w:hanging="425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9B5811"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 w:rsidR="009B5811"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="009B5811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9B5811">
              <w:rPr>
                <w:rFonts w:asciiTheme="minorHAnsi" w:hAnsiTheme="minorHAnsi" w:cstheme="majorBidi"/>
                <w:b/>
                <w:bCs/>
                <w:lang w:eastAsia="zh-CN" w:bidi="ar-EG"/>
              </w:rPr>
              <w:t>2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份新建议书和</w:t>
            </w:r>
            <w:r w:rsidR="009B5811">
              <w:rPr>
                <w:rFonts w:asciiTheme="minorHAnsi" w:hAnsiTheme="minorHAnsi" w:cstheme="majorBidi"/>
                <w:b/>
                <w:bCs/>
                <w:lang w:eastAsia="zh-CN" w:bidi="ar-EG"/>
              </w:rPr>
              <w:t>9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="009B5811" w:rsidRPr="007B1918">
              <w:rPr>
                <w:rFonts w:asciiTheme="minorHAnsi" w:hAnsiTheme="minorHAnsi" w:cstheme="majorBidi"/>
                <w:b/>
                <w:bCs/>
                <w:lang w:eastAsia="zh-CN" w:bidi="ar-EG"/>
              </w:rPr>
              <w:t>，</w:t>
            </w:r>
            <w:r w:rsidR="009B5811"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并同时予以批准</w:t>
            </w:r>
          </w:p>
          <w:p w:rsidR="00FE08CC" w:rsidRPr="00FE08CC" w:rsidRDefault="00FE08CC" w:rsidP="00FE08CC">
            <w:pPr>
              <w:tabs>
                <w:tab w:val="clear" w:pos="1191"/>
                <w:tab w:val="clear" w:pos="1588"/>
                <w:tab w:val="clear" w:pos="1985"/>
              </w:tabs>
              <w:spacing w:before="80"/>
              <w:ind w:left="425" w:hanging="425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废止</w:t>
            </w:r>
            <w:r w:rsidR="00B01F41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份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:rsidR="009B5811" w:rsidRPr="00253BF1" w:rsidRDefault="009B5811" w:rsidP="009B5811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1-6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253BF1">
        <w:rPr>
          <w:rFonts w:asciiTheme="minorHAnsi" w:hAnsiTheme="minorHAnsi"/>
          <w:b/>
          <w:bCs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14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>
        <w:rPr>
          <w:rFonts w:asciiTheme="minorHAnsi" w:hAnsiTheme="minorHAnsi" w:cstheme="majorBidi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>
        <w:rPr>
          <w:rFonts w:asciiTheme="minorHAnsi" w:hAnsiTheme="minorHAnsi" w:cstheme="majorBidi"/>
          <w:lang w:eastAsia="zh-CN"/>
        </w:rPr>
        <w:t>913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>
        <w:rPr>
          <w:rFonts w:asciiTheme="minorHAnsi" w:hAnsiTheme="minorHAnsi" w:cstheme="majorBidi"/>
          <w:lang w:eastAsia="zh-CN"/>
        </w:rPr>
        <w:t>2</w:t>
      </w:r>
      <w:r w:rsidRPr="00253BF1">
        <w:rPr>
          <w:rFonts w:asciiTheme="minorHAnsi" w:hAnsiTheme="minorHAnsi" w:cstheme="majorBidi"/>
          <w:lang w:eastAsia="zh-CN"/>
        </w:rPr>
        <w:t>份新建议书草案和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</w:t>
      </w:r>
      <w:r w:rsidRPr="007B1918">
        <w:rPr>
          <w:rFonts w:asciiTheme="minorHAnsi" w:hAnsiTheme="minorHAnsi" w:cstheme="majorBidi"/>
          <w:lang w:eastAsia="zh-CN" w:bidi="ar-EG"/>
        </w:rPr>
        <w:t>（</w:t>
      </w:r>
      <w:r w:rsidRPr="007B1918">
        <w:rPr>
          <w:rFonts w:asciiTheme="minorHAnsi" w:hAnsiTheme="minorHAnsi" w:cstheme="majorBidi"/>
          <w:lang w:eastAsia="zh-CN" w:bidi="ar-EG"/>
        </w:rPr>
        <w:t>PSAA</w:t>
      </w:r>
      <w:r w:rsidRPr="007B1918">
        <w:rPr>
          <w:rFonts w:asciiTheme="minorHAnsi" w:hAnsiTheme="minorHAnsi" w:cstheme="majorBidi"/>
          <w:lang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。另外，研究组建议废止</w:t>
      </w:r>
      <w:r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</w:t>
      </w:r>
      <w:r w:rsidRPr="00253BF1">
        <w:rPr>
          <w:rFonts w:asciiTheme="minorHAnsi" w:hAnsiTheme="minorHAnsi"/>
          <w:b/>
          <w:bCs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建议书。</w:t>
      </w:r>
    </w:p>
    <w:p w:rsidR="009B5811" w:rsidRPr="00253BF1" w:rsidRDefault="009B5811" w:rsidP="009B5811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9B5811">
        <w:rPr>
          <w:lang w:eastAsia="zh-CN"/>
        </w:rPr>
        <w:t>20</w:t>
      </w:r>
      <w:r w:rsidRPr="009B5811">
        <w:rPr>
          <w:rFonts w:hint="eastAsia"/>
          <w:lang w:eastAsia="zh-CN"/>
        </w:rPr>
        <w:t>1</w:t>
      </w:r>
      <w:r w:rsidRPr="009B5811">
        <w:rPr>
          <w:lang w:eastAsia="zh-CN"/>
        </w:rPr>
        <w:t>9</w:t>
      </w:r>
      <w:r w:rsidRPr="009B5811">
        <w:rPr>
          <w:lang w:eastAsia="zh-CN"/>
        </w:rPr>
        <w:t>年</w:t>
      </w:r>
      <w:r w:rsidRPr="009B5811">
        <w:rPr>
          <w:lang w:eastAsia="zh-CN"/>
        </w:rPr>
        <w:t>10</w:t>
      </w:r>
      <w:r w:rsidRPr="009B5811">
        <w:rPr>
          <w:lang w:eastAsia="zh-CN"/>
        </w:rPr>
        <w:t>月</w:t>
      </w:r>
      <w:r w:rsidRPr="009B5811">
        <w:rPr>
          <w:lang w:eastAsia="zh-CN"/>
        </w:rPr>
        <w:t>14</w:t>
      </w:r>
      <w:r w:rsidRPr="009B5811">
        <w:rPr>
          <w:lang w:eastAsia="zh-CN"/>
        </w:rPr>
        <w:t>日</w:t>
      </w:r>
      <w:r w:rsidRPr="009B5811">
        <w:rPr>
          <w:rFonts w:asciiTheme="minorHAnsi" w:hAnsiTheme="minorHAnsi" w:cstheme="majorBidi"/>
          <w:lang w:eastAsia="zh-CN"/>
        </w:rPr>
        <w:t>得到满足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FE08CC" w:rsidRPr="007947D0" w:rsidRDefault="009B5811" w:rsidP="009B5811">
      <w:pPr>
        <w:ind w:firstLineChars="200" w:firstLine="480"/>
        <w:rPr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</w:t>
      </w:r>
      <w:r w:rsidRPr="00253BF1">
        <w:rPr>
          <w:rFonts w:asciiTheme="minorHAnsi" w:hAnsiTheme="minorHAnsi" w:cstheme="majorBidi"/>
          <w:lang w:eastAsia="zh-CN"/>
        </w:rPr>
        <w:t>1</w:t>
      </w:r>
      <w:r>
        <w:rPr>
          <w:rFonts w:asciiTheme="minorHAnsi" w:hAnsiTheme="minorHAnsi" w:cstheme="majorBidi"/>
          <w:lang w:eastAsia="zh-CN"/>
        </w:rPr>
        <w:t>提供了</w:t>
      </w:r>
      <w:r w:rsidRPr="00253BF1">
        <w:rPr>
          <w:rFonts w:asciiTheme="minorHAnsi" w:hAnsiTheme="minorHAnsi" w:cstheme="majorBidi"/>
          <w:lang w:eastAsia="zh-CN"/>
        </w:rPr>
        <w:t>这些建议书的标题和分配的编号。</w:t>
      </w:r>
      <w:bookmarkStart w:id="0" w:name="StartTyping_E"/>
      <w:bookmarkEnd w:id="0"/>
      <w:r w:rsidRPr="00253BF1">
        <w:rPr>
          <w:rFonts w:asciiTheme="minorHAnsi" w:hAnsiTheme="minorHAnsi" w:cstheme="majorBidi"/>
          <w:lang w:eastAsia="zh-CN"/>
        </w:rPr>
        <w:t>附件</w:t>
      </w:r>
      <w:r w:rsidRPr="00253BF1">
        <w:rPr>
          <w:rFonts w:asciiTheme="minorHAnsi" w:hAnsiTheme="minorHAnsi" w:cstheme="majorBidi"/>
          <w:lang w:eastAsia="zh-CN"/>
        </w:rPr>
        <w:t>2</w:t>
      </w:r>
      <w:r w:rsidRPr="00253BF1">
        <w:rPr>
          <w:rFonts w:asciiTheme="minorHAnsi" w:hAnsiTheme="minorHAnsi" w:cstheme="majorBidi"/>
          <w:lang w:eastAsia="zh-CN"/>
        </w:rPr>
        <w:t>提供了已废止的建议书清单。</w:t>
      </w:r>
    </w:p>
    <w:p w:rsidR="00ED6723" w:rsidRDefault="00ED6723" w:rsidP="009B5811">
      <w:pPr>
        <w:spacing w:before="1320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="00B01F41">
        <w:rPr>
          <w:rFonts w:ascii="SimSun" w:hAnsi="SimSun" w:hint="eastAsia"/>
          <w:szCs w:val="24"/>
          <w:lang w:eastAsia="zh-CN"/>
        </w:rPr>
        <w:t>马里奥</w:t>
      </w:r>
      <w:r w:rsidR="00B01F41">
        <w:rPr>
          <w:szCs w:val="24"/>
          <w:lang w:eastAsia="zh-CN"/>
        </w:rPr>
        <w:t>·</w:t>
      </w:r>
      <w:r w:rsidR="00B01F41">
        <w:rPr>
          <w:rFonts w:ascii="SimSun" w:hAnsi="SimSun" w:hint="eastAsia"/>
          <w:szCs w:val="24"/>
          <w:lang w:eastAsia="zh-CN"/>
        </w:rPr>
        <w:t>马尼维奇</w:t>
      </w:r>
    </w:p>
    <w:p w:rsidR="00FE08CC" w:rsidRDefault="00FE08CC" w:rsidP="009B5811">
      <w:pPr>
        <w:spacing w:before="240"/>
        <w:rPr>
          <w:lang w:eastAsia="zh-CN"/>
        </w:rPr>
      </w:pPr>
      <w:r>
        <w:rPr>
          <w:rFonts w:hint="eastAsia"/>
          <w:b/>
          <w:lang w:eastAsia="zh-CN"/>
        </w:rPr>
        <w:t>附件</w:t>
      </w:r>
      <w:r w:rsidR="009B5811">
        <w:rPr>
          <w:rFonts w:hint="eastAsia"/>
          <w:b/>
          <w:lang w:eastAsia="zh-CN"/>
        </w:rPr>
        <w:t>:</w:t>
      </w:r>
      <w:r w:rsidR="009B5811">
        <w:rPr>
          <w:b/>
          <w:lang w:eastAsia="zh-CN"/>
        </w:rPr>
        <w:t xml:space="preserve"> 2</w:t>
      </w:r>
    </w:p>
    <w:p w:rsidR="00FE08CC" w:rsidRPr="00ED6723" w:rsidRDefault="00FE08CC" w:rsidP="009B5811">
      <w:pPr>
        <w:spacing w:before="960"/>
        <w:rPr>
          <w:b/>
          <w:bCs/>
          <w:sz w:val="18"/>
          <w:szCs w:val="18"/>
          <w:lang w:eastAsia="zh-CN"/>
        </w:rPr>
      </w:pPr>
      <w:r w:rsidRPr="00ED6723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FE08CC" w:rsidRPr="00ED6723" w:rsidRDefault="00FE08CC" w:rsidP="00ED6723">
      <w:pPr>
        <w:pStyle w:val="enumlev1"/>
        <w:spacing w:before="40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国际电联成员国各主管部门和参与无线电通信第</w:t>
      </w:r>
      <w:r w:rsidR="008F1EC9">
        <w:rPr>
          <w:sz w:val="18"/>
          <w:szCs w:val="18"/>
          <w:lang w:eastAsia="zh-CN"/>
        </w:rPr>
        <w:t>6</w:t>
      </w:r>
      <w:r w:rsidRPr="00ED6723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FE08CC" w:rsidRPr="00ED6723" w:rsidRDefault="00FE08CC" w:rsidP="00ED6723">
      <w:pPr>
        <w:pStyle w:val="enumlev1"/>
        <w:spacing w:before="40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参加无线电通信第</w:t>
      </w:r>
      <w:r w:rsidR="008F1EC9">
        <w:rPr>
          <w:sz w:val="18"/>
          <w:szCs w:val="18"/>
          <w:lang w:eastAsia="zh-CN"/>
        </w:rPr>
        <w:t>6</w:t>
      </w:r>
      <w:r w:rsidRPr="00ED6723">
        <w:rPr>
          <w:rFonts w:hint="eastAsia"/>
          <w:sz w:val="18"/>
          <w:szCs w:val="18"/>
          <w:lang w:eastAsia="zh-CN"/>
        </w:rPr>
        <w:t>研究组工作的</w:t>
      </w:r>
      <w:r w:rsidRPr="00ED6723">
        <w:rPr>
          <w:sz w:val="18"/>
          <w:szCs w:val="18"/>
          <w:lang w:eastAsia="zh-CN"/>
        </w:rPr>
        <w:t>ITU-R</w:t>
      </w:r>
      <w:r w:rsidRPr="00ED6723">
        <w:rPr>
          <w:rFonts w:hint="eastAsia"/>
          <w:sz w:val="18"/>
          <w:szCs w:val="18"/>
          <w:lang w:eastAsia="zh-CN"/>
        </w:rPr>
        <w:t>部门准成员</w:t>
      </w:r>
    </w:p>
    <w:p w:rsidR="00FE08CC" w:rsidRPr="00ED6723" w:rsidRDefault="00FE08CC" w:rsidP="00ED6723">
      <w:pPr>
        <w:pStyle w:val="enumlev1"/>
        <w:spacing w:before="40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国际电联学术成员</w:t>
      </w:r>
    </w:p>
    <w:p w:rsidR="00FE08CC" w:rsidRPr="00ED6723" w:rsidRDefault="00FE08CC" w:rsidP="000F622F">
      <w:pPr>
        <w:pStyle w:val="enumlev1"/>
        <w:spacing w:before="40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无线电通信研究组的正副主席</w:t>
      </w:r>
    </w:p>
    <w:p w:rsidR="00FE08CC" w:rsidRPr="00ED6723" w:rsidRDefault="00FE08CC" w:rsidP="00ED6723">
      <w:pPr>
        <w:pStyle w:val="enumlev1"/>
        <w:spacing w:before="40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大会筹备会议的正副主席</w:t>
      </w:r>
    </w:p>
    <w:p w:rsidR="00FE08CC" w:rsidRPr="00ED6723" w:rsidRDefault="00FE08CC" w:rsidP="00ED6723">
      <w:pPr>
        <w:pStyle w:val="enumlev1"/>
        <w:spacing w:before="40"/>
        <w:ind w:left="567" w:hanging="567"/>
        <w:rPr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 w:rsidRPr="00ED6723">
        <w:rPr>
          <w:sz w:val="18"/>
          <w:szCs w:val="18"/>
          <w:lang w:eastAsia="zh-CN"/>
        </w:rPr>
        <w:tab/>
      </w:r>
      <w:r w:rsidRPr="00ED6723">
        <w:rPr>
          <w:rFonts w:hint="eastAsia"/>
          <w:sz w:val="18"/>
          <w:szCs w:val="18"/>
          <w:lang w:eastAsia="zh-CN"/>
        </w:rPr>
        <w:t>无线电规则委员会委员</w:t>
      </w:r>
    </w:p>
    <w:p w:rsidR="00FE08CC" w:rsidRPr="007947D0" w:rsidRDefault="00ED6723" w:rsidP="009B5811">
      <w:pPr>
        <w:pStyle w:val="enumlev1"/>
        <w:spacing w:before="40"/>
        <w:ind w:left="567" w:hanging="567"/>
        <w:rPr>
          <w:b/>
          <w:sz w:val="18"/>
          <w:szCs w:val="18"/>
          <w:lang w:eastAsia="zh-CN"/>
        </w:rPr>
      </w:pPr>
      <w:r w:rsidRPr="00ED6723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="00FE08CC" w:rsidRPr="00ED6723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  <w:r w:rsidR="00FE08CC" w:rsidRPr="007947D0">
        <w:rPr>
          <w:sz w:val="18"/>
          <w:szCs w:val="18"/>
          <w:lang w:eastAsia="zh-CN"/>
        </w:rPr>
        <w:br w:type="page"/>
      </w:r>
    </w:p>
    <w:p w:rsidR="00FE08CC" w:rsidRPr="0046596F" w:rsidRDefault="00FE08CC" w:rsidP="009B5811">
      <w:pPr>
        <w:pStyle w:val="AnnexNoTitle"/>
        <w:rPr>
          <w:lang w:eastAsia="zh-CN"/>
        </w:rPr>
      </w:pPr>
      <w:r w:rsidRPr="00ED6723">
        <w:rPr>
          <w:rFonts w:hint="eastAsia"/>
          <w:lang w:eastAsia="zh-CN"/>
        </w:rPr>
        <w:lastRenderedPageBreak/>
        <w:t>附件</w:t>
      </w:r>
      <w:r w:rsidR="00ED6723">
        <w:rPr>
          <w:lang w:eastAsia="zh-CN"/>
        </w:rPr>
        <w:t>1</w:t>
      </w:r>
      <w:r w:rsidR="00ED6723">
        <w:rPr>
          <w:lang w:eastAsia="zh-CN"/>
        </w:rPr>
        <w:br/>
      </w:r>
      <w:r w:rsidR="00ED6723">
        <w:rPr>
          <w:lang w:eastAsia="zh-CN"/>
        </w:rPr>
        <w:br/>
      </w:r>
      <w:r w:rsidR="009B5811" w:rsidRPr="00253BF1">
        <w:rPr>
          <w:rFonts w:asciiTheme="minorHAnsi" w:hAnsiTheme="minorHAnsi" w:cstheme="majorBidi"/>
          <w:lang w:eastAsia="zh-CN"/>
        </w:rPr>
        <w:t>已获批准的建议书的标题</w:t>
      </w:r>
    </w:p>
    <w:p w:rsidR="00FE08CC" w:rsidRPr="00926098" w:rsidRDefault="008F1EC9" w:rsidP="00E73324">
      <w:pPr>
        <w:tabs>
          <w:tab w:val="left" w:pos="7601"/>
        </w:tabs>
        <w:spacing w:before="320"/>
        <w:rPr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/>
          <w:szCs w:val="24"/>
          <w:u w:val="single"/>
          <w:lang w:eastAsia="zh-CN"/>
        </w:rPr>
        <w:t>BS.</w:t>
      </w:r>
      <w:r w:rsidR="00E73324">
        <w:rPr>
          <w:rFonts w:asciiTheme="minorHAnsi" w:hAnsiTheme="minorHAnsi" w:cstheme="minorHAnsi"/>
          <w:szCs w:val="24"/>
          <w:u w:val="single"/>
          <w:lang w:eastAsia="zh-CN"/>
        </w:rPr>
        <w:t>2132-0</w:t>
      </w:r>
      <w:r w:rsidR="00FE08CC" w:rsidRPr="00ED6723">
        <w:rPr>
          <w:u w:val="single"/>
          <w:lang w:eastAsia="zh-CN"/>
        </w:rPr>
        <w:t>建议书</w:t>
      </w:r>
      <w:r w:rsidR="00FE08CC">
        <w:rPr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379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="00FE08CC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FE08CC" w:rsidRDefault="006566CD" w:rsidP="006566CD">
      <w:pPr>
        <w:pStyle w:val="Rectitle"/>
        <w:rPr>
          <w:color w:val="000000"/>
          <w:lang w:eastAsia="zh-CN"/>
        </w:rPr>
      </w:pPr>
      <w:r w:rsidRPr="00F12828">
        <w:rPr>
          <w:rFonts w:hint="eastAsia"/>
          <w:color w:val="000000"/>
          <w:lang w:eastAsia="zh-CN"/>
        </w:rPr>
        <w:t>在无给定参考的情况下使用</w:t>
      </w:r>
      <w:r w:rsidRPr="00F12828">
        <w:rPr>
          <w:color w:val="000000"/>
          <w:lang w:eastAsia="zh-CN"/>
        </w:rPr>
        <w:t>多重刺激</w:t>
      </w:r>
      <w:r>
        <w:rPr>
          <w:color w:val="000000"/>
          <w:lang w:eastAsia="zh-CN"/>
        </w:rPr>
        <w:br/>
      </w:r>
      <w:r w:rsidRPr="00F12828">
        <w:rPr>
          <w:rFonts w:hint="eastAsia"/>
          <w:color w:val="000000"/>
          <w:lang w:eastAsia="zh-CN"/>
        </w:rPr>
        <w:t>对</w:t>
      </w:r>
      <w:r w:rsidRPr="00F12828">
        <w:rPr>
          <w:color w:val="000000"/>
          <w:lang w:eastAsia="zh-CN"/>
        </w:rPr>
        <w:t>音频系统</w:t>
      </w:r>
      <w:r w:rsidRPr="00F12828">
        <w:rPr>
          <w:rFonts w:hint="eastAsia"/>
          <w:color w:val="000000"/>
          <w:lang w:eastAsia="zh-CN"/>
        </w:rPr>
        <w:t>听觉差异进行主观质量评估的方法</w:t>
      </w:r>
    </w:p>
    <w:p w:rsidR="008F1EC9" w:rsidRPr="00926098" w:rsidRDefault="008F1EC9" w:rsidP="00E73324">
      <w:pPr>
        <w:tabs>
          <w:tab w:val="right" w:pos="9639"/>
        </w:tabs>
        <w:spacing w:before="360"/>
        <w:rPr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B56026">
        <w:rPr>
          <w:rFonts w:asciiTheme="minorHAnsi" w:hAnsiTheme="minorHAnsi" w:cstheme="minorHAnsi"/>
          <w:szCs w:val="24"/>
          <w:u w:val="single"/>
          <w:lang w:eastAsia="zh-CN"/>
        </w:rPr>
        <w:t>BT.</w:t>
      </w:r>
      <w:r w:rsidR="00E73324">
        <w:rPr>
          <w:rFonts w:asciiTheme="minorHAnsi" w:hAnsiTheme="minorHAnsi" w:cstheme="minorHAnsi"/>
          <w:szCs w:val="24"/>
          <w:u w:val="single"/>
          <w:lang w:eastAsia="zh-CN"/>
        </w:rPr>
        <w:t>2133-0</w:t>
      </w:r>
      <w:r w:rsidRPr="00ED6723">
        <w:rPr>
          <w:u w:val="single"/>
          <w:lang w:eastAsia="zh-CN"/>
        </w:rPr>
        <w:t>建议书</w:t>
      </w:r>
      <w:r>
        <w:rPr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384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Default="006566CD" w:rsidP="006566CD">
      <w:pPr>
        <w:pStyle w:val="Rectitle"/>
        <w:rPr>
          <w:lang w:eastAsia="zh-CN"/>
        </w:rPr>
      </w:pPr>
      <w:r w:rsidRPr="00F12828">
        <w:rPr>
          <w:rFonts w:eastAsia="SimSun" w:hint="eastAsia"/>
          <w:lang w:eastAsia="zh-CN"/>
        </w:rPr>
        <w:t>基于</w:t>
      </w:r>
      <w:r w:rsidRPr="00F12828">
        <w:rPr>
          <w:rFonts w:eastAsia="SimSun" w:hint="eastAsia"/>
          <w:lang w:eastAsia="zh-CN"/>
        </w:rPr>
        <w:t>IP</w:t>
      </w:r>
      <w:r w:rsidRPr="00F12828">
        <w:rPr>
          <w:rFonts w:eastAsia="SimSun" w:hint="eastAsia"/>
          <w:lang w:eastAsia="zh-CN"/>
        </w:rPr>
        <w:t>的广播系统中高级沉浸式视听（</w:t>
      </w:r>
      <w:r w:rsidRPr="00F12828">
        <w:rPr>
          <w:rFonts w:eastAsia="SimSun"/>
          <w:lang w:eastAsia="zh-CN"/>
        </w:rPr>
        <w:t>AIAV</w:t>
      </w:r>
      <w:r w:rsidRPr="00F12828">
        <w:rPr>
          <w:rFonts w:eastAsia="SimSun" w:hint="eastAsia"/>
          <w:lang w:eastAsia="zh-CN"/>
        </w:rPr>
        <w:t>）内容的传送</w:t>
      </w:r>
    </w:p>
    <w:p w:rsidR="008F1EC9" w:rsidRDefault="008F1EC9" w:rsidP="009F7104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/>
          <w:szCs w:val="24"/>
          <w:u w:val="single"/>
          <w:lang w:eastAsia="zh-CN"/>
        </w:rPr>
        <w:t>BT.1702-</w:t>
      </w:r>
      <w:r w:rsidR="009F7104" w:rsidRPr="009F7104">
        <w:rPr>
          <w:rFonts w:asciiTheme="minorHAnsi" w:hAnsiTheme="minorHAnsi" w:cstheme="minorHAnsi"/>
          <w:szCs w:val="24"/>
          <w:u w:val="single"/>
          <w:lang w:eastAsia="zh-CN"/>
        </w:rPr>
        <w:t>2</w:t>
      </w:r>
      <w:r w:rsidRPr="008F1EC9">
        <w:rPr>
          <w:rFonts w:asciiTheme="minorHAnsi" w:hAnsiTheme="minorHAnsi" w:cstheme="minorHAnsi"/>
          <w:szCs w:val="24"/>
          <w:u w:val="single"/>
          <w:lang w:eastAsia="zh-CN"/>
        </w:rPr>
        <w:tab/>
      </w:r>
      <w:r w:rsidR="002B4CA2" w:rsidRPr="009F7104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362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6566CD" w:rsidRPr="008D077B" w:rsidRDefault="006566CD" w:rsidP="006566CD">
      <w:pPr>
        <w:pStyle w:val="Rectitle"/>
        <w:rPr>
          <w:rFonts w:asciiTheme="minorHAnsi" w:hAnsiTheme="minorHAnsi" w:cstheme="minorHAnsi"/>
          <w:sz w:val="24"/>
          <w:szCs w:val="24"/>
          <w:lang w:eastAsia="zh-CN"/>
        </w:rPr>
      </w:pPr>
      <w:r w:rsidRPr="00F12828">
        <w:rPr>
          <w:rFonts w:cs="SimSun" w:hint="eastAsia"/>
          <w:lang w:eastAsia="zh-CN"/>
        </w:rPr>
        <w:t>减轻由电视导致的光敏癫痫发作的指南</w:t>
      </w:r>
    </w:p>
    <w:p w:rsidR="008F1EC9" w:rsidRDefault="008F1EC9" w:rsidP="00F228D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540F5F">
        <w:rPr>
          <w:rFonts w:asciiTheme="minorHAnsi" w:hAnsiTheme="minorHAnsi" w:cstheme="minorHAnsi"/>
          <w:szCs w:val="24"/>
          <w:u w:val="single"/>
          <w:lang w:eastAsia="zh-CN"/>
        </w:rPr>
        <w:t>BS.1283-</w:t>
      </w:r>
      <w:r w:rsidR="00F228D6" w:rsidRPr="009F7104">
        <w:rPr>
          <w:rFonts w:asciiTheme="minorHAnsi" w:hAnsiTheme="minorHAnsi" w:cstheme="minorHAnsi"/>
          <w:szCs w:val="24"/>
          <w:u w:val="single"/>
          <w:lang w:eastAsia="zh-CN"/>
        </w:rPr>
        <w:t>2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363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9F7104" w:rsidRDefault="009F7104" w:rsidP="002A52CE">
      <w:pPr>
        <w:pStyle w:val="Rectitle"/>
        <w:rPr>
          <w:rStyle w:val="RectitleChar"/>
          <w:rFonts w:eastAsia="MS Mincho"/>
          <w:b/>
          <w:bCs/>
          <w:color w:val="800000"/>
          <w:szCs w:val="28"/>
          <w:highlight w:val="green"/>
          <w:lang w:eastAsia="zh-CN"/>
        </w:rPr>
      </w:pPr>
      <w:r w:rsidRPr="009F7104">
        <w:rPr>
          <w:rStyle w:val="RectitleChar"/>
          <w:rFonts w:ascii="SimSun" w:eastAsia="SimSun" w:hAnsi="SimSun" w:cstheme="minorHAnsi" w:hint="eastAsia"/>
          <w:b/>
          <w:bCs/>
          <w:szCs w:val="28"/>
          <w:lang w:eastAsia="zh-CN"/>
        </w:rPr>
        <w:t>挑选最合适的有关声音质量主观评价的</w:t>
      </w:r>
      <w:r w:rsidRPr="009F7104">
        <w:rPr>
          <w:rStyle w:val="RectitleChar"/>
          <w:rFonts w:ascii="Times New Roman" w:eastAsia="SimSun" w:hAnsi="Times New Roman" w:cs="Times New Roman"/>
          <w:b/>
          <w:bCs/>
          <w:szCs w:val="28"/>
          <w:lang w:eastAsia="zh-CN"/>
        </w:rPr>
        <w:t>ITU-R</w:t>
      </w:r>
      <w:r w:rsidRPr="009F7104">
        <w:rPr>
          <w:rStyle w:val="RectitleChar"/>
          <w:rFonts w:ascii="SimSun" w:eastAsia="SimSun" w:hAnsi="SimSun" w:cstheme="minorHAnsi" w:hint="eastAsia"/>
          <w:b/>
          <w:bCs/>
          <w:szCs w:val="28"/>
          <w:lang w:eastAsia="zh-CN"/>
        </w:rPr>
        <w:t>建议书指</w:t>
      </w:r>
      <w:bookmarkStart w:id="1" w:name="_GoBack"/>
      <w:bookmarkEnd w:id="1"/>
      <w:r w:rsidRPr="009F7104">
        <w:rPr>
          <w:rStyle w:val="RectitleChar"/>
          <w:rFonts w:ascii="SimSun" w:eastAsia="SimSun" w:hAnsi="SimSun" w:cstheme="minorHAnsi" w:hint="eastAsia"/>
          <w:b/>
          <w:bCs/>
          <w:szCs w:val="28"/>
          <w:lang w:eastAsia="zh-CN"/>
        </w:rPr>
        <w:t>南</w:t>
      </w:r>
    </w:p>
    <w:p w:rsidR="008F1EC9" w:rsidRPr="008D077B" w:rsidRDefault="008F1EC9" w:rsidP="00F228D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880B5E">
        <w:rPr>
          <w:rFonts w:asciiTheme="minorHAnsi" w:hAnsiTheme="minorHAnsi" w:cstheme="minorHAnsi"/>
          <w:szCs w:val="24"/>
          <w:u w:val="single"/>
          <w:lang w:eastAsia="zh-CN"/>
        </w:rPr>
        <w:t>BT.500-1</w:t>
      </w:r>
      <w:r w:rsidR="00F228D6" w:rsidRPr="009F7104">
        <w:rPr>
          <w:rFonts w:asciiTheme="minorHAnsi" w:hAnsiTheme="minorHAnsi" w:cstheme="minorHAnsi"/>
          <w:szCs w:val="24"/>
          <w:u w:val="single"/>
          <w:lang w:eastAsia="zh-CN"/>
        </w:rPr>
        <w:t>4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364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1A0177" w:rsidRPr="00280C4C" w:rsidRDefault="00AF1D43" w:rsidP="001A0177">
      <w:pPr>
        <w:pStyle w:val="Rectitle"/>
        <w:rPr>
          <w:lang w:val="en-GB" w:eastAsia="zh-CN"/>
        </w:rPr>
      </w:pPr>
      <w:bookmarkStart w:id="2" w:name="Pre_title"/>
      <w:r>
        <w:rPr>
          <w:rFonts w:ascii="SimSun" w:eastAsia="SimSun" w:hAnsi="SimSun" w:cs="SimSun" w:hint="eastAsia"/>
          <w:bCs/>
          <w:szCs w:val="28"/>
          <w:lang w:eastAsia="zh-CN"/>
        </w:rPr>
        <w:t>电视</w:t>
      </w:r>
      <w:r w:rsidRPr="00877C31">
        <w:rPr>
          <w:rFonts w:ascii="SimSun" w:eastAsia="SimSun" w:hAnsi="SimSun" w:cs="SimSun" w:hint="eastAsia"/>
          <w:bCs/>
          <w:szCs w:val="28"/>
          <w:lang w:eastAsia="zh-CN"/>
        </w:rPr>
        <w:t>图像质量的主观评价方法</w:t>
      </w:r>
      <w:bookmarkEnd w:id="2"/>
    </w:p>
    <w:p w:rsidR="008F1EC9" w:rsidRPr="008D077B" w:rsidRDefault="008F1EC9" w:rsidP="00F228D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8F11DF">
        <w:rPr>
          <w:rFonts w:asciiTheme="minorHAnsi" w:hAnsiTheme="minorHAnsi" w:cstheme="minorHAnsi"/>
          <w:szCs w:val="24"/>
          <w:u w:val="single"/>
          <w:lang w:eastAsia="zh-CN"/>
        </w:rPr>
        <w:t>BS.450</w:t>
      </w:r>
      <w:r>
        <w:rPr>
          <w:rFonts w:asciiTheme="minorHAnsi" w:hAnsiTheme="minorHAnsi" w:cstheme="minorHAnsi"/>
          <w:szCs w:val="24"/>
          <w:u w:val="single"/>
          <w:lang w:eastAsia="zh-CN"/>
        </w:rPr>
        <w:t>-</w:t>
      </w:r>
      <w:r w:rsidR="00F228D6" w:rsidRPr="00F93FB3">
        <w:rPr>
          <w:rFonts w:asciiTheme="minorHAnsi" w:hAnsiTheme="minorHAnsi" w:cstheme="minorHAnsi"/>
          <w:szCs w:val="24"/>
          <w:u w:val="single"/>
          <w:lang w:eastAsia="zh-CN"/>
        </w:rPr>
        <w:t>4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377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550EA1" w:rsidRDefault="00214965" w:rsidP="00214965">
      <w:pPr>
        <w:pStyle w:val="Rectitle"/>
        <w:rPr>
          <w:rStyle w:val="RectitleChar"/>
          <w:rFonts w:asciiTheme="minorHAnsi" w:eastAsia="MS Mincho" w:hAnsiTheme="minorHAnsi" w:cstheme="minorHAnsi"/>
          <w:szCs w:val="28"/>
          <w:highlight w:val="yellow"/>
          <w:lang w:eastAsia="zh-CN"/>
        </w:rPr>
      </w:pPr>
      <w:r w:rsidRPr="001808EA">
        <w:rPr>
          <w:rFonts w:asciiTheme="minorHAnsi" w:eastAsia="MS Mincho" w:hAnsiTheme="minorHAnsi"/>
          <w:spacing w:val="2"/>
          <w:lang w:eastAsia="zh-CN"/>
        </w:rPr>
        <w:t>VHF</w:t>
      </w:r>
      <w:r>
        <w:rPr>
          <w:rFonts w:asciiTheme="minorHAnsi" w:hAnsiTheme="minorHAnsi" w:hint="eastAsia"/>
          <w:spacing w:val="2"/>
          <w:lang w:eastAsia="zh-CN"/>
        </w:rPr>
        <w:t>内</w:t>
      </w:r>
      <w:r>
        <w:rPr>
          <w:rFonts w:asciiTheme="minorHAnsi" w:hAnsiTheme="minorHAnsi" w:hint="eastAsia"/>
          <w:spacing w:val="2"/>
          <w:lang w:eastAsia="zh-CN"/>
        </w:rPr>
        <w:t>FM</w:t>
      </w:r>
      <w:r w:rsidRPr="00F12828">
        <w:rPr>
          <w:rFonts w:eastAsia="SimSun" w:hint="eastAsia"/>
          <w:spacing w:val="2"/>
          <w:lang w:eastAsia="zh-CN"/>
        </w:rPr>
        <w:t>声音广播的传输标准</w:t>
      </w:r>
    </w:p>
    <w:p w:rsidR="008F1EC9" w:rsidRPr="008D077B" w:rsidRDefault="008F1EC9" w:rsidP="00F228D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9429E3">
        <w:rPr>
          <w:rFonts w:asciiTheme="minorHAnsi" w:hAnsiTheme="minorHAnsi" w:cstheme="minorHAnsi"/>
          <w:szCs w:val="24"/>
          <w:u w:val="single"/>
          <w:lang w:eastAsia="zh-CN"/>
        </w:rPr>
        <w:t>BS.1196-</w:t>
      </w:r>
      <w:r w:rsidR="00F228D6" w:rsidRPr="00F93FB3">
        <w:rPr>
          <w:rFonts w:asciiTheme="minorHAnsi" w:hAnsiTheme="minorHAnsi" w:cstheme="minorHAnsi"/>
          <w:szCs w:val="24"/>
          <w:u w:val="single"/>
          <w:lang w:eastAsia="zh-CN"/>
        </w:rPr>
        <w:t>8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389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550EA1" w:rsidRDefault="00214965" w:rsidP="00214965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highlight w:val="yellow"/>
          <w:lang w:eastAsia="zh-CN"/>
        </w:rPr>
      </w:pPr>
      <w:r w:rsidRPr="00214965">
        <w:rPr>
          <w:rFonts w:eastAsia="SimSun"/>
          <w:b/>
          <w:spacing w:val="2"/>
          <w:sz w:val="28"/>
          <w:lang w:eastAsia="zh-CN"/>
        </w:rPr>
        <w:t>数字广播音频编码</w:t>
      </w:r>
    </w:p>
    <w:p w:rsidR="008F1EC9" w:rsidRPr="008D077B" w:rsidRDefault="008F1EC9" w:rsidP="00F07173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58245F">
        <w:rPr>
          <w:rFonts w:asciiTheme="minorHAnsi" w:hAnsiTheme="minorHAnsi" w:cstheme="minorHAnsi"/>
          <w:szCs w:val="24"/>
          <w:u w:val="single"/>
          <w:lang w:eastAsia="zh-CN"/>
        </w:rPr>
        <w:t>BS.1548-</w:t>
      </w:r>
      <w:r w:rsidR="00F07173">
        <w:rPr>
          <w:rFonts w:asciiTheme="minorHAnsi" w:hAnsiTheme="minorHAnsi" w:cstheme="minorHAnsi"/>
          <w:szCs w:val="24"/>
          <w:u w:val="single"/>
          <w:lang w:eastAsia="zh-CN"/>
        </w:rPr>
        <w:t>7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390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550EA1" w:rsidRDefault="00214965" w:rsidP="008F1EC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highlight w:val="yellow"/>
          <w:lang w:eastAsia="zh-CN"/>
        </w:rPr>
      </w:pPr>
      <w:r w:rsidRPr="00214965">
        <w:rPr>
          <w:rFonts w:eastAsia="SimSun"/>
          <w:b/>
          <w:spacing w:val="2"/>
          <w:sz w:val="28"/>
          <w:lang w:eastAsia="zh-CN"/>
        </w:rPr>
        <w:t>数字广播音频编码系统</w:t>
      </w:r>
      <w:r w:rsidRPr="00214965">
        <w:rPr>
          <w:rFonts w:eastAsia="SimSun" w:hint="eastAsia"/>
          <w:b/>
          <w:spacing w:val="2"/>
          <w:sz w:val="28"/>
          <w:lang w:eastAsia="zh-CN"/>
        </w:rPr>
        <w:t>的用户需求</w:t>
      </w:r>
    </w:p>
    <w:p w:rsidR="008F1EC9" w:rsidRPr="008D077B" w:rsidRDefault="008F1EC9" w:rsidP="00F228D6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554F8E">
        <w:rPr>
          <w:rFonts w:asciiTheme="minorHAnsi" w:hAnsiTheme="minorHAnsi" w:cstheme="minorHAnsi"/>
          <w:szCs w:val="24"/>
          <w:u w:val="single"/>
          <w:lang w:eastAsia="zh-CN"/>
        </w:rPr>
        <w:t>BT.1872-</w:t>
      </w:r>
      <w:r w:rsidR="00F228D6" w:rsidRPr="00F93FB3">
        <w:rPr>
          <w:rFonts w:asciiTheme="minorHAnsi" w:hAnsiTheme="minorHAnsi" w:cstheme="minorHAnsi"/>
          <w:szCs w:val="24"/>
          <w:u w:val="single"/>
          <w:lang w:eastAsia="zh-CN"/>
        </w:rPr>
        <w:t>3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391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214965" w:rsidRDefault="00214965" w:rsidP="008F1EC9">
      <w:pPr>
        <w:tabs>
          <w:tab w:val="right" w:pos="9639"/>
        </w:tabs>
        <w:spacing w:before="360"/>
        <w:jc w:val="center"/>
        <w:rPr>
          <w:rFonts w:eastAsia="SimSun"/>
          <w:spacing w:val="2"/>
          <w:lang w:eastAsia="zh-CN"/>
        </w:rPr>
      </w:pPr>
      <w:r w:rsidRPr="00214965">
        <w:rPr>
          <w:rFonts w:eastAsia="SimSun" w:hint="eastAsia"/>
          <w:b/>
          <w:spacing w:val="2"/>
          <w:sz w:val="28"/>
          <w:lang w:eastAsia="zh-CN"/>
        </w:rPr>
        <w:t>数字电视室外广播、电子</w:t>
      </w:r>
      <w:r w:rsidRPr="00214965">
        <w:rPr>
          <w:rFonts w:eastAsia="SimSun" w:hint="eastAsia"/>
          <w:b/>
          <w:spacing w:val="2"/>
          <w:sz w:val="28"/>
          <w:lang w:eastAsia="zh-CN"/>
        </w:rPr>
        <w:t>/</w:t>
      </w:r>
      <w:r w:rsidRPr="00214965">
        <w:rPr>
          <w:rFonts w:eastAsia="SimSun" w:hint="eastAsia"/>
          <w:b/>
          <w:spacing w:val="2"/>
          <w:sz w:val="28"/>
          <w:lang w:eastAsia="zh-CN"/>
        </w:rPr>
        <w:t>卫星新闻采集和</w:t>
      </w:r>
      <w:r w:rsidR="004B514A">
        <w:rPr>
          <w:rFonts w:eastAsia="SimSun"/>
          <w:b/>
          <w:spacing w:val="2"/>
          <w:sz w:val="28"/>
          <w:lang w:eastAsia="zh-CN"/>
        </w:rPr>
        <w:br/>
      </w:r>
      <w:r w:rsidRPr="00214965">
        <w:rPr>
          <w:rFonts w:eastAsia="SimSun" w:hint="eastAsia"/>
          <w:b/>
          <w:spacing w:val="2"/>
          <w:sz w:val="28"/>
          <w:lang w:eastAsia="zh-CN"/>
        </w:rPr>
        <w:t>电子现场制作等广播辅助业务的用户需求</w:t>
      </w:r>
    </w:p>
    <w:p w:rsidR="008F1EC9" w:rsidRPr="008D077B" w:rsidRDefault="008F1EC9" w:rsidP="00F228D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lastRenderedPageBreak/>
        <w:t xml:space="preserve">ITU-R </w:t>
      </w:r>
      <w:r w:rsidRPr="00C80636">
        <w:rPr>
          <w:rFonts w:asciiTheme="minorHAnsi" w:hAnsiTheme="minorHAnsi" w:cstheme="minorHAnsi"/>
          <w:szCs w:val="24"/>
          <w:u w:val="single"/>
          <w:lang w:eastAsia="zh-CN"/>
        </w:rPr>
        <w:t>BS.2076-</w:t>
      </w:r>
      <w:r w:rsidR="00F228D6" w:rsidRPr="00F93FB3">
        <w:rPr>
          <w:rFonts w:asciiTheme="minorHAnsi" w:hAnsiTheme="minorHAnsi" w:cstheme="minorHAnsi"/>
          <w:szCs w:val="24"/>
          <w:u w:val="single"/>
          <w:lang w:eastAsia="zh-CN"/>
        </w:rPr>
        <w:t>2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392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214965" w:rsidRDefault="00214965" w:rsidP="008F1EC9">
      <w:pPr>
        <w:tabs>
          <w:tab w:val="right" w:pos="9639"/>
        </w:tabs>
        <w:spacing w:before="360"/>
        <w:jc w:val="center"/>
        <w:rPr>
          <w:rFonts w:eastAsia="SimSun"/>
          <w:spacing w:val="2"/>
          <w:lang w:eastAsia="zh-CN"/>
        </w:rPr>
      </w:pPr>
      <w:r w:rsidRPr="00214965">
        <w:rPr>
          <w:rFonts w:eastAsia="SimSun"/>
          <w:b/>
          <w:spacing w:val="2"/>
          <w:sz w:val="28"/>
          <w:lang w:eastAsia="zh-CN"/>
        </w:rPr>
        <w:t>音频定义模型</w:t>
      </w:r>
    </w:p>
    <w:p w:rsidR="008F1EC9" w:rsidRPr="008D077B" w:rsidRDefault="008F1EC9" w:rsidP="00F228D6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89342E">
        <w:rPr>
          <w:rFonts w:asciiTheme="minorHAnsi" w:hAnsiTheme="minorHAnsi" w:cstheme="minorHAnsi"/>
          <w:szCs w:val="24"/>
          <w:u w:val="single"/>
          <w:lang w:eastAsia="zh-CN"/>
        </w:rPr>
        <w:t>BS.2088-</w:t>
      </w:r>
      <w:r w:rsidR="00F228D6" w:rsidRPr="00F93FB3">
        <w:rPr>
          <w:rFonts w:asciiTheme="minorHAnsi" w:hAnsiTheme="minorHAnsi" w:cstheme="minorHAnsi"/>
          <w:szCs w:val="24"/>
          <w:u w:val="single"/>
          <w:lang w:eastAsia="zh-CN"/>
        </w:rPr>
        <w:t>1</w:t>
      </w:r>
      <w:r w:rsidR="002B4CA2" w:rsidRPr="00ED6723">
        <w:rPr>
          <w:u w:val="single"/>
          <w:lang w:eastAsia="zh-CN"/>
        </w:rPr>
        <w:t>建议书</w:t>
      </w:r>
      <w:r w:rsidRPr="008D077B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6</w:t>
      </w:r>
      <w:r w:rsidRPr="008D077B">
        <w:rPr>
          <w:rFonts w:asciiTheme="minorHAnsi" w:hAnsiTheme="minorHAnsi" w:cstheme="minorHAnsi"/>
          <w:szCs w:val="24"/>
          <w:lang w:eastAsia="zh-CN"/>
        </w:rPr>
        <w:t>/</w:t>
      </w:r>
      <w:r>
        <w:rPr>
          <w:rFonts w:asciiTheme="minorHAnsi" w:hAnsiTheme="minorHAnsi" w:cstheme="minorHAnsi"/>
          <w:szCs w:val="24"/>
          <w:lang w:eastAsia="zh-CN"/>
        </w:rPr>
        <w:t>393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="006566CD"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8F1EC9" w:rsidRPr="00550EA1" w:rsidRDefault="00214965" w:rsidP="008F1EC9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highlight w:val="yellow"/>
          <w:lang w:eastAsia="zh-CN"/>
        </w:rPr>
      </w:pPr>
      <w:r w:rsidRPr="00214965">
        <w:rPr>
          <w:rFonts w:eastAsia="SimSun" w:hint="eastAsia"/>
          <w:b/>
          <w:spacing w:val="2"/>
          <w:sz w:val="28"/>
          <w:lang w:eastAsia="zh-CN"/>
        </w:rPr>
        <w:t>带有元数据的音频节目素材国际交换的长文件格式</w:t>
      </w:r>
    </w:p>
    <w:p w:rsidR="008F1EC9" w:rsidRDefault="008F1EC9" w:rsidP="00410738">
      <w:pPr>
        <w:rPr>
          <w:lang w:eastAsia="zh-CN"/>
        </w:rPr>
      </w:pPr>
    </w:p>
    <w:p w:rsidR="004B514A" w:rsidRDefault="004B51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8"/>
          <w:lang w:eastAsia="zh-CN"/>
        </w:rPr>
      </w:pPr>
    </w:p>
    <w:p w:rsidR="00DF660E" w:rsidRDefault="00DF66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8"/>
          <w:lang w:eastAsia="zh-CN"/>
        </w:rPr>
      </w:pPr>
    </w:p>
    <w:p w:rsidR="00FE08CC" w:rsidRPr="00ED6723" w:rsidRDefault="00FE08CC" w:rsidP="00EC38B3">
      <w:pPr>
        <w:pStyle w:val="AnnexNoTitle"/>
        <w:rPr>
          <w:lang w:eastAsia="zh-CN"/>
        </w:rPr>
      </w:pPr>
      <w:r w:rsidRPr="00ED6723">
        <w:rPr>
          <w:rFonts w:hint="eastAsia"/>
          <w:lang w:eastAsia="zh-CN"/>
        </w:rPr>
        <w:t>附件</w:t>
      </w:r>
      <w:r w:rsidRPr="00ED6723">
        <w:rPr>
          <w:rFonts w:hint="eastAsia"/>
          <w:lang w:eastAsia="zh-CN"/>
        </w:rPr>
        <w:t>2</w:t>
      </w:r>
      <w:r w:rsidRPr="00ED6723">
        <w:rPr>
          <w:lang w:eastAsia="zh-CN"/>
        </w:rPr>
        <w:br/>
      </w:r>
      <w:r>
        <w:rPr>
          <w:lang w:eastAsia="zh-CN"/>
        </w:rPr>
        <w:br/>
      </w:r>
      <w:r w:rsidR="00410738">
        <w:rPr>
          <w:rFonts w:hint="eastAsia"/>
          <w:lang w:eastAsia="zh-CN"/>
        </w:rPr>
        <w:t>废止的</w:t>
      </w:r>
      <w:r w:rsidR="006566CD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</w:t>
      </w:r>
    </w:p>
    <w:p w:rsidR="00B6766B" w:rsidRPr="00170F1E" w:rsidRDefault="00B6766B" w:rsidP="00D13164">
      <w:pPr>
        <w:rPr>
          <w:lang w:eastAsia="zh-CN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B6766B" w:rsidRPr="00170F1E" w:rsidTr="004D4C59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6B" w:rsidRPr="00D13164" w:rsidRDefault="00B6766B" w:rsidP="00D13164">
            <w:pPr>
              <w:pStyle w:val="Tablehead"/>
            </w:pPr>
            <w:r w:rsidRPr="00D13164">
              <w:t>ITU-R</w:t>
            </w:r>
            <w:r w:rsidRPr="00D13164">
              <w:rPr>
                <w:rFonts w:hint="eastAsia"/>
              </w:rPr>
              <w:t>建议书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66B" w:rsidRPr="00D13164" w:rsidRDefault="00B6766B" w:rsidP="00D13164">
            <w:pPr>
              <w:pStyle w:val="Tablehead"/>
            </w:pPr>
            <w:r w:rsidRPr="00D13164">
              <w:rPr>
                <w:rFonts w:hint="eastAsia"/>
              </w:rPr>
              <w:t>标题</w:t>
            </w:r>
          </w:p>
        </w:tc>
      </w:tr>
      <w:tr w:rsidR="008F1EC9" w:rsidRPr="00170F1E" w:rsidTr="004D4C5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EC9" w:rsidRPr="00A16B84" w:rsidRDefault="008F1EC9" w:rsidP="008F1EC9">
            <w:pPr>
              <w:pStyle w:val="Tabletext"/>
              <w:jc w:val="center"/>
              <w:rPr>
                <w:rFonts w:asciiTheme="minorHAnsi" w:hAnsiTheme="minorHAnsi" w:cstheme="majorBidi"/>
                <w:lang w:eastAsia="ja-JP"/>
              </w:rPr>
            </w:pPr>
            <w:r w:rsidRPr="000B7F49">
              <w:rPr>
                <w:rFonts w:asciiTheme="minorHAnsi" w:hAnsiTheme="minorHAnsi" w:cstheme="majorBidi"/>
                <w:lang w:eastAsia="ja-JP"/>
              </w:rPr>
              <w:t>BS.1286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EC9" w:rsidRPr="00AF7CE6" w:rsidRDefault="00B468EE" w:rsidP="008F1EC9">
            <w:pPr>
              <w:pStyle w:val="Tabletext"/>
              <w:rPr>
                <w:b/>
                <w:color w:val="800000"/>
                <w:highlight w:val="yellow"/>
                <w:lang w:eastAsia="zh-CN"/>
              </w:rPr>
            </w:pPr>
            <w:r>
              <w:rPr>
                <w:color w:val="000000"/>
                <w:lang w:eastAsia="zh-CN"/>
              </w:rPr>
              <w:t>对伴有图像的声音系统进行主观评估的方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法</w:t>
            </w:r>
          </w:p>
        </w:tc>
      </w:tr>
    </w:tbl>
    <w:p w:rsidR="00B6766B" w:rsidRPr="00170F1E" w:rsidRDefault="00B6766B" w:rsidP="00B6766B">
      <w:pPr>
        <w:rPr>
          <w:lang w:eastAsia="zh-CN"/>
        </w:rPr>
      </w:pPr>
    </w:p>
    <w:p w:rsidR="00ED6723" w:rsidRDefault="00ED6723" w:rsidP="00EC745E">
      <w:pPr>
        <w:jc w:val="center"/>
      </w:pPr>
      <w:r>
        <w:t>_______________</w:t>
      </w:r>
    </w:p>
    <w:sectPr w:rsidR="00ED6723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0B" w:rsidRDefault="0071080B">
      <w:r>
        <w:separator/>
      </w:r>
    </w:p>
  </w:endnote>
  <w:endnote w:type="continuationSeparator" w:id="0">
    <w:p w:rsidR="0071080B" w:rsidRDefault="0071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2E" w:rsidRPr="00677D2E" w:rsidRDefault="00677D2E" w:rsidP="00436C0E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2E" w:rsidRPr="00677D2E" w:rsidRDefault="00677D2E" w:rsidP="004B514A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41" w:rsidRPr="005E5EB3" w:rsidRDefault="00B01F41" w:rsidP="00B01F41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DA16E6" w:rsidRDefault="00DA16E6" w:rsidP="00DA16E6">
    <w:pPr>
      <w:pStyle w:val="FirstFooter"/>
      <w:ind w:left="-397" w:right="-397"/>
      <w:jc w:val="center"/>
      <w:rPr>
        <w:color w:val="3E8ED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0B" w:rsidRDefault="0071080B">
      <w:r>
        <w:t>____________________</w:t>
      </w:r>
    </w:p>
  </w:footnote>
  <w:footnote w:type="continuationSeparator" w:id="0">
    <w:p w:rsidR="0071080B" w:rsidRDefault="0071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7D2E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677D2E">
      <w:rPr>
        <w:sz w:val="18"/>
        <w:szCs w:val="18"/>
      </w:rPr>
      <w:t xml:space="preserve">- </w:t>
    </w:r>
    <w:r w:rsidR="001B42C9" w:rsidRPr="00677D2E">
      <w:rPr>
        <w:rStyle w:val="PageNumber"/>
        <w:sz w:val="18"/>
        <w:szCs w:val="18"/>
      </w:rPr>
      <w:fldChar w:fldCharType="begin"/>
    </w:r>
    <w:r w:rsidRPr="00677D2E">
      <w:rPr>
        <w:rStyle w:val="PageNumber"/>
        <w:sz w:val="18"/>
        <w:szCs w:val="18"/>
      </w:rPr>
      <w:instrText xml:space="preserve"> PAGE </w:instrText>
    </w:r>
    <w:r w:rsidR="001B42C9" w:rsidRPr="00677D2E">
      <w:rPr>
        <w:rStyle w:val="PageNumber"/>
        <w:sz w:val="18"/>
        <w:szCs w:val="18"/>
      </w:rPr>
      <w:fldChar w:fldCharType="separate"/>
    </w:r>
    <w:r w:rsidR="00F07173">
      <w:rPr>
        <w:rStyle w:val="PageNumber"/>
        <w:noProof/>
        <w:sz w:val="18"/>
        <w:szCs w:val="18"/>
      </w:rPr>
      <w:t>2</w:t>
    </w:r>
    <w:r w:rsidR="001B42C9" w:rsidRPr="00677D2E">
      <w:rPr>
        <w:rStyle w:val="PageNumber"/>
        <w:sz w:val="18"/>
        <w:szCs w:val="18"/>
      </w:rPr>
      <w:fldChar w:fldCharType="end"/>
    </w:r>
    <w:r w:rsidR="00AF051D" w:rsidRPr="00677D2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7D2E" w:rsidRDefault="00E915AF" w:rsidP="00677D2E">
    <w:pPr>
      <w:pStyle w:val="Header"/>
      <w:rPr>
        <w:iCs/>
        <w:sz w:val="18"/>
        <w:szCs w:val="18"/>
      </w:rPr>
    </w:pPr>
    <w:r>
      <w:tab/>
    </w:r>
    <w:r>
      <w:tab/>
    </w:r>
    <w:r w:rsidR="00677D2E">
      <w:rPr>
        <w:noProof/>
        <w:sz w:val="18"/>
        <w:szCs w:val="16"/>
      </w:rPr>
      <w:t xml:space="preserve">- </w:t>
    </w:r>
    <w:r w:rsidR="001B42C9" w:rsidRPr="00677D2E">
      <w:rPr>
        <w:iCs/>
        <w:sz w:val="18"/>
        <w:szCs w:val="18"/>
      </w:rPr>
      <w:fldChar w:fldCharType="begin"/>
    </w:r>
    <w:r w:rsidRPr="00677D2E">
      <w:rPr>
        <w:iCs/>
        <w:sz w:val="18"/>
        <w:szCs w:val="18"/>
      </w:rPr>
      <w:instrText xml:space="preserve"> PAGE  \* MERGEFORMAT </w:instrText>
    </w:r>
    <w:r w:rsidR="001B42C9" w:rsidRPr="00677D2E">
      <w:rPr>
        <w:iCs/>
        <w:sz w:val="18"/>
        <w:szCs w:val="18"/>
      </w:rPr>
      <w:fldChar w:fldCharType="separate"/>
    </w:r>
    <w:r w:rsidR="00F07173">
      <w:rPr>
        <w:iCs/>
        <w:noProof/>
        <w:sz w:val="18"/>
        <w:szCs w:val="18"/>
      </w:rPr>
      <w:t>3</w:t>
    </w:r>
    <w:r w:rsidR="001B42C9" w:rsidRPr="00677D2E">
      <w:rPr>
        <w:iCs/>
        <w:sz w:val="18"/>
        <w:szCs w:val="18"/>
      </w:rPr>
      <w:fldChar w:fldCharType="end"/>
    </w:r>
    <w:r w:rsidR="00677D2E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9150A7" w:rsidTr="00D13164">
      <w:trPr>
        <w:jc w:val="center"/>
      </w:trPr>
      <w:tc>
        <w:tcPr>
          <w:tcW w:w="5031" w:type="dxa"/>
        </w:tcPr>
        <w:p w:rsidR="009150A7" w:rsidRDefault="009150A7" w:rsidP="009150A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47CB6AA" wp14:editId="4F788B5F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9150A7" w:rsidRDefault="009150A7" w:rsidP="009150A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E879FC4" wp14:editId="1408FD65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443D9"/>
    <w:rsid w:val="00001515"/>
    <w:rsid w:val="000020A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421B"/>
    <w:rsid w:val="00070258"/>
    <w:rsid w:val="0007323C"/>
    <w:rsid w:val="00086D03"/>
    <w:rsid w:val="00096435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622F"/>
    <w:rsid w:val="00100B72"/>
    <w:rsid w:val="00101F7D"/>
    <w:rsid w:val="00103C76"/>
    <w:rsid w:val="00107117"/>
    <w:rsid w:val="0011265F"/>
    <w:rsid w:val="00117282"/>
    <w:rsid w:val="00117389"/>
    <w:rsid w:val="00121C2D"/>
    <w:rsid w:val="00134404"/>
    <w:rsid w:val="00144DFB"/>
    <w:rsid w:val="00164B62"/>
    <w:rsid w:val="00187CA3"/>
    <w:rsid w:val="001931C3"/>
    <w:rsid w:val="00196710"/>
    <w:rsid w:val="00196770"/>
    <w:rsid w:val="00197324"/>
    <w:rsid w:val="001A0177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965"/>
    <w:rsid w:val="002302B3"/>
    <w:rsid w:val="0023058B"/>
    <w:rsid w:val="00230C66"/>
    <w:rsid w:val="00231BA1"/>
    <w:rsid w:val="00235A29"/>
    <w:rsid w:val="00241526"/>
    <w:rsid w:val="002443A2"/>
    <w:rsid w:val="00264013"/>
    <w:rsid w:val="00266E74"/>
    <w:rsid w:val="00267444"/>
    <w:rsid w:val="00283C3B"/>
    <w:rsid w:val="002861E6"/>
    <w:rsid w:val="00287D18"/>
    <w:rsid w:val="002A2618"/>
    <w:rsid w:val="002A52CE"/>
    <w:rsid w:val="002A5DD7"/>
    <w:rsid w:val="002B0CAC"/>
    <w:rsid w:val="002B4CA2"/>
    <w:rsid w:val="002D3191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2F5D"/>
    <w:rsid w:val="003B55EC"/>
    <w:rsid w:val="003C2EA7"/>
    <w:rsid w:val="003C4471"/>
    <w:rsid w:val="003C7D41"/>
    <w:rsid w:val="003D4A69"/>
    <w:rsid w:val="003E3D96"/>
    <w:rsid w:val="003E504F"/>
    <w:rsid w:val="003E78D6"/>
    <w:rsid w:val="00400573"/>
    <w:rsid w:val="004007A3"/>
    <w:rsid w:val="00406D71"/>
    <w:rsid w:val="00410738"/>
    <w:rsid w:val="004326DB"/>
    <w:rsid w:val="0043682E"/>
    <w:rsid w:val="00436C0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514A"/>
    <w:rsid w:val="004B7C9A"/>
    <w:rsid w:val="004C6779"/>
    <w:rsid w:val="004C68C5"/>
    <w:rsid w:val="004D60E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7D9C"/>
    <w:rsid w:val="00543DF8"/>
    <w:rsid w:val="00546101"/>
    <w:rsid w:val="00553DD7"/>
    <w:rsid w:val="005638CF"/>
    <w:rsid w:val="00564423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66CD"/>
    <w:rsid w:val="00677D2E"/>
    <w:rsid w:val="006829F3"/>
    <w:rsid w:val="006A518B"/>
    <w:rsid w:val="006B0590"/>
    <w:rsid w:val="006B49DA"/>
    <w:rsid w:val="006C53F8"/>
    <w:rsid w:val="006C7CDE"/>
    <w:rsid w:val="0071080B"/>
    <w:rsid w:val="007234B1"/>
    <w:rsid w:val="00723D08"/>
    <w:rsid w:val="00724A5A"/>
    <w:rsid w:val="007253AF"/>
    <w:rsid w:val="00725FDA"/>
    <w:rsid w:val="00727816"/>
    <w:rsid w:val="00730B9A"/>
    <w:rsid w:val="00750CFA"/>
    <w:rsid w:val="007553DA"/>
    <w:rsid w:val="007616E7"/>
    <w:rsid w:val="007621B1"/>
    <w:rsid w:val="00775DB8"/>
    <w:rsid w:val="00782354"/>
    <w:rsid w:val="007921A7"/>
    <w:rsid w:val="00796CD6"/>
    <w:rsid w:val="007B3DB1"/>
    <w:rsid w:val="007C2E42"/>
    <w:rsid w:val="007D183E"/>
    <w:rsid w:val="007D43D0"/>
    <w:rsid w:val="007E1833"/>
    <w:rsid w:val="007E3F13"/>
    <w:rsid w:val="007E5037"/>
    <w:rsid w:val="007F751A"/>
    <w:rsid w:val="00800012"/>
    <w:rsid w:val="0080261F"/>
    <w:rsid w:val="00806160"/>
    <w:rsid w:val="008143A4"/>
    <w:rsid w:val="0081513E"/>
    <w:rsid w:val="008443D9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1E51"/>
    <w:rsid w:val="008F1EC9"/>
    <w:rsid w:val="008F4F21"/>
    <w:rsid w:val="00903708"/>
    <w:rsid w:val="00904D4A"/>
    <w:rsid w:val="009076D7"/>
    <w:rsid w:val="009150A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81C"/>
    <w:rsid w:val="00981B54"/>
    <w:rsid w:val="009842C3"/>
    <w:rsid w:val="009A009A"/>
    <w:rsid w:val="009A6BB6"/>
    <w:rsid w:val="009B3F43"/>
    <w:rsid w:val="009B5811"/>
    <w:rsid w:val="009B5CFA"/>
    <w:rsid w:val="009C161F"/>
    <w:rsid w:val="009C56B4"/>
    <w:rsid w:val="009C6A12"/>
    <w:rsid w:val="009D51A2"/>
    <w:rsid w:val="009D73DF"/>
    <w:rsid w:val="009E04A8"/>
    <w:rsid w:val="009E4AEC"/>
    <w:rsid w:val="009E5BD8"/>
    <w:rsid w:val="009E681E"/>
    <w:rsid w:val="009F7104"/>
    <w:rsid w:val="00A119E6"/>
    <w:rsid w:val="00A20FBC"/>
    <w:rsid w:val="00A31370"/>
    <w:rsid w:val="00A34D6F"/>
    <w:rsid w:val="00A41F91"/>
    <w:rsid w:val="00A63355"/>
    <w:rsid w:val="00A7596D"/>
    <w:rsid w:val="00A805F2"/>
    <w:rsid w:val="00A85D52"/>
    <w:rsid w:val="00A963DF"/>
    <w:rsid w:val="00AC0C22"/>
    <w:rsid w:val="00AC1F2B"/>
    <w:rsid w:val="00AC3896"/>
    <w:rsid w:val="00AD2CF2"/>
    <w:rsid w:val="00AE2D88"/>
    <w:rsid w:val="00AE6F6F"/>
    <w:rsid w:val="00AF051D"/>
    <w:rsid w:val="00AF1D43"/>
    <w:rsid w:val="00AF3325"/>
    <w:rsid w:val="00AF34D9"/>
    <w:rsid w:val="00AF70DA"/>
    <w:rsid w:val="00B019D3"/>
    <w:rsid w:val="00B01F41"/>
    <w:rsid w:val="00B06B90"/>
    <w:rsid w:val="00B23139"/>
    <w:rsid w:val="00B34CF9"/>
    <w:rsid w:val="00B37559"/>
    <w:rsid w:val="00B4054B"/>
    <w:rsid w:val="00B468EE"/>
    <w:rsid w:val="00B52C10"/>
    <w:rsid w:val="00B579B0"/>
    <w:rsid w:val="00B57D11"/>
    <w:rsid w:val="00B649D7"/>
    <w:rsid w:val="00B6766B"/>
    <w:rsid w:val="00B81C2F"/>
    <w:rsid w:val="00B90743"/>
    <w:rsid w:val="00B90C45"/>
    <w:rsid w:val="00B933BE"/>
    <w:rsid w:val="00BB75AD"/>
    <w:rsid w:val="00BD6738"/>
    <w:rsid w:val="00BD7E5E"/>
    <w:rsid w:val="00BE63DB"/>
    <w:rsid w:val="00BE6574"/>
    <w:rsid w:val="00C07319"/>
    <w:rsid w:val="00C16FD2"/>
    <w:rsid w:val="00C1746D"/>
    <w:rsid w:val="00C4395E"/>
    <w:rsid w:val="00C47FFD"/>
    <w:rsid w:val="00C51E92"/>
    <w:rsid w:val="00C570E1"/>
    <w:rsid w:val="00C57E2C"/>
    <w:rsid w:val="00C608B7"/>
    <w:rsid w:val="00C66F24"/>
    <w:rsid w:val="00C76D7F"/>
    <w:rsid w:val="00C813AA"/>
    <w:rsid w:val="00C9196D"/>
    <w:rsid w:val="00C9291E"/>
    <w:rsid w:val="00CA3F44"/>
    <w:rsid w:val="00CA4E58"/>
    <w:rsid w:val="00CB3771"/>
    <w:rsid w:val="00CB44BF"/>
    <w:rsid w:val="00CB5153"/>
    <w:rsid w:val="00CE076A"/>
    <w:rsid w:val="00CE463D"/>
    <w:rsid w:val="00D03C4F"/>
    <w:rsid w:val="00D10BA0"/>
    <w:rsid w:val="00D13164"/>
    <w:rsid w:val="00D21694"/>
    <w:rsid w:val="00D24EB5"/>
    <w:rsid w:val="00D33F26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DF660E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324"/>
    <w:rsid w:val="00E915AF"/>
    <w:rsid w:val="00E9576B"/>
    <w:rsid w:val="00E96415"/>
    <w:rsid w:val="00EA15B3"/>
    <w:rsid w:val="00EB2358"/>
    <w:rsid w:val="00EB3EB8"/>
    <w:rsid w:val="00EC00EF"/>
    <w:rsid w:val="00EC02FE"/>
    <w:rsid w:val="00EC38B3"/>
    <w:rsid w:val="00EC4A96"/>
    <w:rsid w:val="00EC745E"/>
    <w:rsid w:val="00ED6723"/>
    <w:rsid w:val="00EE03A0"/>
    <w:rsid w:val="00F07173"/>
    <w:rsid w:val="00F228D6"/>
    <w:rsid w:val="00F424BF"/>
    <w:rsid w:val="00F42E3A"/>
    <w:rsid w:val="00F44FC3"/>
    <w:rsid w:val="00F46107"/>
    <w:rsid w:val="00F468C5"/>
    <w:rsid w:val="00F52F39"/>
    <w:rsid w:val="00F55884"/>
    <w:rsid w:val="00F6184F"/>
    <w:rsid w:val="00F8310E"/>
    <w:rsid w:val="00F914DD"/>
    <w:rsid w:val="00F93FB3"/>
    <w:rsid w:val="00FA2358"/>
    <w:rsid w:val="00FB2592"/>
    <w:rsid w:val="00FB2810"/>
    <w:rsid w:val="00FB7A2C"/>
    <w:rsid w:val="00FC2947"/>
    <w:rsid w:val="00FD408A"/>
    <w:rsid w:val="00FE0818"/>
    <w:rsid w:val="00FE08CC"/>
    <w:rsid w:val="00FE29DC"/>
    <w:rsid w:val="00FE2B7E"/>
    <w:rsid w:val="00FE6FB1"/>
    <w:rsid w:val="00FF33EF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D4A33ED-E1B9-41CF-B04A-22FEE8A9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D1316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D13164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131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D131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FE08CC"/>
    <w:pPr>
      <w:keepNext/>
      <w:keepLines/>
      <w:spacing w:before="480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E08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D13164"/>
    <w:rPr>
      <w:sz w:val="22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13164"/>
    <w:rPr>
      <w:b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150A7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8F1EC9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A0177"/>
    <w:rPr>
      <w:color w:val="800080" w:themeColor="followedHyperlink"/>
      <w:u w:val="single"/>
    </w:rPr>
  </w:style>
  <w:style w:type="paragraph" w:customStyle="1" w:styleId="StyleFirstline2ch">
    <w:name w:val="Style First line:  2 ch"/>
    <w:basedOn w:val="Normal"/>
    <w:rsid w:val="001A0177"/>
    <w:pPr>
      <w:spacing w:line="360" w:lineRule="atLeast"/>
      <w:ind w:firstLineChars="200" w:firstLine="200"/>
    </w:pPr>
    <w:rPr>
      <w:rFonts w:ascii="Times New Roman" w:eastAsia="SimSun" w:hAnsi="Times New Roman" w:cs="Times New Roman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F8EC-54D1-46F3-BEDF-B1BD87CC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Song, Xiaojing</cp:lastModifiedBy>
  <cp:revision>12</cp:revision>
  <cp:lastPrinted>2019-08-02T07:37:00Z</cp:lastPrinted>
  <dcterms:created xsi:type="dcterms:W3CDTF">2019-09-27T12:41:00Z</dcterms:created>
  <dcterms:modified xsi:type="dcterms:W3CDTF">2019-10-16T08:06:00Z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