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C930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C930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C930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_GoBack"/>
            <w:bookmarkEnd w:id="0"/>
          </w:p>
        </w:tc>
      </w:tr>
      <w:tr w:rsidR="00E53DCE" w:rsidRPr="00C9308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C9308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Circular Administrativa</w:t>
            </w:r>
          </w:p>
          <w:p w:rsidR="00E53DCE" w:rsidRPr="00C93087" w:rsidRDefault="00E53DCE" w:rsidP="0033131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bCs/>
                <w:szCs w:val="24"/>
                <w:lang w:val="es-ES_tradnl"/>
              </w:rPr>
              <w:t>CA</w:t>
            </w:r>
            <w:r w:rsidR="005F2578" w:rsidRPr="00C93087">
              <w:rPr>
                <w:b/>
                <w:bCs/>
                <w:szCs w:val="24"/>
                <w:lang w:val="es-ES_tradnl"/>
              </w:rPr>
              <w:t>CE</w:t>
            </w:r>
            <w:r w:rsidRPr="00C93087">
              <w:rPr>
                <w:b/>
                <w:bCs/>
                <w:szCs w:val="24"/>
                <w:lang w:val="es-ES_tradnl"/>
              </w:rPr>
              <w:t>/</w:t>
            </w:r>
            <w:r w:rsidR="00D258FE">
              <w:rPr>
                <w:b/>
                <w:bCs/>
                <w:szCs w:val="24"/>
                <w:lang w:val="es-ES_tradnl"/>
              </w:rPr>
              <w:t>930</w:t>
            </w:r>
          </w:p>
        </w:tc>
        <w:tc>
          <w:tcPr>
            <w:tcW w:w="2835" w:type="dxa"/>
            <w:shd w:val="clear" w:color="auto" w:fill="auto"/>
          </w:tcPr>
          <w:p w:rsidR="00E53DCE" w:rsidRPr="00C93087" w:rsidRDefault="00DD341C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24</w:t>
            </w:r>
            <w:r w:rsidR="006305E7">
              <w:rPr>
                <w:bCs/>
                <w:szCs w:val="24"/>
                <w:lang w:val="es-ES_tradnl"/>
              </w:rPr>
              <w:t xml:space="preserve"> de Septiembre de 2019</w:t>
            </w: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C930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D341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5F2578" w:rsidP="006305E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C9308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 xml:space="preserve">en los trabajos de la Comisión de Estudio </w:t>
            </w:r>
            <w:r w:rsidR="006305E7">
              <w:rPr>
                <w:b/>
                <w:lang w:val="es-ES_tradnl"/>
              </w:rPr>
              <w:t>4</w:t>
            </w:r>
            <w:r w:rsidRPr="00C93087">
              <w:rPr>
                <w:b/>
                <w:lang w:val="es-ES_tradnl"/>
              </w:rPr>
              <w:t xml:space="preserve"> de Radiocomunicaciones</w:t>
            </w:r>
            <w:r w:rsidR="005B5641" w:rsidRPr="00C93087">
              <w:rPr>
                <w:b/>
                <w:lang w:val="es-ES_tradnl"/>
              </w:rPr>
              <w:t xml:space="preserve"> </w:t>
            </w:r>
            <w:r w:rsidRPr="00C9308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DD341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D341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D341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C93087">
              <w:rPr>
                <w:szCs w:val="24"/>
                <w:lang w:val="es-ES_tradnl"/>
              </w:rPr>
              <w:t>Asunto</w:t>
            </w:r>
            <w:r w:rsidR="00A96D3A" w:rsidRPr="00C930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2578" w:rsidRPr="00C93087" w:rsidRDefault="005F2578" w:rsidP="006305E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 xml:space="preserve">Comisión de Estudio </w:t>
            </w:r>
            <w:r w:rsidR="006305E7">
              <w:rPr>
                <w:b/>
                <w:bCs/>
                <w:lang w:val="es-ES_tradnl"/>
              </w:rPr>
              <w:t>4</w:t>
            </w:r>
            <w:r w:rsidRPr="00C93087">
              <w:rPr>
                <w:b/>
                <w:bCs/>
                <w:lang w:val="es-ES_tradnl"/>
              </w:rPr>
              <w:t xml:space="preserve"> de Radiocomunicaciones</w:t>
            </w:r>
            <w:r w:rsidR="00331313">
              <w:rPr>
                <w:b/>
                <w:bCs/>
                <w:lang w:val="es-ES_tradnl"/>
              </w:rPr>
              <w:t xml:space="preserve"> (</w:t>
            </w:r>
            <w:r w:rsidR="006305E7" w:rsidRPr="006305E7">
              <w:rPr>
                <w:b/>
                <w:bCs/>
                <w:szCs w:val="24"/>
                <w:lang w:val="es-ES"/>
              </w:rPr>
              <w:t>Servicios por satélite</w:t>
            </w:r>
            <w:r w:rsidR="00331313">
              <w:rPr>
                <w:b/>
                <w:bCs/>
                <w:lang w:val="es-ES_tradnl"/>
              </w:rPr>
              <w:t>)</w:t>
            </w:r>
          </w:p>
          <w:p w:rsidR="005F2578" w:rsidRPr="006305E7" w:rsidRDefault="005F2578" w:rsidP="006305E7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b/>
                <w:bCs/>
                <w:lang w:val="es-ES_tradnl"/>
              </w:rPr>
            </w:pPr>
            <w:r w:rsidRPr="00C93087">
              <w:rPr>
                <w:b/>
                <w:bCs/>
                <w:lang w:val="es-ES_tradnl"/>
              </w:rPr>
              <w:t>–</w:t>
            </w:r>
            <w:r w:rsidRPr="00C93087">
              <w:rPr>
                <w:b/>
                <w:bCs/>
                <w:lang w:val="es-ES_tradnl"/>
              </w:rPr>
              <w:tab/>
              <w:t>Aprobación de</w:t>
            </w:r>
            <w:r w:rsidR="006305E7">
              <w:rPr>
                <w:b/>
                <w:bCs/>
                <w:lang w:val="es-ES_tradnl"/>
              </w:rPr>
              <w:t xml:space="preserve"> 5</w:t>
            </w:r>
            <w:r w:rsidRPr="00C93087">
              <w:rPr>
                <w:b/>
                <w:bCs/>
                <w:lang w:val="es-ES_tradnl"/>
              </w:rPr>
              <w:t xml:space="preserve"> Recomendaciones UIT-R revisadas</w:t>
            </w:r>
          </w:p>
        </w:tc>
      </w:tr>
      <w:tr w:rsidR="00E53DCE" w:rsidRPr="00DD341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D341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930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D341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D341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930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5F2578" w:rsidRPr="00C93087" w:rsidRDefault="005F2578" w:rsidP="006305E7">
      <w:pPr>
        <w:rPr>
          <w:lang w:val="es-ES_tradnl"/>
        </w:rPr>
      </w:pPr>
      <w:r w:rsidRPr="00C93087">
        <w:rPr>
          <w:lang w:val="es-ES_tradnl"/>
        </w:rPr>
        <w:t>Mediante la Circular Administrativa CACE/</w:t>
      </w:r>
      <w:r w:rsidR="006305E7">
        <w:rPr>
          <w:lang w:val="es-ES_tradnl"/>
        </w:rPr>
        <w:t>910</w:t>
      </w:r>
      <w:r w:rsidRPr="00C93087">
        <w:rPr>
          <w:lang w:val="es-ES_tradnl"/>
        </w:rPr>
        <w:t xml:space="preserve">, de </w:t>
      </w:r>
      <w:r w:rsidR="006305E7">
        <w:rPr>
          <w:lang w:val="es-ES_tradnl"/>
        </w:rPr>
        <w:t>17 de julio de 2019</w:t>
      </w:r>
      <w:r w:rsidRPr="00C93087">
        <w:rPr>
          <w:lang w:val="es-ES_tradnl"/>
        </w:rPr>
        <w:t xml:space="preserve">, </w:t>
      </w:r>
      <w:r w:rsidR="006305E7">
        <w:rPr>
          <w:lang w:val="es-ES_tradnl"/>
        </w:rPr>
        <w:t>5 proyectos</w:t>
      </w:r>
      <w:r w:rsidRPr="00C93087">
        <w:rPr>
          <w:lang w:val="es-ES_tradnl"/>
        </w:rPr>
        <w:t xml:space="preserve"> de Recomendación</w:t>
      </w:r>
      <w:r w:rsidR="008C5CF2" w:rsidRPr="005D3757">
        <w:rPr>
          <w:lang w:val="es-ES_tradnl"/>
        </w:rPr>
        <w:t xml:space="preserve"> </w:t>
      </w:r>
      <w:r w:rsidR="008C5CF2" w:rsidRPr="008C5CF2">
        <w:rPr>
          <w:lang w:val="es-ES_tradnl"/>
        </w:rPr>
        <w:t>UIT-R</w:t>
      </w:r>
      <w:r w:rsidRPr="00C93087">
        <w:rPr>
          <w:lang w:val="es-ES_tradnl"/>
        </w:rPr>
        <w:t xml:space="preserve"> revisada fueron sometidos a aprobación de conformidad con el procedimiento descrito en la Resolución UIT</w:t>
      </w:r>
      <w:r w:rsidRPr="00C93087">
        <w:rPr>
          <w:lang w:val="es-ES_tradnl"/>
        </w:rPr>
        <w:noBreakHyphen/>
        <w:t xml:space="preserve">R 1-7 (§ A2.6.2.3). </w:t>
      </w:r>
    </w:p>
    <w:p w:rsidR="005F2578" w:rsidRPr="00C93087" w:rsidRDefault="005F2578" w:rsidP="006305E7">
      <w:pPr>
        <w:rPr>
          <w:lang w:val="es-ES_tradnl"/>
        </w:rPr>
      </w:pPr>
      <w:r w:rsidRPr="00C93087">
        <w:rPr>
          <w:lang w:val="es-ES_tradnl"/>
        </w:rPr>
        <w:t xml:space="preserve">El </w:t>
      </w:r>
      <w:r w:rsidR="006305E7">
        <w:rPr>
          <w:lang w:val="es-ES_tradnl"/>
        </w:rPr>
        <w:t xml:space="preserve">17 de septiembre </w:t>
      </w:r>
      <w:r w:rsidRPr="00C93087">
        <w:rPr>
          <w:lang w:val="es-ES_tradnl"/>
        </w:rPr>
        <w:t>de 201</w:t>
      </w:r>
      <w:r w:rsidR="006305E7">
        <w:rPr>
          <w:lang w:val="es-ES_tradnl"/>
        </w:rPr>
        <w:t>9</w:t>
      </w:r>
      <w:r w:rsidRPr="00C93087">
        <w:rPr>
          <w:lang w:val="es-ES_tradnl"/>
        </w:rPr>
        <w:t xml:space="preserve"> quedaron satisfechas las condiciones de dicho procedimiento.</w:t>
      </w:r>
    </w:p>
    <w:p w:rsidR="005F2578" w:rsidRPr="00C93087" w:rsidRDefault="005F2578" w:rsidP="006305E7">
      <w:pPr>
        <w:rPr>
          <w:lang w:val="es-ES_tradnl"/>
        </w:rPr>
      </w:pPr>
      <w:r w:rsidRPr="00C93087">
        <w:rPr>
          <w:lang w:val="es-ES_tradnl"/>
        </w:rPr>
        <w:t>La</w:t>
      </w:r>
      <w:r w:rsidR="006305E7">
        <w:rPr>
          <w:lang w:val="es-ES_tradnl"/>
        </w:rPr>
        <w:t>s Recomendaciones</w:t>
      </w:r>
      <w:r w:rsidRPr="00C93087">
        <w:rPr>
          <w:lang w:val="es-ES_tradnl"/>
        </w:rPr>
        <w:t xml:space="preserve"> aprobada</w:t>
      </w:r>
      <w:r w:rsidR="006305E7">
        <w:rPr>
          <w:lang w:val="es-ES_tradnl"/>
        </w:rPr>
        <w:t>s serán</w:t>
      </w:r>
      <w:r w:rsidRPr="00C93087">
        <w:rPr>
          <w:lang w:val="es-ES_tradnl"/>
        </w:rPr>
        <w:t xml:space="preserve"> publicadas por la UIT. En el Anexo </w:t>
      </w:r>
      <w:r w:rsidR="006305E7">
        <w:rPr>
          <w:lang w:val="es-ES_tradnl"/>
        </w:rPr>
        <w:t>a la presente Circular figuran</w:t>
      </w:r>
      <w:r w:rsidRPr="00C93087">
        <w:rPr>
          <w:lang w:val="es-ES_tradnl"/>
        </w:rPr>
        <w:t xml:space="preserve"> su</w:t>
      </w:r>
      <w:r w:rsidR="006305E7">
        <w:rPr>
          <w:lang w:val="es-ES_tradnl"/>
        </w:rPr>
        <w:t xml:space="preserve">s </w:t>
      </w:r>
      <w:r w:rsidRPr="00C93087">
        <w:rPr>
          <w:lang w:val="es-ES_tradnl"/>
        </w:rPr>
        <w:t xml:space="preserve">títulos junto con el número que se les ha asignado. </w:t>
      </w:r>
    </w:p>
    <w:p w:rsidR="005F2578" w:rsidRPr="00C93087" w:rsidRDefault="00675A2F" w:rsidP="006305E7">
      <w:pPr>
        <w:spacing w:before="1200" w:line="240" w:lineRule="auto"/>
        <w:jc w:val="left"/>
        <w:rPr>
          <w:szCs w:val="24"/>
          <w:lang w:val="es-ES_tradnl"/>
        </w:rPr>
      </w:pPr>
      <w:r w:rsidRPr="006305E7">
        <w:rPr>
          <w:szCs w:val="24"/>
          <w:lang w:val="es-ES"/>
        </w:rPr>
        <w:t xml:space="preserve">Mario </w:t>
      </w:r>
      <w:proofErr w:type="spellStart"/>
      <w:r w:rsidRPr="006305E7">
        <w:rPr>
          <w:szCs w:val="24"/>
          <w:lang w:val="es-ES"/>
        </w:rPr>
        <w:t>Maniewicz</w:t>
      </w:r>
      <w:proofErr w:type="spellEnd"/>
      <w:r w:rsidR="005F2578" w:rsidRPr="00C93087">
        <w:rPr>
          <w:szCs w:val="24"/>
          <w:lang w:val="es-ES_tradnl"/>
        </w:rPr>
        <w:br/>
        <w:t xml:space="preserve">Director </w:t>
      </w:r>
    </w:p>
    <w:p w:rsidR="005F2578" w:rsidRPr="00C93087" w:rsidRDefault="006305E7" w:rsidP="006305E7">
      <w:pPr>
        <w:tabs>
          <w:tab w:val="left" w:pos="4820"/>
        </w:tabs>
        <w:spacing w:before="720"/>
        <w:rPr>
          <w:bCs/>
          <w:lang w:val="es-ES_tradnl"/>
        </w:rPr>
      </w:pPr>
      <w:r>
        <w:rPr>
          <w:b/>
          <w:lang w:val="es-ES_tradnl"/>
        </w:rPr>
        <w:t>Anexo</w:t>
      </w:r>
      <w:r>
        <w:rPr>
          <w:bCs/>
          <w:lang w:val="es-ES_tradnl"/>
        </w:rPr>
        <w:t>:</w:t>
      </w:r>
      <w:r>
        <w:rPr>
          <w:bCs/>
          <w:lang w:val="es-ES_tradnl"/>
        </w:rPr>
        <w:tab/>
        <w:t>1</w:t>
      </w:r>
    </w:p>
    <w:p w:rsidR="005F2578" w:rsidRPr="00C93087" w:rsidRDefault="005F2578" w:rsidP="006305E7">
      <w:pPr>
        <w:tabs>
          <w:tab w:val="left" w:pos="6237"/>
        </w:tabs>
        <w:spacing w:before="1080" w:line="240" w:lineRule="auto"/>
        <w:rPr>
          <w:b/>
          <w:bCs/>
          <w:sz w:val="18"/>
          <w:szCs w:val="18"/>
          <w:lang w:val="es-ES_tradnl"/>
        </w:rPr>
      </w:pPr>
      <w:r w:rsidRPr="00C93087">
        <w:rPr>
          <w:b/>
          <w:bCs/>
          <w:sz w:val="18"/>
          <w:szCs w:val="18"/>
          <w:lang w:val="es-ES_tradnl"/>
        </w:rPr>
        <w:t>Distribución:</w:t>
      </w:r>
    </w:p>
    <w:p w:rsidR="005F2578" w:rsidRPr="00C93087" w:rsidRDefault="005F2578" w:rsidP="006305E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6305E7">
        <w:rPr>
          <w:sz w:val="18"/>
          <w:szCs w:val="18"/>
          <w:lang w:val="es-ES_tradnl"/>
        </w:rPr>
        <w:t>4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6305E7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6305E7">
        <w:rPr>
          <w:sz w:val="18"/>
          <w:szCs w:val="18"/>
          <w:lang w:val="es-ES_tradnl"/>
        </w:rPr>
        <w:t>4</w:t>
      </w:r>
      <w:r w:rsidRPr="00C93087">
        <w:rPr>
          <w:sz w:val="18"/>
          <w:szCs w:val="18"/>
          <w:lang w:val="es-ES_tradnl"/>
        </w:rPr>
        <w:t xml:space="preserve"> de Radiocomunicaciones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Instituciones Académicas de la UIT</w:t>
      </w:r>
    </w:p>
    <w:p w:rsidR="005F2578" w:rsidRPr="00C93087" w:rsidRDefault="005F2578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Miembros de la Junta del Reglamento de Radiocomunicaciones</w:t>
      </w:r>
    </w:p>
    <w:p w:rsidR="005F2578" w:rsidRPr="00C93087" w:rsidRDefault="005F2578" w:rsidP="006A68F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C93087">
        <w:rPr>
          <w:sz w:val="18"/>
          <w:szCs w:val="18"/>
          <w:lang w:val="es-ES_tradnl"/>
        </w:rPr>
        <w:t>–</w:t>
      </w:r>
      <w:r w:rsidRPr="00C93087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5F2578" w:rsidRPr="00A416F9" w:rsidRDefault="005F2578" w:rsidP="00A52B36">
      <w:pPr>
        <w:pStyle w:val="AnnexNotitle0"/>
        <w:spacing w:before="360"/>
        <w:rPr>
          <w:rFonts w:asciiTheme="minorHAnsi" w:hAnsiTheme="minorHAnsi"/>
        </w:rPr>
      </w:pPr>
      <w:r w:rsidRPr="00C93087">
        <w:br w:type="page"/>
      </w:r>
      <w:r w:rsidRPr="00A416F9">
        <w:rPr>
          <w:rFonts w:asciiTheme="minorHAnsi" w:hAnsiTheme="minorHAnsi"/>
        </w:rPr>
        <w:lastRenderedPageBreak/>
        <w:t>Anexo</w:t>
      </w:r>
      <w:r w:rsidRPr="00A416F9">
        <w:rPr>
          <w:rFonts w:asciiTheme="minorHAnsi" w:hAnsiTheme="minorHAnsi"/>
          <w:bCs/>
        </w:rPr>
        <w:br/>
      </w:r>
      <w:r w:rsidRPr="00A416F9">
        <w:rPr>
          <w:rFonts w:asciiTheme="minorHAnsi" w:hAnsiTheme="minorHAnsi"/>
          <w:bCs/>
        </w:rPr>
        <w:br/>
      </w:r>
      <w:r w:rsidR="00A52B36">
        <w:rPr>
          <w:rFonts w:asciiTheme="minorHAnsi" w:hAnsiTheme="minorHAnsi"/>
        </w:rPr>
        <w:t>Títulos de la</w:t>
      </w:r>
      <w:r w:rsidRPr="00A416F9">
        <w:rPr>
          <w:rFonts w:asciiTheme="minorHAnsi" w:hAnsiTheme="minorHAnsi"/>
        </w:rPr>
        <w:t xml:space="preserve">s </w:t>
      </w:r>
      <w:r w:rsidR="00A52B36" w:rsidRPr="00A416F9">
        <w:rPr>
          <w:rFonts w:asciiTheme="minorHAnsi" w:hAnsiTheme="minorHAnsi"/>
          <w:bCs/>
        </w:rPr>
        <w:t>Recomendaciones</w:t>
      </w:r>
      <w:r w:rsidR="00A52B36">
        <w:rPr>
          <w:rFonts w:asciiTheme="minorHAnsi" w:hAnsiTheme="minorHAnsi"/>
        </w:rPr>
        <w:t xml:space="preserve"> UIT-R aprobadas</w:t>
      </w:r>
    </w:p>
    <w:p w:rsidR="006305E7" w:rsidRPr="00DA429A" w:rsidRDefault="006305E7" w:rsidP="00A52B3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 w:rsidRPr="006305E7">
        <w:rPr>
          <w:szCs w:val="24"/>
          <w:u w:val="single"/>
          <w:lang w:val="es-ES"/>
        </w:rPr>
        <w:t>Recomendación UIT-R M.1901-</w:t>
      </w:r>
      <w:r w:rsidR="00A52B36">
        <w:rPr>
          <w:szCs w:val="24"/>
          <w:u w:val="single"/>
          <w:lang w:val="es-ES"/>
        </w:rPr>
        <w:t>2</w:t>
      </w:r>
      <w:r w:rsidRPr="006305E7">
        <w:rPr>
          <w:szCs w:val="24"/>
          <w:lang w:val="es-ES"/>
        </w:rPr>
        <w:t xml:space="preserve"> </w:t>
      </w:r>
      <w:r w:rsidRPr="00DA429A">
        <w:rPr>
          <w:rFonts w:asciiTheme="minorHAnsi" w:hAnsiTheme="minorHAnsi" w:cstheme="minorHAnsi"/>
          <w:szCs w:val="24"/>
          <w:lang w:val="es-ES"/>
        </w:rPr>
        <w:tab/>
        <w:t>Doc. 4/52(Rev.1)</w:t>
      </w:r>
    </w:p>
    <w:p w:rsidR="006305E7" w:rsidRPr="006305E7" w:rsidRDefault="006305E7" w:rsidP="006305E7">
      <w:pPr>
        <w:pStyle w:val="Rectitle"/>
        <w:rPr>
          <w:lang w:val="es-ES"/>
        </w:rPr>
      </w:pPr>
      <w:r w:rsidRPr="006305E7">
        <w:rPr>
          <w:lang w:val="es-ES"/>
        </w:rPr>
        <w:t>Directrices sobre Recomendaciones del UIT</w:t>
      </w:r>
      <w:r w:rsidRPr="006305E7">
        <w:rPr>
          <w:lang w:val="es-ES"/>
        </w:rPr>
        <w:noBreakHyphen/>
        <w:t>R relativas a sistemas y redes del servicio de radionavegación por satélite que funcionan en las bandas de frecuencias 1 164</w:t>
      </w:r>
      <w:r w:rsidRPr="006305E7">
        <w:rPr>
          <w:lang w:val="es-ES"/>
        </w:rPr>
        <w:noBreakHyphen/>
        <w:t>1 215 MHz, 1 215</w:t>
      </w:r>
      <w:r w:rsidRPr="006305E7">
        <w:rPr>
          <w:lang w:val="es-ES"/>
        </w:rPr>
        <w:noBreakHyphen/>
        <w:t>1 300 MHz, 1 559</w:t>
      </w:r>
      <w:r w:rsidRPr="006305E7">
        <w:rPr>
          <w:lang w:val="es-ES"/>
        </w:rPr>
        <w:noBreakHyphen/>
        <w:t xml:space="preserve">1 610 MHz, </w:t>
      </w:r>
      <w:r w:rsidRPr="006305E7">
        <w:rPr>
          <w:lang w:val="es-ES"/>
        </w:rPr>
        <w:br/>
        <w:t>5 000</w:t>
      </w:r>
      <w:r w:rsidRPr="006305E7">
        <w:rPr>
          <w:lang w:val="es-ES"/>
        </w:rPr>
        <w:noBreakHyphen/>
        <w:t>5 010 MHz y 5 010</w:t>
      </w:r>
      <w:r w:rsidRPr="006305E7">
        <w:rPr>
          <w:lang w:val="es-ES"/>
        </w:rPr>
        <w:noBreakHyphen/>
        <w:t>5 030 MHz</w:t>
      </w:r>
    </w:p>
    <w:p w:rsidR="006305E7" w:rsidRPr="006305E7" w:rsidRDefault="006305E7" w:rsidP="00A52B3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szCs w:val="24"/>
          <w:lang w:val="es-ES"/>
        </w:rPr>
      </w:pPr>
      <w:r w:rsidRPr="006305E7">
        <w:rPr>
          <w:szCs w:val="24"/>
          <w:u w:val="single"/>
          <w:lang w:val="es-ES"/>
        </w:rPr>
        <w:t>Recomendación UIT-R M.1902-</w:t>
      </w:r>
      <w:r w:rsidR="00A52B36">
        <w:rPr>
          <w:szCs w:val="24"/>
          <w:u w:val="single"/>
          <w:lang w:val="es-ES"/>
        </w:rPr>
        <w:t>1</w:t>
      </w:r>
      <w:r w:rsidRPr="006305E7">
        <w:rPr>
          <w:szCs w:val="24"/>
          <w:lang w:val="es-ES"/>
        </w:rPr>
        <w:tab/>
        <w:t>Doc. 4/53(Rev.1)</w:t>
      </w:r>
    </w:p>
    <w:p w:rsidR="006305E7" w:rsidRPr="006305E7" w:rsidRDefault="006305E7" w:rsidP="00A52B36">
      <w:pPr>
        <w:pStyle w:val="Rectitle"/>
        <w:rPr>
          <w:lang w:val="es-ES"/>
        </w:rPr>
      </w:pPr>
      <w:r w:rsidRPr="006305E7">
        <w:rPr>
          <w:lang w:val="es-ES"/>
        </w:rPr>
        <w:t xml:space="preserve">Características y criterios de protección de las estaciones terrenas receptoras </w:t>
      </w:r>
      <w:r w:rsidRPr="006305E7">
        <w:rPr>
          <w:lang w:val="es-ES"/>
        </w:rPr>
        <w:br/>
        <w:t>del servicio de radionavegació</w:t>
      </w:r>
      <w:r w:rsidR="00A52B36">
        <w:rPr>
          <w:lang w:val="es-ES"/>
        </w:rPr>
        <w:t>n por satélite (espacio-Tierra)</w:t>
      </w:r>
      <w:r w:rsidR="00A52B36">
        <w:rPr>
          <w:lang w:val="es-ES"/>
        </w:rPr>
        <w:br/>
      </w:r>
      <w:r w:rsidRPr="006305E7">
        <w:rPr>
          <w:lang w:val="es-ES"/>
        </w:rPr>
        <w:t>que funcionan en la banda 1 215</w:t>
      </w:r>
      <w:r w:rsidRPr="006305E7">
        <w:rPr>
          <w:lang w:val="es-ES"/>
        </w:rPr>
        <w:noBreakHyphen/>
        <w:t>1 300 MHz</w:t>
      </w:r>
    </w:p>
    <w:p w:rsidR="006305E7" w:rsidRPr="006305E7" w:rsidRDefault="006305E7" w:rsidP="00A52B3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szCs w:val="24"/>
          <w:lang w:val="es-ES"/>
        </w:rPr>
      </w:pPr>
      <w:r w:rsidRPr="006305E7">
        <w:rPr>
          <w:szCs w:val="24"/>
          <w:u w:val="single"/>
          <w:lang w:val="es-ES"/>
        </w:rPr>
        <w:t>Recomendación UIT-R M.1903-</w:t>
      </w:r>
      <w:r w:rsidR="00A52B36">
        <w:rPr>
          <w:szCs w:val="24"/>
          <w:u w:val="single"/>
          <w:lang w:val="es-ES"/>
        </w:rPr>
        <w:t>1</w:t>
      </w:r>
      <w:r w:rsidRPr="006305E7">
        <w:rPr>
          <w:szCs w:val="24"/>
          <w:lang w:val="es-ES"/>
        </w:rPr>
        <w:tab/>
        <w:t>Doc. 4/54(Rev.1)</w:t>
      </w:r>
    </w:p>
    <w:p w:rsidR="006305E7" w:rsidRPr="006305E7" w:rsidRDefault="006305E7" w:rsidP="00A52B36">
      <w:pPr>
        <w:pStyle w:val="Rectitle"/>
        <w:rPr>
          <w:lang w:val="es-ES"/>
        </w:rPr>
      </w:pPr>
      <w:r w:rsidRPr="006305E7">
        <w:rPr>
          <w:lang w:val="es-ES"/>
        </w:rPr>
        <w:t xml:space="preserve">Características y criterios de protección de las estaciones terrenas receptoras </w:t>
      </w:r>
      <w:r w:rsidRPr="006305E7">
        <w:rPr>
          <w:lang w:val="es-ES"/>
        </w:rPr>
        <w:br/>
        <w:t xml:space="preserve">del servicio de radionavegación por satélite (espacio-Tierra) y </w:t>
      </w:r>
      <w:r w:rsidR="00A52B36">
        <w:rPr>
          <w:lang w:val="es-ES"/>
        </w:rPr>
        <w:br/>
      </w:r>
      <w:r w:rsidRPr="006305E7">
        <w:rPr>
          <w:lang w:val="es-ES"/>
        </w:rPr>
        <w:t>de los receptores del servicio de radionavegación aeronáutica</w:t>
      </w:r>
      <w:r w:rsidR="00A52B36">
        <w:rPr>
          <w:lang w:val="es-ES"/>
        </w:rPr>
        <w:br/>
      </w:r>
      <w:r w:rsidRPr="006305E7">
        <w:rPr>
          <w:lang w:val="es-ES"/>
        </w:rPr>
        <w:t>que funcionan en la banda 1 559</w:t>
      </w:r>
      <w:r w:rsidRPr="006305E7">
        <w:rPr>
          <w:lang w:val="es-ES"/>
        </w:rPr>
        <w:noBreakHyphen/>
        <w:t>1 610 MHz</w:t>
      </w:r>
    </w:p>
    <w:p w:rsidR="006305E7" w:rsidRPr="006305E7" w:rsidRDefault="006305E7" w:rsidP="00A52B3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szCs w:val="24"/>
          <w:lang w:val="es-ES"/>
        </w:rPr>
      </w:pPr>
      <w:r w:rsidRPr="006305E7">
        <w:rPr>
          <w:szCs w:val="24"/>
          <w:u w:val="single"/>
          <w:lang w:val="es-ES"/>
        </w:rPr>
        <w:t>Recomendación UIT-R M.1904-</w:t>
      </w:r>
      <w:r w:rsidR="00A52B36">
        <w:rPr>
          <w:szCs w:val="24"/>
          <w:u w:val="single"/>
          <w:lang w:val="es-ES"/>
        </w:rPr>
        <w:t>1</w:t>
      </w:r>
      <w:r w:rsidRPr="006305E7">
        <w:rPr>
          <w:szCs w:val="24"/>
          <w:lang w:val="es-ES"/>
        </w:rPr>
        <w:tab/>
        <w:t>Doc. 4/55(Rev.1)</w:t>
      </w:r>
    </w:p>
    <w:p w:rsidR="006305E7" w:rsidRPr="006305E7" w:rsidRDefault="006305E7" w:rsidP="00A52B36">
      <w:pPr>
        <w:pStyle w:val="Rectitle"/>
        <w:rPr>
          <w:lang w:val="es-ES"/>
        </w:rPr>
      </w:pPr>
      <w:r w:rsidRPr="006305E7">
        <w:rPr>
          <w:lang w:val="es-ES"/>
        </w:rPr>
        <w:t>Características, requisitos de calidad de funcionamiento y criterios de protección de las estaciones receptoras del servicio de radionavegación por satélite</w:t>
      </w:r>
      <w:r w:rsidR="00A52B36">
        <w:rPr>
          <w:lang w:val="es-ES"/>
        </w:rPr>
        <w:br/>
      </w:r>
      <w:r w:rsidRPr="006305E7">
        <w:rPr>
          <w:lang w:val="es-ES"/>
        </w:rPr>
        <w:t>(espacio-espacio) que funcion</w:t>
      </w:r>
      <w:r w:rsidR="00A52B36">
        <w:rPr>
          <w:lang w:val="es-ES"/>
        </w:rPr>
        <w:t>an en las bandas de frecuencias</w:t>
      </w:r>
      <w:r w:rsidR="00A52B36">
        <w:rPr>
          <w:lang w:val="es-ES"/>
        </w:rPr>
        <w:br/>
      </w:r>
      <w:r w:rsidRPr="006305E7">
        <w:rPr>
          <w:lang w:val="es-ES"/>
        </w:rPr>
        <w:t>1 164</w:t>
      </w:r>
      <w:r w:rsidRPr="006305E7">
        <w:rPr>
          <w:lang w:val="es-ES"/>
        </w:rPr>
        <w:noBreakHyphen/>
        <w:t>1 215 MHz, 1 215</w:t>
      </w:r>
      <w:r w:rsidRPr="006305E7">
        <w:rPr>
          <w:lang w:val="es-ES"/>
        </w:rPr>
        <w:noBreakHyphen/>
        <w:t>1 300 MHz y 1 559</w:t>
      </w:r>
      <w:r w:rsidRPr="006305E7">
        <w:rPr>
          <w:lang w:val="es-ES"/>
        </w:rPr>
        <w:noBreakHyphen/>
        <w:t>1 610 MHz</w:t>
      </w:r>
    </w:p>
    <w:p w:rsidR="006305E7" w:rsidRPr="006305E7" w:rsidRDefault="006305E7" w:rsidP="00A52B3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jc w:val="left"/>
        <w:rPr>
          <w:szCs w:val="24"/>
          <w:lang w:val="es-ES"/>
        </w:rPr>
      </w:pPr>
      <w:r w:rsidRPr="006305E7">
        <w:rPr>
          <w:szCs w:val="24"/>
          <w:u w:val="single"/>
          <w:lang w:val="es-ES"/>
        </w:rPr>
        <w:t>Recomendación UIT-R M.1905-</w:t>
      </w:r>
      <w:r w:rsidR="00A52B36">
        <w:rPr>
          <w:szCs w:val="24"/>
          <w:u w:val="single"/>
          <w:lang w:val="es-ES"/>
        </w:rPr>
        <w:t>1</w:t>
      </w:r>
      <w:r w:rsidRPr="006305E7">
        <w:rPr>
          <w:szCs w:val="24"/>
          <w:lang w:val="es-ES"/>
        </w:rPr>
        <w:tab/>
        <w:t>Doc. 4/56(Rev.1)</w:t>
      </w:r>
    </w:p>
    <w:p w:rsidR="006305E7" w:rsidRPr="006305E7" w:rsidRDefault="006305E7" w:rsidP="00A52B36">
      <w:pPr>
        <w:pStyle w:val="Rectitle"/>
        <w:rPr>
          <w:lang w:val="es-ES"/>
        </w:rPr>
      </w:pPr>
      <w:r w:rsidRPr="006305E7">
        <w:rPr>
          <w:lang w:val="es-ES"/>
        </w:rPr>
        <w:t>Características y criterios de protección de las estaciones terrenas receptoras del servicio de radionavegació</w:t>
      </w:r>
      <w:r w:rsidR="00A52B36">
        <w:rPr>
          <w:lang w:val="es-ES"/>
        </w:rPr>
        <w:t>n por satélite (espacio-Tierra)</w:t>
      </w:r>
      <w:r w:rsidR="00A52B36">
        <w:rPr>
          <w:lang w:val="es-ES"/>
        </w:rPr>
        <w:br/>
      </w:r>
      <w:r w:rsidRPr="006305E7">
        <w:rPr>
          <w:lang w:val="es-ES"/>
        </w:rPr>
        <w:t>que funcionan en la banda 1 164</w:t>
      </w:r>
      <w:r w:rsidRPr="006305E7">
        <w:rPr>
          <w:lang w:val="es-ES"/>
        </w:rPr>
        <w:noBreakHyphen/>
        <w:t xml:space="preserve">1 215 MHz </w:t>
      </w:r>
    </w:p>
    <w:p w:rsidR="008B037E" w:rsidRPr="00C93087" w:rsidRDefault="008B037E">
      <w:pPr>
        <w:jc w:val="center"/>
        <w:rPr>
          <w:lang w:val="es-ES_tradnl"/>
        </w:rPr>
      </w:pPr>
      <w:r w:rsidRPr="00C93087">
        <w:rPr>
          <w:lang w:val="es-ES_tradnl"/>
        </w:rPr>
        <w:t>______________</w:t>
      </w:r>
    </w:p>
    <w:sectPr w:rsidR="008B037E" w:rsidRPr="00C9308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78" w:rsidRDefault="005F2578">
      <w:r>
        <w:separator/>
      </w:r>
    </w:p>
  </w:endnote>
  <w:endnote w:type="continuationSeparator" w:id="0">
    <w:p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533D6F" w:rsidRDefault="00533D6F" w:rsidP="00533D6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r w:rsidR="0070786B">
      <w:fldChar w:fldCharType="begin"/>
    </w:r>
    <w:r w:rsidR="0070786B" w:rsidRPr="0041251C">
      <w:rPr>
        <w:lang w:val="es-ES_tradnl"/>
        <w:rPrChange w:id="1" w:author="delaRosaT" w:date="2018-02-05T11:42:00Z">
          <w:rPr/>
        </w:rPrChange>
      </w:rPr>
      <w:instrText xml:space="preserve"> HYPERLINK "mailto:itumail@itu.int" </w:instrText>
    </w:r>
    <w:r w:rsidR="0070786B">
      <w:fldChar w:fldCharType="separate"/>
    </w:r>
    <w:r w:rsidRPr="00AC209A">
      <w:rPr>
        <w:rStyle w:val="Hyperlink"/>
        <w:sz w:val="18"/>
        <w:szCs w:val="18"/>
        <w:lang w:val="es-ES_tradnl"/>
      </w:rPr>
      <w:t>itumail@itu.int</w:t>
    </w:r>
    <w:r w:rsidR="0070786B">
      <w:rPr>
        <w:rStyle w:val="Hyperlink"/>
        <w:sz w:val="18"/>
        <w:szCs w:val="18"/>
        <w:lang w:val="es-ES_tradnl"/>
      </w:rPr>
      <w:fldChar w:fldCharType="end"/>
    </w:r>
    <w:r w:rsidRPr="00AC209A">
      <w:rPr>
        <w:sz w:val="18"/>
        <w:szCs w:val="18"/>
        <w:lang w:val="es-ES_tradnl"/>
      </w:rPr>
      <w:t xml:space="preserve"> • </w:t>
    </w:r>
    <w:r w:rsidR="0070786B">
      <w:fldChar w:fldCharType="begin"/>
    </w:r>
    <w:r w:rsidR="0070786B" w:rsidRPr="0041251C">
      <w:rPr>
        <w:lang w:val="es-ES_tradnl"/>
        <w:rPrChange w:id="2" w:author="delaRosaT" w:date="2018-02-05T11:42:00Z">
          <w:rPr/>
        </w:rPrChange>
      </w:rPr>
      <w:instrText xml:space="preserve"> HYPERLINK "http://www.itu.int/en/pages/default.aspx" </w:instrText>
    </w:r>
    <w:r w:rsidR="0070786B">
      <w:fldChar w:fldCharType="separate"/>
    </w:r>
    <w:r w:rsidRPr="00AC209A">
      <w:rPr>
        <w:rStyle w:val="Hyperlink"/>
        <w:sz w:val="18"/>
        <w:szCs w:val="18"/>
        <w:lang w:val="es-ES_tradnl"/>
      </w:rPr>
      <w:t>www.itu.int</w:t>
    </w:r>
    <w:r w:rsidR="0070786B">
      <w:rPr>
        <w:rStyle w:val="Hyperlink"/>
        <w:sz w:val="18"/>
        <w:szCs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78" w:rsidRDefault="005F2578">
      <w:r>
        <w:t>____________________</w:t>
      </w:r>
    </w:p>
  </w:footnote>
  <w:footnote w:type="continuationSeparator" w:id="0">
    <w:p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416F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D341C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A52B36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6305E7" w:rsidTr="00832D19">
      <w:tc>
        <w:tcPr>
          <w:tcW w:w="4800" w:type="dxa"/>
          <w:noWrap/>
          <w:tcMar>
            <w:left w:w="0" w:type="dxa"/>
          </w:tcMar>
        </w:tcPr>
        <w:p w:rsidR="006305E7" w:rsidRDefault="006305E7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6305E7" w:rsidRDefault="006305E7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305E7" w:rsidRDefault="00E915AF" w:rsidP="000D3F3B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aRosaT">
    <w15:presenceInfo w15:providerId="None" w15:userId="delaRos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10E30"/>
    <w:rsid w:val="00015C76"/>
    <w:rsid w:val="000268AF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7924"/>
    <w:rsid w:val="00181697"/>
    <w:rsid w:val="00187CA3"/>
    <w:rsid w:val="0019095C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2FA"/>
    <w:rsid w:val="002F2531"/>
    <w:rsid w:val="002F4967"/>
    <w:rsid w:val="00306452"/>
    <w:rsid w:val="00316935"/>
    <w:rsid w:val="003266ED"/>
    <w:rsid w:val="00326C68"/>
    <w:rsid w:val="0033029C"/>
    <w:rsid w:val="00331313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51C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D6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D3757"/>
    <w:rsid w:val="005E5EB3"/>
    <w:rsid w:val="005F2578"/>
    <w:rsid w:val="005F3CB6"/>
    <w:rsid w:val="005F657C"/>
    <w:rsid w:val="00602D53"/>
    <w:rsid w:val="006047E5"/>
    <w:rsid w:val="006305E7"/>
    <w:rsid w:val="0064371D"/>
    <w:rsid w:val="00650543"/>
    <w:rsid w:val="00650B2A"/>
    <w:rsid w:val="00651777"/>
    <w:rsid w:val="006550F8"/>
    <w:rsid w:val="00675A2F"/>
    <w:rsid w:val="006829F3"/>
    <w:rsid w:val="006A518B"/>
    <w:rsid w:val="006A68FB"/>
    <w:rsid w:val="006B0590"/>
    <w:rsid w:val="006B49DA"/>
    <w:rsid w:val="006B6CE6"/>
    <w:rsid w:val="006C53F8"/>
    <w:rsid w:val="006C7CDE"/>
    <w:rsid w:val="0070786B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0ED1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037E"/>
    <w:rsid w:val="008B35A3"/>
    <w:rsid w:val="008B37E1"/>
    <w:rsid w:val="008B45F8"/>
    <w:rsid w:val="008C2E74"/>
    <w:rsid w:val="008C5CF2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329"/>
    <w:rsid w:val="009C161F"/>
    <w:rsid w:val="009C56B4"/>
    <w:rsid w:val="009D51A2"/>
    <w:rsid w:val="009D604E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6F9"/>
    <w:rsid w:val="00A41F91"/>
    <w:rsid w:val="00A52B36"/>
    <w:rsid w:val="00A5512A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3ED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258FE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D341C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6305E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F490-3A92-4173-921B-618FA52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36</TotalTime>
  <Pages>2</Pages>
  <Words>454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Limousin, Catherine</cp:lastModifiedBy>
  <cp:revision>39</cp:revision>
  <cp:lastPrinted>2019-09-19T12:45:00Z</cp:lastPrinted>
  <dcterms:created xsi:type="dcterms:W3CDTF">2016-02-10T15:21:00Z</dcterms:created>
  <dcterms:modified xsi:type="dcterms:W3CDTF">2019-09-19T12:54:00Z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