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14:paraId="53FC763A" w14:textId="77777777" w:rsidTr="0029677E">
        <w:tc>
          <w:tcPr>
            <w:tcW w:w="5000" w:type="pct"/>
            <w:gridSpan w:val="3"/>
            <w:shd w:val="clear" w:color="auto" w:fill="auto"/>
          </w:tcPr>
          <w:p w14:paraId="43029D0E" w14:textId="77777777"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14:paraId="564FF1CF" w14:textId="77777777"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14:paraId="3C92F30C" w14:textId="77777777" w:rsidTr="0029677E">
        <w:tc>
          <w:tcPr>
            <w:tcW w:w="2707" w:type="pct"/>
            <w:gridSpan w:val="2"/>
            <w:shd w:val="clear" w:color="auto" w:fill="auto"/>
          </w:tcPr>
          <w:p w14:paraId="3F764DAA" w14:textId="77777777" w:rsidR="00645156" w:rsidRPr="00645156" w:rsidRDefault="00645156" w:rsidP="006451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AE"/>
              </w:rPr>
            </w:pPr>
            <w:r w:rsidRPr="00645156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14:paraId="05A703DC" w14:textId="388E52AB" w:rsidR="00AF70F6" w:rsidRPr="00AF70F6" w:rsidRDefault="00645156" w:rsidP="006451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645156">
              <w:rPr>
                <w:rFonts w:eastAsiaTheme="minorEastAsia"/>
                <w:b/>
                <w:bCs/>
                <w:lang w:val="en-GB" w:eastAsia="zh-CN" w:bidi="ar-AE"/>
              </w:rPr>
              <w:t>CACE/</w:t>
            </w:r>
            <w:r w:rsidRPr="00645156">
              <w:rPr>
                <w:rFonts w:eastAsiaTheme="minorEastAsia"/>
                <w:b/>
                <w:bCs/>
                <w:lang w:eastAsia="zh-CN" w:bidi="ar-AE"/>
              </w:rPr>
              <w:t>926</w:t>
            </w:r>
          </w:p>
        </w:tc>
        <w:tc>
          <w:tcPr>
            <w:tcW w:w="2293" w:type="pct"/>
            <w:shd w:val="clear" w:color="auto" w:fill="auto"/>
          </w:tcPr>
          <w:p w14:paraId="734BC35E" w14:textId="06A1368A" w:rsidR="00AF70F6" w:rsidRPr="00AF70F6" w:rsidRDefault="009312D1" w:rsidP="006451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19</w:t>
            </w:r>
            <w:r w:rsidR="00645156" w:rsidRPr="00645156">
              <w:rPr>
                <w:rFonts w:eastAsiaTheme="minorEastAsia" w:hint="cs"/>
                <w:rtl/>
                <w:lang w:val="fr-FR" w:eastAsia="zh-CN" w:bidi="ar-SY"/>
              </w:rPr>
              <w:t xml:space="preserve"> سبتمبر </w:t>
            </w:r>
            <w:r w:rsidR="00645156" w:rsidRPr="00645156">
              <w:rPr>
                <w:rFonts w:eastAsiaTheme="minorEastAsia"/>
                <w:lang w:eastAsia="zh-CN" w:bidi="ar-SY"/>
              </w:rPr>
              <w:t>2019</w:t>
            </w:r>
          </w:p>
        </w:tc>
      </w:tr>
      <w:tr w:rsidR="00AF70F6" w:rsidRPr="00AF70F6" w14:paraId="737CAA19" w14:textId="77777777" w:rsidTr="0029677E">
        <w:tc>
          <w:tcPr>
            <w:tcW w:w="5000" w:type="pct"/>
            <w:gridSpan w:val="3"/>
            <w:shd w:val="clear" w:color="auto" w:fill="auto"/>
          </w:tcPr>
          <w:p w14:paraId="6C82DD9C" w14:textId="77777777"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75194B3C" w14:textId="77777777" w:rsidTr="0029677E">
        <w:tc>
          <w:tcPr>
            <w:tcW w:w="5000" w:type="pct"/>
            <w:gridSpan w:val="3"/>
            <w:shd w:val="clear" w:color="auto" w:fill="auto"/>
          </w:tcPr>
          <w:p w14:paraId="109667D0" w14:textId="77777777"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4635AF20" w14:textId="77777777" w:rsidTr="0029677E">
        <w:tc>
          <w:tcPr>
            <w:tcW w:w="5000" w:type="pct"/>
            <w:gridSpan w:val="3"/>
            <w:shd w:val="clear" w:color="auto" w:fill="auto"/>
          </w:tcPr>
          <w:p w14:paraId="6668313C" w14:textId="0BADE49C" w:rsidR="00AF70F6" w:rsidRPr="00AF70F6" w:rsidRDefault="0064515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F86650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>
              <w:rPr>
                <w:rFonts w:eastAsiaTheme="minorEastAsia"/>
                <w:b/>
                <w:bCs/>
                <w:lang w:val="en-GB" w:eastAsia="zh-CN" w:bidi="ar-SY"/>
              </w:rPr>
              <w:t>5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14:paraId="639E108C" w14:textId="77777777" w:rsidTr="001D222D">
        <w:tc>
          <w:tcPr>
            <w:tcW w:w="5000" w:type="pct"/>
            <w:gridSpan w:val="3"/>
            <w:shd w:val="clear" w:color="auto" w:fill="auto"/>
          </w:tcPr>
          <w:p w14:paraId="148C40C9" w14:textId="77777777"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14:paraId="5533146E" w14:textId="77777777" w:rsidTr="001D222D">
        <w:tc>
          <w:tcPr>
            <w:tcW w:w="5000" w:type="pct"/>
            <w:gridSpan w:val="3"/>
            <w:shd w:val="clear" w:color="auto" w:fill="auto"/>
          </w:tcPr>
          <w:p w14:paraId="41EDA72C" w14:textId="77777777"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448552D3" w14:textId="77777777" w:rsidTr="0029677E">
        <w:trPr>
          <w:trHeight w:val="452"/>
        </w:trPr>
        <w:tc>
          <w:tcPr>
            <w:tcW w:w="699" w:type="pct"/>
            <w:shd w:val="clear" w:color="auto" w:fill="auto"/>
          </w:tcPr>
          <w:p w14:paraId="23A3AAD0" w14:textId="77777777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82126A8" w14:textId="77777777" w:rsidR="00645156" w:rsidRPr="00645156" w:rsidRDefault="00645156" w:rsidP="00645156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645156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645156">
              <w:rPr>
                <w:b/>
                <w:bCs/>
                <w:lang w:bidi="ar-EG"/>
              </w:rPr>
              <w:t>5</w:t>
            </w:r>
            <w:r w:rsidRPr="00645156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645156">
              <w:rPr>
                <w:rFonts w:hint="cs"/>
                <w:b/>
                <w:bCs/>
                <w:rtl/>
                <w:lang w:bidi="ar-EG"/>
              </w:rPr>
              <w:t>ة (خدمات الأرض)</w:t>
            </w:r>
          </w:p>
          <w:p w14:paraId="252982A2" w14:textId="2291BB4A" w:rsidR="00AF70F6" w:rsidRPr="00AF70F6" w:rsidRDefault="00645156" w:rsidP="00645156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645156">
              <w:rPr>
                <w:rFonts w:hint="cs"/>
                <w:b/>
                <w:bCs/>
                <w:rtl/>
                <w:lang w:bidi="ar-EG"/>
              </w:rPr>
              <w:t>-</w:t>
            </w:r>
            <w:r w:rsidRPr="00645156">
              <w:rPr>
                <w:b/>
                <w:bCs/>
                <w:rtl/>
                <w:lang w:bidi="ar-EG"/>
              </w:rPr>
              <w:tab/>
            </w:r>
            <w:r w:rsidRPr="00645156">
              <w:rPr>
                <w:rFonts w:hint="cs"/>
                <w:b/>
                <w:bCs/>
                <w:rtl/>
                <w:lang w:bidi="ar-EG"/>
              </w:rPr>
              <w:t>اقتراح للموافقة على مشاريع</w:t>
            </w:r>
            <w:r w:rsidR="008F0341" w:rsidRPr="00645156">
              <w:rPr>
                <w:rFonts w:hint="cs"/>
                <w:b/>
                <w:bCs/>
                <w:rtl/>
                <w:lang w:bidi="ar-EG"/>
              </w:rPr>
              <w:t xml:space="preserve"> مراجعة </w:t>
            </w:r>
            <w:r w:rsidRPr="00645156">
              <w:rPr>
                <w:b/>
                <w:bCs/>
                <w:lang w:bidi="ar-EG"/>
              </w:rPr>
              <w:t>6</w:t>
            </w:r>
            <w:r w:rsidRPr="00645156">
              <w:rPr>
                <w:rFonts w:hint="cs"/>
                <w:b/>
                <w:bCs/>
                <w:rtl/>
                <w:lang w:bidi="ar-EG"/>
              </w:rPr>
              <w:t xml:space="preserve"> توصيات لقطاع الاتصالات الراديوية</w:t>
            </w:r>
          </w:p>
        </w:tc>
      </w:tr>
    </w:tbl>
    <w:p w14:paraId="1A4476C4" w14:textId="65D650A7" w:rsidR="00645156" w:rsidRPr="00126E41" w:rsidRDefault="00645156" w:rsidP="00645156">
      <w:pPr>
        <w:spacing w:before="840"/>
        <w:rPr>
          <w:rtl/>
          <w:lang w:bidi="ar-EG"/>
        </w:rPr>
      </w:pPr>
      <w:r w:rsidRPr="00126E41">
        <w:rPr>
          <w:rFonts w:hint="cs"/>
          <w:rtl/>
          <w:lang w:bidi="ar-EG"/>
        </w:rPr>
        <w:t xml:space="preserve">اعتمدت لجنة الدراسات </w:t>
      </w:r>
      <w:r w:rsidRPr="00126E41">
        <w:rPr>
          <w:lang w:bidi="ar-EG"/>
        </w:rPr>
        <w:t>5</w:t>
      </w:r>
      <w:r w:rsidRPr="00126E41">
        <w:rPr>
          <w:rFonts w:hint="cs"/>
          <w:rtl/>
          <w:lang w:bidi="ar-EG"/>
        </w:rPr>
        <w:t xml:space="preserve"> للاتصالات الراديوية في اجتماعها المنعقد </w:t>
      </w:r>
      <w:r w:rsidR="008F0341" w:rsidRPr="00126E41">
        <w:rPr>
          <w:rFonts w:hint="cs"/>
          <w:rtl/>
          <w:lang w:bidi="ar-EG"/>
        </w:rPr>
        <w:t xml:space="preserve">يومَي </w:t>
      </w:r>
      <w:r w:rsidRPr="00126E41">
        <w:rPr>
          <w:lang w:bidi="ar-EG"/>
        </w:rPr>
        <w:t>2</w:t>
      </w:r>
      <w:r w:rsidRPr="00126E41">
        <w:rPr>
          <w:rFonts w:hint="cs"/>
          <w:rtl/>
          <w:lang w:bidi="ar-EG"/>
        </w:rPr>
        <w:t xml:space="preserve"> </w:t>
      </w:r>
      <w:r w:rsidR="008F0341" w:rsidRPr="00126E41">
        <w:rPr>
          <w:rFonts w:hint="cs"/>
          <w:rtl/>
          <w:lang w:bidi="ar-EG"/>
        </w:rPr>
        <w:t>و</w:t>
      </w:r>
      <w:r w:rsidRPr="00126E41">
        <w:rPr>
          <w:lang w:bidi="ar-EG"/>
        </w:rPr>
        <w:t>3</w:t>
      </w:r>
      <w:r w:rsidRPr="00126E41">
        <w:rPr>
          <w:rFonts w:hint="cs"/>
          <w:rtl/>
          <w:lang w:bidi="ar-EG"/>
        </w:rPr>
        <w:t xml:space="preserve"> سبتمبر </w:t>
      </w:r>
      <w:r w:rsidRPr="00126E41">
        <w:rPr>
          <w:lang w:bidi="ar-EG"/>
        </w:rPr>
        <w:t>2019</w:t>
      </w:r>
      <w:r w:rsidRPr="00126E41">
        <w:rPr>
          <w:rFonts w:hint="cs"/>
          <w:rtl/>
          <w:lang w:bidi="ar-EG"/>
        </w:rPr>
        <w:t xml:space="preserve">، نصوص مشاريع </w:t>
      </w:r>
      <w:r w:rsidR="008F0341" w:rsidRPr="00126E41">
        <w:rPr>
          <w:rFonts w:hint="cs"/>
          <w:rtl/>
          <w:lang w:bidi="ar-EG"/>
        </w:rPr>
        <w:t xml:space="preserve">مراجعة </w:t>
      </w:r>
      <w:r w:rsidRPr="00126E41">
        <w:rPr>
          <w:lang w:bidi="ar-EG"/>
        </w:rPr>
        <w:t>6</w:t>
      </w:r>
      <w:r w:rsidRPr="00126E41">
        <w:rPr>
          <w:rFonts w:hint="eastAsia"/>
          <w:rtl/>
          <w:lang w:bidi="ar-EG"/>
        </w:rPr>
        <w:t> </w:t>
      </w:r>
      <w:r w:rsidRPr="00126E41">
        <w:rPr>
          <w:rFonts w:hint="cs"/>
          <w:rtl/>
          <w:lang w:bidi="ar-EG"/>
        </w:rPr>
        <w:t xml:space="preserve">توصيات لقطاع الاتصالات الراديوية واتفقت على تطبيق </w:t>
      </w:r>
      <w:r w:rsidR="00F51E0F" w:rsidRPr="00126E41">
        <w:rPr>
          <w:rFonts w:hint="cs"/>
          <w:rtl/>
          <w:lang w:bidi="ar-EG"/>
        </w:rPr>
        <w:t>الإجراء المنصوص عليه في</w:t>
      </w:r>
      <w:r w:rsidRPr="00126E41">
        <w:rPr>
          <w:rFonts w:hint="cs"/>
          <w:rtl/>
          <w:lang w:bidi="ar-EG"/>
        </w:rPr>
        <w:t xml:space="preserve"> القرار</w:t>
      </w:r>
      <w:r w:rsidRPr="00126E41">
        <w:rPr>
          <w:rFonts w:hint="eastAsia"/>
          <w:rtl/>
          <w:lang w:bidi="ar-EG"/>
        </w:rPr>
        <w:t> </w:t>
      </w:r>
      <w:r w:rsidRPr="00126E41">
        <w:rPr>
          <w:lang w:val="en-GB" w:bidi="ar-EG"/>
        </w:rPr>
        <w:t>ITU</w:t>
      </w:r>
      <w:r w:rsidRPr="00126E41">
        <w:rPr>
          <w:lang w:val="en-GB" w:bidi="ar-EG"/>
        </w:rPr>
        <w:noBreakHyphen/>
        <w:t>R 1</w:t>
      </w:r>
      <w:r w:rsidRPr="00126E41">
        <w:rPr>
          <w:lang w:val="en-GB" w:bidi="ar-EG"/>
        </w:rPr>
        <w:noBreakHyphen/>
        <w:t>7</w:t>
      </w:r>
      <w:r w:rsidRPr="00126E41">
        <w:rPr>
          <w:rFonts w:hint="cs"/>
          <w:rtl/>
          <w:lang w:bidi="ar-EG"/>
        </w:rPr>
        <w:t xml:space="preserve"> (انظر</w:t>
      </w:r>
      <w:r w:rsidRPr="00126E41">
        <w:rPr>
          <w:rFonts w:hint="eastAsia"/>
          <w:rtl/>
          <w:lang w:bidi="ar-EG"/>
        </w:rPr>
        <w:t> </w:t>
      </w:r>
      <w:r w:rsidRPr="00126E41">
        <w:rPr>
          <w:rFonts w:hint="cs"/>
          <w:rtl/>
          <w:lang w:bidi="ar-EG"/>
        </w:rPr>
        <w:t>الفقرة </w:t>
      </w:r>
      <w:r w:rsidRPr="00126E41">
        <w:rPr>
          <w:lang w:bidi="ar-EG"/>
        </w:rPr>
        <w:t>3.2.6.A2</w:t>
      </w:r>
      <w:r w:rsidRPr="00126E41">
        <w:rPr>
          <w:rFonts w:hint="cs"/>
          <w:rtl/>
          <w:lang w:bidi="ar-EG"/>
        </w:rPr>
        <w:t>) المتعلق بالموافقة على التوصيات بالتشاور. وترد في الملحق بهذه الرسالة عناوين مشاريع التوصيات وملخصاتها. ويرجى من أي دولة عضو تعترض على الموافقة على مشروع توصية أن تخبر المدير ورئيس</w:t>
      </w:r>
      <w:bookmarkStart w:id="0" w:name="_GoBack"/>
      <w:bookmarkEnd w:id="0"/>
      <w:r w:rsidRPr="00126E41">
        <w:rPr>
          <w:rFonts w:hint="cs"/>
          <w:rtl/>
          <w:lang w:bidi="ar-EG"/>
        </w:rPr>
        <w:t xml:space="preserve"> لجنة الدراسات بأسباب</w:t>
      </w:r>
      <w:r w:rsidRPr="00126E41">
        <w:rPr>
          <w:rFonts w:hint="eastAsia"/>
          <w:rtl/>
          <w:lang w:bidi="ar-EG"/>
        </w:rPr>
        <w:t> </w:t>
      </w:r>
      <w:r w:rsidRPr="00126E41">
        <w:rPr>
          <w:rFonts w:hint="cs"/>
          <w:rtl/>
          <w:lang w:bidi="ar-EG"/>
        </w:rPr>
        <w:t>اعتراضها.</w:t>
      </w:r>
    </w:p>
    <w:p w14:paraId="4F8CF805" w14:textId="75AFD7B4" w:rsidR="00645156" w:rsidRPr="00F51E0F" w:rsidRDefault="00645156" w:rsidP="00645156">
      <w:pPr>
        <w:rPr>
          <w:rtl/>
          <w:lang w:bidi="ar-EG"/>
        </w:rPr>
      </w:pPr>
      <w:r w:rsidRPr="00F51E0F">
        <w:rPr>
          <w:rFonts w:hint="cs"/>
          <w:rtl/>
          <w:lang w:bidi="ar-EG"/>
        </w:rPr>
        <w:t>وبالنظر إلى أحكام الفقرة </w:t>
      </w:r>
      <w:r w:rsidRPr="00F51E0F">
        <w:t>3.2.6.A2</w:t>
      </w:r>
      <w:r w:rsidRPr="00F51E0F">
        <w:rPr>
          <w:rFonts w:hint="cs"/>
          <w:rtl/>
          <w:lang w:bidi="ar-EG"/>
        </w:rPr>
        <w:t xml:space="preserve"> من القرار </w:t>
      </w:r>
      <w:r w:rsidRPr="00F51E0F">
        <w:rPr>
          <w:lang w:val="en-GB"/>
        </w:rPr>
        <w:t>ITU</w:t>
      </w:r>
      <w:r w:rsidRPr="00F51E0F">
        <w:rPr>
          <w:lang w:val="en-GB"/>
        </w:rPr>
        <w:noBreakHyphen/>
        <w:t>R 1</w:t>
      </w:r>
      <w:r w:rsidRPr="00F51E0F">
        <w:rPr>
          <w:lang w:val="en-GB"/>
        </w:rPr>
        <w:noBreakHyphen/>
        <w:t>7</w:t>
      </w:r>
      <w:r w:rsidRPr="00F51E0F">
        <w:rPr>
          <w:rFonts w:hint="cs"/>
          <w:rtl/>
          <w:lang w:bidi="ar-EG"/>
        </w:rPr>
        <w:t>، يرجى من الدول الأعضاء إبلاغ الأمانة </w:t>
      </w:r>
      <w:r w:rsidRPr="00F51E0F">
        <w:t>(</w:t>
      </w:r>
      <w:hyperlink r:id="rId10" w:history="1">
        <w:r w:rsidRPr="00F51E0F">
          <w:rPr>
            <w:rStyle w:val="Hyperlink"/>
            <w:rFonts w:ascii="Calibri" w:hAnsi="Calibri"/>
            <w:lang w:val="en-GB"/>
          </w:rPr>
          <w:t>brsgd@itu.int</w:t>
        </w:r>
      </w:hyperlink>
      <w:r w:rsidRPr="00F51E0F">
        <w:t>)</w:t>
      </w:r>
      <w:r w:rsidRPr="00F51E0F">
        <w:rPr>
          <w:rFonts w:hint="cs"/>
          <w:rtl/>
          <w:lang w:bidi="ar-EG"/>
        </w:rPr>
        <w:t xml:space="preserve"> </w:t>
      </w:r>
      <w:r w:rsidR="0052589A">
        <w:rPr>
          <w:rFonts w:hint="cs"/>
          <w:rtl/>
          <w:lang w:bidi="ar-EG"/>
        </w:rPr>
        <w:t>في</w:t>
      </w:r>
      <w:r w:rsidR="0052589A">
        <w:rPr>
          <w:rFonts w:hint="eastAsia"/>
          <w:rtl/>
          <w:lang w:bidi="ar-EG"/>
        </w:rPr>
        <w:t> </w:t>
      </w:r>
      <w:r w:rsidR="0052589A">
        <w:rPr>
          <w:rFonts w:hint="cs"/>
          <w:rtl/>
          <w:lang w:bidi="ar-EG"/>
        </w:rPr>
        <w:t>موعد أقصاه</w:t>
      </w:r>
      <w:r w:rsidRPr="00F51E0F">
        <w:rPr>
          <w:rFonts w:hint="cs"/>
          <w:rtl/>
          <w:lang w:bidi="ar-EG"/>
        </w:rPr>
        <w:t xml:space="preserve"> </w:t>
      </w:r>
      <w:r w:rsidR="009312D1">
        <w:rPr>
          <w:u w:val="single"/>
          <w:lang w:bidi="ar-EG"/>
        </w:rPr>
        <w:t>19</w:t>
      </w:r>
      <w:r w:rsidRPr="00F51E0F">
        <w:rPr>
          <w:rFonts w:hint="eastAsia"/>
          <w:u w:val="single"/>
          <w:rtl/>
          <w:lang w:bidi="ar-EG"/>
        </w:rPr>
        <w:t> </w:t>
      </w:r>
      <w:r w:rsidRPr="00F51E0F">
        <w:rPr>
          <w:rFonts w:hint="cs"/>
          <w:u w:val="single"/>
          <w:rtl/>
          <w:lang w:bidi="ar-EG"/>
        </w:rPr>
        <w:t>نوفمبر</w:t>
      </w:r>
      <w:r w:rsidRPr="00F51E0F">
        <w:rPr>
          <w:rFonts w:hint="eastAsia"/>
          <w:u w:val="single"/>
          <w:rtl/>
          <w:lang w:bidi="ar-EG"/>
        </w:rPr>
        <w:t> </w:t>
      </w:r>
      <w:r w:rsidRPr="00F51E0F">
        <w:rPr>
          <w:u w:val="single"/>
        </w:rPr>
        <w:t>2019</w:t>
      </w:r>
      <w:r w:rsidRPr="00F51E0F">
        <w:rPr>
          <w:rFonts w:hint="cs"/>
          <w:rtl/>
          <w:lang w:bidi="ar-EG"/>
        </w:rPr>
        <w:t xml:space="preserve"> </w:t>
      </w:r>
      <w:r w:rsidR="0052589A">
        <w:rPr>
          <w:rFonts w:hint="cs"/>
          <w:rtl/>
          <w:lang w:bidi="ar-EG"/>
        </w:rPr>
        <w:t>ب</w:t>
      </w:r>
      <w:r w:rsidRPr="00F51E0F">
        <w:rPr>
          <w:rFonts w:hint="cs"/>
          <w:rtl/>
          <w:lang w:bidi="ar-EG"/>
        </w:rPr>
        <w:t xml:space="preserve">ما إذا كانت توافق </w:t>
      </w:r>
      <w:r w:rsidR="0052589A">
        <w:rPr>
          <w:rFonts w:hint="cs"/>
          <w:rtl/>
          <w:lang w:bidi="ar-EG"/>
        </w:rPr>
        <w:t>أم</w:t>
      </w:r>
      <w:r w:rsidRPr="00F51E0F">
        <w:rPr>
          <w:rFonts w:hint="cs"/>
          <w:rtl/>
          <w:lang w:bidi="ar-EG"/>
        </w:rPr>
        <w:t xml:space="preserve"> لا توافق على المقترحات</w:t>
      </w:r>
      <w:r w:rsidR="0052589A">
        <w:rPr>
          <w:rFonts w:hint="cs"/>
          <w:rtl/>
          <w:lang w:bidi="ar-EG"/>
        </w:rPr>
        <w:t xml:space="preserve"> الواردة</w:t>
      </w:r>
      <w:r w:rsidRPr="00F51E0F">
        <w:rPr>
          <w:rFonts w:hint="cs"/>
          <w:rtl/>
          <w:lang w:bidi="ar-EG"/>
        </w:rPr>
        <w:t xml:space="preserve"> أعلاه.</w:t>
      </w:r>
    </w:p>
    <w:p w14:paraId="6E13C835" w14:textId="3335C8FB" w:rsidR="00645156" w:rsidRPr="00F51E0F" w:rsidRDefault="00645156" w:rsidP="00645156">
      <w:pPr>
        <w:rPr>
          <w:lang w:bidi="ar-EG"/>
        </w:rPr>
      </w:pPr>
      <w:r w:rsidRPr="00F51E0F">
        <w:rPr>
          <w:rFonts w:hint="cs"/>
          <w:rtl/>
          <w:lang w:bidi="ar-EG"/>
        </w:rPr>
        <w:t>وبعد المهلة المحددة أعلاه، ستعلن نتائج هذا التشاور في رسالة إدارية معممة وستنشر التوصيات الموافَق عليها بأسرع وقت ممكن عملياً (انظر </w:t>
      </w:r>
      <w:hyperlink r:id="rId11" w:history="1">
        <w:r w:rsidRPr="00F51E0F">
          <w:rPr>
            <w:rStyle w:val="Hyperlink"/>
            <w:rFonts w:ascii="Calibri" w:hAnsi="Calibri"/>
          </w:rPr>
          <w:t>http://www.itu.int/pub/R-REC</w:t>
        </w:r>
      </w:hyperlink>
      <w:r w:rsidRPr="00F51E0F">
        <w:rPr>
          <w:rFonts w:hint="cs"/>
          <w:rtl/>
          <w:lang w:bidi="ar-EG"/>
        </w:rPr>
        <w:t>).</w:t>
      </w:r>
    </w:p>
    <w:p w14:paraId="07F484C8" w14:textId="77777777" w:rsidR="00645156" w:rsidRDefault="00645156" w:rsidP="008F0341">
      <w:pPr>
        <w:tabs>
          <w:tab w:val="clear" w:pos="1134"/>
        </w:tabs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4A9692F2" w14:textId="7DAF89AD" w:rsidR="00645156" w:rsidRDefault="00645156" w:rsidP="00645156">
      <w:pPr>
        <w:pageBreakBefore/>
        <w:rPr>
          <w:rtl/>
        </w:rPr>
      </w:pPr>
      <w:r w:rsidRPr="00FF6507">
        <w:rPr>
          <w:rFonts w:hint="cs"/>
          <w:rtl/>
          <w:lang w:bidi="ar-EG"/>
        </w:rPr>
        <w:lastRenderedPageBreak/>
        <w:t xml:space="preserve">ويرجى من أي منظمة عضو في الاتحاد تعلم بوجود براءة اختراع لديها أو لدى غيرها تغطي كلياً أو جزئياً </w:t>
      </w:r>
      <w:r w:rsidRPr="00C53FF5">
        <w:rPr>
          <w:rFonts w:hint="cs"/>
          <w:rtl/>
          <w:lang w:bidi="ar-EG"/>
        </w:rPr>
        <w:t>عناصر مشاريع التوصيات</w:t>
      </w:r>
      <w:r w:rsidRPr="00FF6507">
        <w:rPr>
          <w:rFonts w:hint="cs"/>
          <w:rtl/>
          <w:lang w:bidi="ar-EG"/>
        </w:rPr>
        <w:t xml:space="preserve"> ال</w:t>
      </w:r>
      <w:r>
        <w:rPr>
          <w:rFonts w:hint="cs"/>
          <w:rtl/>
          <w:lang w:bidi="ar-EG"/>
        </w:rPr>
        <w:t>مذكورة</w:t>
      </w:r>
      <w:r w:rsidRPr="00FF6507">
        <w:rPr>
          <w:rFonts w:hint="cs"/>
          <w:rtl/>
          <w:lang w:bidi="ar-EG"/>
        </w:rPr>
        <w:t xml:space="preserve"> في هذه الرسالة أن تبلغ الأمانة بهذه المعلومات بأسرع ما يمكن. وترد السياسة المشتركة لبراءات الاختراع لقطاعي تقييس الاتصالات والاتصالات الراديوية والمنظمة الدولية للتوحيد القياسي واللجنة الكهرتقنية الدولية </w:t>
      </w:r>
      <w:r w:rsidRPr="00FF6507">
        <w:rPr>
          <w:lang w:bidi="ar-EG"/>
        </w:rPr>
        <w:t>(ITU</w:t>
      </w:r>
      <w:r w:rsidRPr="00FF6507">
        <w:rPr>
          <w:lang w:bidi="ar-EG"/>
        </w:rPr>
        <w:noBreakHyphen/>
        <w:t>T/ITU</w:t>
      </w:r>
      <w:r w:rsidRPr="00FF6507">
        <w:rPr>
          <w:lang w:bidi="ar-EG"/>
        </w:rPr>
        <w:noBreakHyphen/>
        <w:t>R/ISO/IEC)</w:t>
      </w:r>
      <w:r w:rsidRPr="00FF65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Pr="00FF6507">
        <w:rPr>
          <w:rFonts w:hint="cs"/>
          <w:rtl/>
          <w:lang w:bidi="ar-EG"/>
        </w:rPr>
        <w:t>الموقع</w:t>
      </w:r>
      <w:r w:rsidRPr="00FF6507">
        <w:rPr>
          <w:rFonts w:hint="eastAsia"/>
          <w:rtl/>
          <w:lang w:bidi="ar-EG"/>
        </w:rPr>
        <w:t> </w:t>
      </w:r>
      <w:hyperlink r:id="rId12" w:history="1">
        <w:r w:rsidRPr="00A7354D">
          <w:rPr>
            <w:rStyle w:val="Hyperlink"/>
            <w:rFonts w:ascii="Calibri" w:hAnsi="Calibri" w:cs="Calibri"/>
            <w:lang w:bidi="ar-EG"/>
          </w:rPr>
          <w:t>http://www.itu.int/en/ITU-T/ipr/Pages/policy.aspx</w:t>
        </w:r>
      </w:hyperlink>
      <w:r w:rsidRPr="00FF6507">
        <w:rPr>
          <w:rFonts w:hint="cs"/>
          <w:rtl/>
          <w:lang w:bidi="ar-EG"/>
        </w:rPr>
        <w:t>.</w:t>
      </w:r>
    </w:p>
    <w:p w14:paraId="0D9020CA" w14:textId="77777777" w:rsidR="00645156" w:rsidRDefault="00645156" w:rsidP="0064515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14:paraId="6D4694CF" w14:textId="1B3EA07F" w:rsidR="00645156" w:rsidRPr="00AF70F6" w:rsidRDefault="00645156" w:rsidP="00645156">
      <w:pPr>
        <w:spacing w:before="1440"/>
        <w:jc w:val="left"/>
        <w:rPr>
          <w:rtl/>
        </w:rPr>
      </w:pPr>
      <w:r w:rsidRPr="00B31F96">
        <w:rPr>
          <w:rtl/>
        </w:rPr>
        <w:t>ماريو</w:t>
      </w:r>
      <w:r w:rsidR="00BB4544">
        <w:rPr>
          <w:rFonts w:hint="cs"/>
          <w:rtl/>
        </w:rPr>
        <w:t> </w:t>
      </w:r>
      <w:r w:rsidRPr="00B31F96">
        <w:rPr>
          <w:rtl/>
        </w:rPr>
        <w:t>مانيفيتش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14:paraId="47C7C894" w14:textId="23E04FBF" w:rsidR="00645156" w:rsidRDefault="00645156" w:rsidP="00645156">
      <w:pPr>
        <w:spacing w:before="960"/>
        <w:jc w:val="left"/>
        <w:rPr>
          <w:rtl/>
          <w:lang w:bidi="ar-EG"/>
        </w:rPr>
      </w:pPr>
      <w:r w:rsidRPr="00C53FF5">
        <w:rPr>
          <w:rFonts w:hint="cs"/>
          <w:b/>
          <w:bCs/>
          <w:rtl/>
          <w:lang w:bidi="ar-EG"/>
        </w:rPr>
        <w:t>الملحق</w:t>
      </w:r>
      <w:r w:rsidRPr="00C53FF5">
        <w:rPr>
          <w:rtl/>
          <w:lang w:bidi="ar-EG"/>
        </w:rPr>
        <w:t>:</w:t>
      </w:r>
      <w:r w:rsidRPr="00C53FF5">
        <w:rPr>
          <w:rFonts w:hint="cs"/>
          <w:rtl/>
          <w:lang w:bidi="ar-EG"/>
        </w:rPr>
        <w:tab/>
        <w:t xml:space="preserve">عناوين </w:t>
      </w:r>
      <w:r w:rsidR="00BB4544">
        <w:rPr>
          <w:rFonts w:hint="cs"/>
          <w:rtl/>
          <w:lang w:bidi="ar-EG"/>
        </w:rPr>
        <w:t xml:space="preserve">وملخصات </w:t>
      </w:r>
      <w:r w:rsidRPr="00C53FF5">
        <w:rPr>
          <w:rFonts w:hint="cs"/>
          <w:rtl/>
          <w:lang w:bidi="ar-EG"/>
        </w:rPr>
        <w:t>مشاريع التوصيات</w:t>
      </w:r>
    </w:p>
    <w:p w14:paraId="5666A783" w14:textId="42F52740" w:rsidR="00645156" w:rsidRDefault="00645156" w:rsidP="00645156">
      <w:pPr>
        <w:spacing w:before="480"/>
        <w:rPr>
          <w:rtl/>
          <w:lang w:bidi="ar-EG"/>
        </w:rPr>
      </w:pPr>
      <w:r w:rsidRPr="00FF6507">
        <w:rPr>
          <w:rFonts w:hint="cs"/>
          <w:b/>
          <w:bCs/>
          <w:rtl/>
          <w:lang w:bidi="ar-EG"/>
        </w:rPr>
        <w:t>الوثائق</w:t>
      </w:r>
      <w:r w:rsidRPr="00FF6507">
        <w:rPr>
          <w:rtl/>
          <w:lang w:bidi="ar-EG"/>
        </w:rPr>
        <w:t>:</w:t>
      </w:r>
      <w:r w:rsidRPr="00FF6507">
        <w:rPr>
          <w:rFonts w:hint="cs"/>
          <w:rtl/>
          <w:lang w:bidi="ar-EG"/>
        </w:rPr>
        <w:tab/>
      </w:r>
      <w:r w:rsidR="008F0341">
        <w:rPr>
          <w:rFonts w:hint="cs"/>
          <w:rtl/>
          <w:lang w:bidi="ar-EG"/>
        </w:rPr>
        <w:t xml:space="preserve">الوثائق </w:t>
      </w:r>
      <w:hyperlink r:id="rId13" w:history="1">
        <w:r w:rsidRPr="00A7354D">
          <w:rPr>
            <w:rStyle w:val="Hyperlink"/>
            <w:rFonts w:ascii="Calibri" w:hAnsi="Calibri"/>
            <w:lang w:bidi="ar-EG"/>
          </w:rPr>
          <w:t>5/170(Rev.1)</w:t>
        </w:r>
      </w:hyperlink>
      <w:r>
        <w:rPr>
          <w:rFonts w:hint="cs"/>
          <w:rtl/>
          <w:lang w:bidi="ar-EG"/>
        </w:rPr>
        <w:t xml:space="preserve">، </w:t>
      </w:r>
      <w:hyperlink r:id="rId14" w:history="1">
        <w:r w:rsidRPr="00A7354D">
          <w:rPr>
            <w:rStyle w:val="Hyperlink"/>
            <w:rFonts w:ascii="Calibri" w:hAnsi="Calibri"/>
            <w:lang w:bidi="ar-EG"/>
          </w:rPr>
          <w:t>5/139</w:t>
        </w:r>
      </w:hyperlink>
      <w:r>
        <w:rPr>
          <w:rFonts w:hint="cs"/>
          <w:rtl/>
          <w:lang w:bidi="ar-EG"/>
        </w:rPr>
        <w:t xml:space="preserve">، </w:t>
      </w:r>
      <w:hyperlink r:id="rId15" w:history="1">
        <w:r w:rsidRPr="00A7354D">
          <w:rPr>
            <w:rStyle w:val="Hyperlink"/>
            <w:rFonts w:ascii="Calibri" w:hAnsi="Calibri"/>
            <w:lang w:bidi="ar-EG"/>
          </w:rPr>
          <w:t>5/140(Rev.1)</w:t>
        </w:r>
      </w:hyperlink>
      <w:r>
        <w:rPr>
          <w:rFonts w:hint="cs"/>
          <w:rtl/>
          <w:lang w:bidi="ar-EG"/>
        </w:rPr>
        <w:t xml:space="preserve">، </w:t>
      </w:r>
      <w:hyperlink r:id="rId16" w:history="1">
        <w:r w:rsidRPr="00A7354D">
          <w:rPr>
            <w:rStyle w:val="Hyperlink"/>
            <w:rFonts w:ascii="Calibri" w:hAnsi="Calibri"/>
            <w:lang w:bidi="ar-EG"/>
          </w:rPr>
          <w:t>5/142</w:t>
        </w:r>
      </w:hyperlink>
      <w:r>
        <w:rPr>
          <w:rFonts w:hint="cs"/>
          <w:rtl/>
          <w:lang w:bidi="ar-EG"/>
        </w:rPr>
        <w:t xml:space="preserve">، </w:t>
      </w:r>
      <w:hyperlink r:id="rId17" w:history="1">
        <w:r w:rsidRPr="00A7354D">
          <w:rPr>
            <w:rStyle w:val="Hyperlink"/>
            <w:rFonts w:ascii="Calibri" w:hAnsi="Calibri"/>
            <w:lang w:bidi="ar-EG"/>
          </w:rPr>
          <w:t>5/149(Rev.1)</w:t>
        </w:r>
      </w:hyperlink>
      <w:r>
        <w:rPr>
          <w:rFonts w:hint="cs"/>
          <w:rtl/>
          <w:lang w:bidi="ar-EG"/>
        </w:rPr>
        <w:t xml:space="preserve">، </w:t>
      </w:r>
      <w:hyperlink r:id="rId18" w:history="1">
        <w:r w:rsidRPr="00A7354D">
          <w:rPr>
            <w:rStyle w:val="Hyperlink"/>
            <w:rFonts w:ascii="Calibri" w:hAnsi="Calibri"/>
            <w:lang w:bidi="ar-EG"/>
          </w:rPr>
          <w:t>5/145(Rev.1)</w:t>
        </w:r>
      </w:hyperlink>
      <w:r>
        <w:rPr>
          <w:rFonts w:hint="cs"/>
          <w:rtl/>
          <w:lang w:bidi="ar-EG"/>
        </w:rPr>
        <w:t>.</w:t>
      </w:r>
    </w:p>
    <w:p w14:paraId="3B352CF3" w14:textId="77777777" w:rsidR="00645156" w:rsidRDefault="00645156" w:rsidP="0064515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وتتاح نسخ إلكترونية من هذه الوثائق في الموقع: </w:t>
      </w:r>
      <w:hyperlink r:id="rId19" w:history="1">
        <w:r w:rsidRPr="00A7354D">
          <w:rPr>
            <w:rStyle w:val="Hyperlink"/>
            <w:rFonts w:asciiTheme="minorHAnsi" w:hAnsiTheme="minorHAnsi" w:cstheme="minorHAnsi"/>
          </w:rPr>
          <w:t>https://www.itu.int/md/R15-SG05-C/en</w:t>
        </w:r>
      </w:hyperlink>
    </w:p>
    <w:p w14:paraId="020A3063" w14:textId="77777777" w:rsidR="00645156" w:rsidRPr="001F2ED3" w:rsidRDefault="00645156" w:rsidP="00BB4544">
      <w:pPr>
        <w:tabs>
          <w:tab w:val="left" w:pos="283"/>
        </w:tabs>
        <w:spacing w:before="4800"/>
        <w:jc w:val="left"/>
        <w:rPr>
          <w:sz w:val="16"/>
          <w:szCs w:val="22"/>
          <w:rtl/>
          <w:lang w:bidi="ar-EG"/>
        </w:rPr>
      </w:pPr>
      <w:r w:rsidRPr="001F2ED3">
        <w:rPr>
          <w:b/>
          <w:bCs/>
          <w:sz w:val="16"/>
          <w:szCs w:val="22"/>
          <w:rtl/>
          <w:lang w:bidi="ar-EG"/>
        </w:rPr>
        <w:t>التوزيع</w:t>
      </w:r>
      <w:r w:rsidRPr="001F2ED3">
        <w:rPr>
          <w:sz w:val="16"/>
          <w:szCs w:val="22"/>
          <w:rtl/>
          <w:lang w:bidi="ar-EG"/>
        </w:rPr>
        <w:t>:</w:t>
      </w:r>
    </w:p>
    <w:p w14:paraId="5BEEEBBA" w14:textId="77777777" w:rsidR="00645156" w:rsidRPr="001F2ED3" w:rsidRDefault="00645156" w:rsidP="00BB4544">
      <w:pPr>
        <w:tabs>
          <w:tab w:val="left" w:pos="425"/>
        </w:tabs>
        <w:spacing w:before="60" w:line="180" w:lineRule="auto"/>
        <w:rPr>
          <w:sz w:val="16"/>
          <w:szCs w:val="22"/>
          <w:rtl/>
          <w:lang w:val="fr-CH"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إدارات الدول الأعضاء</w:t>
      </w:r>
      <w:r w:rsidRPr="001F2ED3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1F2ED3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1F2ED3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>
        <w:rPr>
          <w:sz w:val="16"/>
          <w:szCs w:val="22"/>
          <w:lang w:val="fr-CH" w:bidi="ar-EG"/>
        </w:rPr>
        <w:t>5</w:t>
      </w:r>
      <w:r w:rsidRPr="001F2ED3">
        <w:rPr>
          <w:rFonts w:hint="cs"/>
          <w:sz w:val="16"/>
          <w:szCs w:val="22"/>
          <w:rtl/>
          <w:lang w:val="fr-CH" w:bidi="ar-EG"/>
        </w:rPr>
        <w:t xml:space="preserve"> للاتصالات الراديوية</w:t>
      </w:r>
    </w:p>
    <w:p w14:paraId="77D62D63" w14:textId="77777777" w:rsidR="00645156" w:rsidRPr="001F2ED3" w:rsidRDefault="00645156" w:rsidP="00BB4544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>
        <w:rPr>
          <w:sz w:val="16"/>
          <w:szCs w:val="22"/>
          <w:lang w:bidi="ar-EG"/>
        </w:rPr>
        <w:t>5</w:t>
      </w:r>
      <w:r w:rsidRPr="001F2ED3">
        <w:rPr>
          <w:sz w:val="16"/>
          <w:szCs w:val="22"/>
          <w:rtl/>
          <w:lang w:bidi="ar-EG"/>
        </w:rPr>
        <w:t xml:space="preserve"> للاتصالات الراديوية</w:t>
      </w:r>
    </w:p>
    <w:p w14:paraId="6E98389B" w14:textId="77777777" w:rsidR="00645156" w:rsidRPr="001F2ED3" w:rsidRDefault="00645156" w:rsidP="00BB4544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rFonts w:hint="cs"/>
          <w:sz w:val="16"/>
          <w:szCs w:val="22"/>
          <w:rtl/>
          <w:lang w:bidi="ar-EG"/>
        </w:rPr>
        <w:t>-</w:t>
      </w:r>
      <w:r w:rsidRPr="001F2ED3">
        <w:rPr>
          <w:rFonts w:hint="cs"/>
          <w:sz w:val="16"/>
          <w:szCs w:val="22"/>
          <w:rtl/>
          <w:lang w:bidi="ar-EG"/>
        </w:rPr>
        <w:tab/>
      </w:r>
      <w:r w:rsidRPr="001F2ED3">
        <w:rPr>
          <w:rFonts w:hint="cs"/>
          <w:sz w:val="16"/>
          <w:szCs w:val="22"/>
          <w:rtl/>
        </w:rPr>
        <w:t>الهيئات الأكاديمية المنضمة إلى الاتحاد</w:t>
      </w:r>
    </w:p>
    <w:p w14:paraId="60C08612" w14:textId="77777777" w:rsidR="00645156" w:rsidRPr="001F2ED3" w:rsidRDefault="00645156" w:rsidP="00BB4544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280C57">
        <w:rPr>
          <w:sz w:val="16"/>
          <w:szCs w:val="22"/>
          <w:rtl/>
          <w:lang w:bidi="ar-EG"/>
        </w:rPr>
        <w:t>-</w:t>
      </w:r>
      <w:r w:rsidRPr="00280C57">
        <w:rPr>
          <w:sz w:val="16"/>
          <w:szCs w:val="22"/>
          <w:rtl/>
          <w:lang w:bidi="ar-EG"/>
        </w:rPr>
        <w:tab/>
        <w:t>رؤساء لجان دراسات الاتصالات الراديوية ونوابهم</w:t>
      </w:r>
    </w:p>
    <w:p w14:paraId="54E452CE" w14:textId="77777777" w:rsidR="00645156" w:rsidRPr="001F2ED3" w:rsidRDefault="00645156" w:rsidP="00BB4544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lastRenderedPageBreak/>
        <w:t>-</w:t>
      </w:r>
      <w:r w:rsidRPr="001F2ED3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14:paraId="564982C0" w14:textId="77777777" w:rsidR="00645156" w:rsidRPr="001F2ED3" w:rsidRDefault="00645156" w:rsidP="00BB4544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أعضاء لجنة لوائح الراديو</w:t>
      </w:r>
    </w:p>
    <w:p w14:paraId="5D29D864" w14:textId="77777777" w:rsidR="00645156" w:rsidRPr="001F2ED3" w:rsidRDefault="00645156" w:rsidP="00BB4544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الأمين العام للاتحاد ومدير مكتب تقييس الاتصالات ومدير</w:t>
      </w:r>
      <w:r>
        <w:rPr>
          <w:rFonts w:hint="cs"/>
          <w:sz w:val="16"/>
          <w:szCs w:val="22"/>
          <w:rtl/>
          <w:lang w:bidi="ar-EG"/>
        </w:rPr>
        <w:t>ة</w:t>
      </w:r>
      <w:r w:rsidRPr="001F2ED3">
        <w:rPr>
          <w:sz w:val="16"/>
          <w:szCs w:val="22"/>
          <w:rtl/>
          <w:lang w:bidi="ar-EG"/>
        </w:rPr>
        <w:t xml:space="preserve"> مكتب تنمية الاتصالات</w:t>
      </w:r>
    </w:p>
    <w:p w14:paraId="295F4999" w14:textId="77777777" w:rsidR="00645156" w:rsidRDefault="00645156" w:rsidP="008F0341">
      <w:pPr>
        <w:tabs>
          <w:tab w:val="clear" w:pos="1134"/>
        </w:tabs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5956984F" w14:textId="77777777" w:rsidR="008F0341" w:rsidRDefault="00645156" w:rsidP="008F0341">
      <w:pPr>
        <w:pStyle w:val="AnnexNo"/>
        <w:rPr>
          <w:rFonts w:eastAsiaTheme="minorEastAsia"/>
          <w:rtl/>
          <w:lang w:eastAsia="zh-CN"/>
        </w:rPr>
      </w:pPr>
      <w:r w:rsidRPr="00A57A16">
        <w:rPr>
          <w:rFonts w:eastAsiaTheme="minorEastAsia" w:hint="cs"/>
          <w:rtl/>
          <w:lang w:eastAsia="zh-CN"/>
        </w:rPr>
        <w:lastRenderedPageBreak/>
        <w:t>الملحق</w:t>
      </w:r>
    </w:p>
    <w:p w14:paraId="4797412F" w14:textId="6A1DF2CD" w:rsidR="00645156" w:rsidRPr="00AF70F6" w:rsidRDefault="00645156" w:rsidP="008F0341">
      <w:pPr>
        <w:pStyle w:val="Annextitle"/>
        <w:rPr>
          <w:rFonts w:eastAsiaTheme="minorEastAsia"/>
          <w:rtl/>
          <w:lang w:eastAsia="zh-CN" w:bidi="ar-SY"/>
        </w:rPr>
      </w:pPr>
      <w:r w:rsidRPr="00A57A16">
        <w:rPr>
          <w:rFonts w:eastAsiaTheme="minorEastAsia" w:hint="cs"/>
          <w:rtl/>
          <w:lang w:eastAsia="zh-CN"/>
        </w:rPr>
        <w:t>عناوين وملخصات مشاريع التوصيات التي اعتمدتها</w:t>
      </w:r>
      <w:r w:rsidRPr="00A57A16">
        <w:rPr>
          <w:rFonts w:eastAsiaTheme="minorEastAsia"/>
          <w:rtl/>
          <w:lang w:eastAsia="zh-CN"/>
        </w:rPr>
        <w:br/>
      </w:r>
      <w:r w:rsidRPr="00A57A16">
        <w:rPr>
          <w:rFonts w:eastAsiaTheme="minorEastAsia" w:hint="cs"/>
          <w:rtl/>
          <w:lang w:eastAsia="zh-CN"/>
        </w:rPr>
        <w:t xml:space="preserve">لجنة الدراسات </w:t>
      </w:r>
      <w:r w:rsidRPr="00A57A16">
        <w:rPr>
          <w:rFonts w:eastAsiaTheme="minorEastAsia"/>
          <w:lang w:eastAsia="zh-CN" w:bidi="ar-SY"/>
        </w:rPr>
        <w:t>5</w:t>
      </w:r>
      <w:r w:rsidRPr="00A57A16">
        <w:rPr>
          <w:rFonts w:eastAsiaTheme="minorEastAsia" w:hint="cs"/>
          <w:rtl/>
          <w:lang w:eastAsia="zh-CN"/>
        </w:rPr>
        <w:t xml:space="preserve"> للاتصالات الراديوية</w:t>
      </w:r>
    </w:p>
    <w:p w14:paraId="10AC704F" w14:textId="2D59FCE2" w:rsidR="00645156" w:rsidRPr="00AF70F6" w:rsidRDefault="00645156" w:rsidP="00645156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0F47F7">
        <w:rPr>
          <w:rFonts w:eastAsiaTheme="minorEastAsia" w:hint="cs"/>
          <w:u w:val="single"/>
          <w:rtl/>
          <w:lang w:eastAsia="zh-CN"/>
        </w:rPr>
        <w:t>مشروع</w:t>
      </w:r>
      <w:r w:rsidRPr="000F47F7">
        <w:rPr>
          <w:rFonts w:eastAsiaTheme="minorEastAsia" w:hint="cs"/>
          <w:u w:val="single"/>
          <w:rtl/>
          <w:lang w:eastAsia="zh-CN" w:bidi="ar-EG"/>
        </w:rPr>
        <w:t xml:space="preserve"> </w:t>
      </w:r>
      <w:r w:rsidR="008F0341" w:rsidRPr="000F47F7">
        <w:rPr>
          <w:rFonts w:eastAsiaTheme="minorEastAsia" w:hint="cs"/>
          <w:u w:val="single"/>
          <w:rtl/>
          <w:lang w:eastAsia="zh-CN" w:bidi="ar-EG"/>
        </w:rPr>
        <w:t xml:space="preserve">مراجعة </w:t>
      </w:r>
      <w:r w:rsidRPr="000F47F7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0F47F7">
        <w:rPr>
          <w:rFonts w:eastAsiaTheme="minorEastAsia"/>
          <w:u w:val="single"/>
          <w:lang w:eastAsia="zh-CN"/>
        </w:rPr>
        <w:t>ITU-R</w:t>
      </w:r>
      <w:r w:rsidR="009F5AF0" w:rsidRPr="000F47F7">
        <w:rPr>
          <w:rFonts w:eastAsiaTheme="minorEastAsia"/>
          <w:u w:val="single"/>
          <w:lang w:eastAsia="zh-CN"/>
        </w:rPr>
        <w:t> </w:t>
      </w:r>
      <w:r w:rsidRPr="000F47F7">
        <w:rPr>
          <w:rFonts w:eastAsiaTheme="minorEastAsia"/>
          <w:u w:val="single"/>
          <w:lang w:eastAsia="zh-CN"/>
        </w:rPr>
        <w:t>M.2012-3</w:t>
      </w:r>
      <w:r w:rsidRPr="000F47F7">
        <w:rPr>
          <w:rFonts w:eastAsiaTheme="minorEastAsia"/>
          <w:rtl/>
          <w:lang w:eastAsia="zh-CN" w:bidi="ar-EG"/>
        </w:rPr>
        <w:tab/>
      </w:r>
      <w:r w:rsidRPr="000F47F7">
        <w:rPr>
          <w:rFonts w:eastAsiaTheme="minorEastAsia" w:hint="cs"/>
          <w:rtl/>
          <w:lang w:eastAsia="zh-CN" w:bidi="ar-EG"/>
        </w:rPr>
        <w:t xml:space="preserve">الوثيقة </w:t>
      </w:r>
      <w:r w:rsidRPr="000F47F7">
        <w:rPr>
          <w:rFonts w:eastAsiaTheme="minorEastAsia"/>
          <w:lang w:eastAsia="zh-CN" w:bidi="ar-EG"/>
        </w:rPr>
        <w:t>5/170(Rev.1)</w:t>
      </w:r>
    </w:p>
    <w:p w14:paraId="425D3E12" w14:textId="4B682D0E" w:rsidR="00645156" w:rsidRPr="00AF70F6" w:rsidRDefault="00645156" w:rsidP="002534DC">
      <w:pPr>
        <w:pStyle w:val="Rectitle"/>
        <w:rPr>
          <w:rFonts w:eastAsiaTheme="minorEastAsia"/>
          <w:rtl/>
          <w:lang w:eastAsia="zh-CN" w:bidi="ar-SY"/>
        </w:rPr>
      </w:pPr>
      <w:r w:rsidRPr="0026322C">
        <w:rPr>
          <w:rFonts w:eastAsiaTheme="minorEastAsia" w:hint="cs"/>
          <w:rtl/>
          <w:lang w:eastAsia="zh-CN" w:bidi="ar-EG"/>
        </w:rPr>
        <w:t>المواصفات التفصيلية للسطوح البينية الراديوية للأرض</w:t>
      </w:r>
      <w:r w:rsidRPr="0026322C">
        <w:rPr>
          <w:rFonts w:eastAsiaTheme="minorEastAsia"/>
          <w:lang w:eastAsia="zh-CN" w:bidi="ar-SY"/>
        </w:rPr>
        <w:br/>
      </w:r>
      <w:r w:rsidRPr="0026322C">
        <w:rPr>
          <w:rFonts w:eastAsiaTheme="minorEastAsia" w:hint="cs"/>
          <w:rtl/>
          <w:lang w:eastAsia="zh-CN" w:bidi="ar-EG"/>
        </w:rPr>
        <w:t>للاتصالات المتنقلة الدولية</w:t>
      </w:r>
      <w:r w:rsidR="00C32113">
        <w:rPr>
          <w:rFonts w:eastAsiaTheme="minorEastAsia"/>
          <w:rtl/>
          <w:lang w:eastAsia="zh-CN" w:bidi="ar-SY"/>
        </w:rPr>
        <w:noBreakHyphen/>
      </w:r>
      <w:r w:rsidRPr="0026322C">
        <w:rPr>
          <w:rFonts w:eastAsiaTheme="minorEastAsia" w:hint="eastAsia"/>
          <w:rtl/>
          <w:lang w:eastAsia="zh-CN" w:bidi="ar-EG"/>
        </w:rPr>
        <w:t xml:space="preserve">المتقدمة </w:t>
      </w:r>
      <w:r w:rsidRPr="0026322C">
        <w:rPr>
          <w:rFonts w:eastAsiaTheme="minorEastAsia"/>
          <w:lang w:eastAsia="zh-CN" w:bidi="ar-SY"/>
        </w:rPr>
        <w:t>(IMT</w:t>
      </w:r>
      <w:r w:rsidRPr="0026322C">
        <w:rPr>
          <w:rFonts w:eastAsiaTheme="minorEastAsia"/>
          <w:lang w:eastAsia="zh-CN" w:bidi="ar-SY"/>
        </w:rPr>
        <w:sym w:font="Symbol" w:char="F02D"/>
      </w:r>
      <w:r w:rsidRPr="0026322C">
        <w:rPr>
          <w:rFonts w:eastAsiaTheme="minorEastAsia"/>
          <w:lang w:eastAsia="zh-CN" w:bidi="ar-SY"/>
        </w:rPr>
        <w:t>Advanced)</w:t>
      </w:r>
    </w:p>
    <w:p w14:paraId="0E231B4C" w14:textId="09755C74" w:rsidR="00645156" w:rsidRPr="00C65DC8" w:rsidRDefault="00645156" w:rsidP="00645156">
      <w:pPr>
        <w:pStyle w:val="Normalaftertitle"/>
        <w:rPr>
          <w:rtl/>
          <w:lang w:bidi="ar"/>
        </w:rPr>
      </w:pPr>
      <w:r w:rsidRPr="007F51F1">
        <w:rPr>
          <w:rFonts w:hint="cs"/>
          <w:rtl/>
          <w:lang w:bidi="ar-SY"/>
        </w:rPr>
        <w:t xml:space="preserve">الغرض من هذا التعديل </w:t>
      </w:r>
      <w:r w:rsidR="008F0341">
        <w:rPr>
          <w:rFonts w:hint="cs"/>
          <w:rtl/>
          <w:lang w:bidi="ar-SY"/>
        </w:rPr>
        <w:t>ل</w:t>
      </w:r>
      <w:r w:rsidRPr="007F51F1">
        <w:rPr>
          <w:rFonts w:hint="cs"/>
          <w:rtl/>
          <w:lang w:bidi="ar-SY"/>
        </w:rPr>
        <w:t xml:space="preserve">لتوصية </w:t>
      </w:r>
      <w:r w:rsidRPr="009312D1">
        <w:rPr>
          <w:lang w:bidi="ar-SY"/>
        </w:rPr>
        <w:t>ITU</w:t>
      </w:r>
      <w:r w:rsidRPr="009312D1">
        <w:rPr>
          <w:lang w:bidi="ar-SY"/>
        </w:rPr>
        <w:sym w:font="Symbol" w:char="F02D"/>
      </w:r>
      <w:r w:rsidRPr="009312D1">
        <w:rPr>
          <w:lang w:bidi="ar-SY"/>
        </w:rPr>
        <w:t>R M.2012</w:t>
      </w:r>
      <w:r w:rsidRPr="007F51F1">
        <w:rPr>
          <w:rFonts w:hint="cs"/>
          <w:rtl/>
        </w:rPr>
        <w:t xml:space="preserve"> هو </w:t>
      </w:r>
      <w:r w:rsidR="008F0341">
        <w:rPr>
          <w:rFonts w:hint="cs"/>
          <w:rtl/>
        </w:rPr>
        <w:t>تقديم معلومات محد</w:t>
      </w:r>
      <w:r w:rsidR="006821D9">
        <w:rPr>
          <w:rFonts w:hint="cs"/>
          <w:rtl/>
        </w:rPr>
        <w:t>ّ</w:t>
      </w:r>
      <w:r w:rsidR="008F0341">
        <w:rPr>
          <w:rFonts w:hint="cs"/>
          <w:rtl/>
        </w:rPr>
        <w:t xml:space="preserve">ثة عن </w:t>
      </w:r>
      <w:r w:rsidRPr="007F51F1">
        <w:rPr>
          <w:rFonts w:hint="cs"/>
          <w:rtl/>
        </w:rPr>
        <w:t>التكنولوجيات المحددة للمكون الأرضي للاتصالات المتنقلة الدولية</w:t>
      </w:r>
      <w:r w:rsidR="006821D9">
        <w:rPr>
          <w:rtl/>
        </w:rPr>
        <w:noBreakHyphen/>
      </w:r>
      <w:r w:rsidRPr="007F51F1">
        <w:rPr>
          <w:rFonts w:hint="cs"/>
          <w:rtl/>
        </w:rPr>
        <w:t xml:space="preserve">المتقدمة. وتشمل التغييرات الرئيسية إضافة إمكانات معززة </w:t>
      </w:r>
      <w:r w:rsidRPr="007F51F1">
        <w:rPr>
          <w:rtl/>
        </w:rPr>
        <w:t>لمجموعة تكنولوجيات السطوح البينية الراديوية</w:t>
      </w:r>
      <w:r w:rsidR="003F4898">
        <w:rPr>
          <w:rFonts w:hint="cs"/>
          <w:rtl/>
        </w:rPr>
        <w:t> </w:t>
      </w:r>
      <w:r w:rsidRPr="007F51F1">
        <w:t>LTE</w:t>
      </w:r>
      <w:r w:rsidR="003F4898">
        <w:rPr>
          <w:rFonts w:hint="cs"/>
          <w:rtl/>
        </w:rPr>
        <w:t xml:space="preserve"> </w:t>
      </w:r>
      <w:r w:rsidRPr="007F51F1">
        <w:rPr>
          <w:rtl/>
        </w:rPr>
        <w:t>المتقدمة</w:t>
      </w:r>
      <w:r w:rsidRPr="007F51F1">
        <w:rPr>
          <w:rFonts w:hint="cs"/>
          <w:rtl/>
        </w:rPr>
        <w:t xml:space="preserve"> وبعض التغييرات المترتبة على ذلك </w:t>
      </w:r>
      <w:r w:rsidR="008F0341">
        <w:rPr>
          <w:rFonts w:hint="cs"/>
          <w:rtl/>
        </w:rPr>
        <w:t>في</w:t>
      </w:r>
      <w:r w:rsidRPr="007F51F1">
        <w:rPr>
          <w:rFonts w:hint="cs"/>
          <w:rtl/>
        </w:rPr>
        <w:t xml:space="preserve"> الأقسام العامة من النص وكذلك </w:t>
      </w:r>
      <w:r w:rsidR="008F0341">
        <w:rPr>
          <w:rFonts w:hint="cs"/>
          <w:rtl/>
        </w:rPr>
        <w:t>في</w:t>
      </w:r>
      <w:r w:rsidRPr="007F51F1">
        <w:rPr>
          <w:rFonts w:hint="cs"/>
          <w:rtl/>
        </w:rPr>
        <w:t xml:space="preserve"> المواصفات الأساسية</w:t>
      </w:r>
      <w:r w:rsidR="00C32113">
        <w:rPr>
          <w:rFonts w:hint="cs"/>
          <w:rtl/>
        </w:rPr>
        <w:t xml:space="preserve"> </w:t>
      </w:r>
      <w:r w:rsidRPr="007F51F1">
        <w:rPr>
          <w:rFonts w:hint="cs"/>
          <w:rtl/>
        </w:rPr>
        <w:t xml:space="preserve">العالمية. </w:t>
      </w:r>
      <w:r w:rsidRPr="007F51F1">
        <w:rPr>
          <w:rFonts w:hint="cs"/>
          <w:rtl/>
          <w:lang w:bidi="ar"/>
        </w:rPr>
        <w:t>وجرى</w:t>
      </w:r>
      <w:r w:rsidRPr="00C65DC8">
        <w:rPr>
          <w:rFonts w:hint="cs"/>
          <w:rtl/>
          <w:lang w:bidi="ar"/>
        </w:rPr>
        <w:t xml:space="preserve"> تحديث </w:t>
      </w:r>
      <w:r w:rsidRPr="007F51F1">
        <w:rPr>
          <w:rtl/>
        </w:rPr>
        <w:t>المراجع المحال إليها </w:t>
      </w:r>
      <w:r>
        <w:rPr>
          <w:rFonts w:hint="cs"/>
          <w:rtl/>
        </w:rPr>
        <w:t>الواردة</w:t>
      </w:r>
      <w:r w:rsidRPr="00C65DC8">
        <w:rPr>
          <w:rFonts w:hint="cs"/>
          <w:rtl/>
          <w:lang w:bidi="ar"/>
        </w:rPr>
        <w:t xml:space="preserve"> في الملحق </w:t>
      </w:r>
      <w:r>
        <w:rPr>
          <w:lang w:bidi="ar"/>
        </w:rPr>
        <w:t>1</w:t>
      </w:r>
      <w:r w:rsidRPr="00C65DC8">
        <w:rPr>
          <w:rFonts w:hint="cs"/>
          <w:rtl/>
          <w:lang w:bidi="ar"/>
        </w:rPr>
        <w:t xml:space="preserve">. </w:t>
      </w:r>
      <w:r w:rsidRPr="007F51F1">
        <w:rPr>
          <w:rtl/>
        </w:rPr>
        <w:t xml:space="preserve">ولم يتم تحديث </w:t>
      </w:r>
      <w:r w:rsidR="008F0341">
        <w:rPr>
          <w:rFonts w:hint="cs"/>
          <w:rtl/>
        </w:rPr>
        <w:t xml:space="preserve">تكنولوجيا السطوح </w:t>
      </w:r>
      <w:r w:rsidRPr="007F51F1">
        <w:rPr>
          <w:rtl/>
        </w:rPr>
        <w:t>البيني</w:t>
      </w:r>
      <w:r w:rsidR="008F0341">
        <w:rPr>
          <w:rFonts w:hint="cs"/>
          <w:rtl/>
        </w:rPr>
        <w:t>ة</w:t>
      </w:r>
      <w:r w:rsidRPr="007F51F1">
        <w:rPr>
          <w:rtl/>
        </w:rPr>
        <w:t xml:space="preserve"> الراديوي</w:t>
      </w:r>
      <w:r w:rsidR="008F0341">
        <w:rPr>
          <w:rFonts w:hint="cs"/>
          <w:rtl/>
        </w:rPr>
        <w:t>ة</w:t>
      </w:r>
      <w:r>
        <w:rPr>
          <w:rFonts w:hint="cs"/>
          <w:rtl/>
        </w:rPr>
        <w:t xml:space="preserve"> </w:t>
      </w:r>
      <w:proofErr w:type="spellStart"/>
      <w:r w:rsidRPr="007F51F1">
        <w:rPr>
          <w:lang w:bidi="ar"/>
        </w:rPr>
        <w:t>WirelessMAN</w:t>
      </w:r>
      <w:proofErr w:type="spellEnd"/>
      <w:r w:rsidR="006821D9">
        <w:rPr>
          <w:rtl/>
          <w:lang w:bidi="ar"/>
        </w:rPr>
        <w:noBreakHyphen/>
      </w:r>
      <w:r w:rsidR="007F28B7">
        <w:rPr>
          <w:rFonts w:hint="cs"/>
          <w:rtl/>
          <w:lang w:bidi="ar"/>
        </w:rPr>
        <w:t>المتقدمة</w:t>
      </w:r>
      <w:r>
        <w:rPr>
          <w:rFonts w:hint="cs"/>
          <w:rtl/>
        </w:rPr>
        <w:t xml:space="preserve">، </w:t>
      </w:r>
      <w:r w:rsidRPr="007F51F1">
        <w:rPr>
          <w:rtl/>
        </w:rPr>
        <w:t>ويظل الملحق</w:t>
      </w:r>
      <w:r w:rsidR="006821D9">
        <w:rPr>
          <w:rFonts w:hint="cs"/>
          <w:rtl/>
        </w:rPr>
        <w:t> </w:t>
      </w:r>
      <w:r>
        <w:rPr>
          <w:lang w:val="fr-FR"/>
        </w:rPr>
        <w:t>2</w:t>
      </w:r>
      <w:r w:rsidRPr="007F51F1">
        <w:rPr>
          <w:rtl/>
        </w:rPr>
        <w:t xml:space="preserve"> كما</w:t>
      </w:r>
      <w:r w:rsidR="006821D9">
        <w:rPr>
          <w:rFonts w:hint="cs"/>
          <w:rtl/>
        </w:rPr>
        <w:t> </w:t>
      </w:r>
      <w:r w:rsidRPr="007F51F1">
        <w:rPr>
          <w:rtl/>
        </w:rPr>
        <w:t>ورد في النسخة السابقة</w:t>
      </w:r>
      <w:r>
        <w:rPr>
          <w:rFonts w:hint="cs"/>
          <w:rtl/>
        </w:rPr>
        <w:t>.</w:t>
      </w:r>
    </w:p>
    <w:p w14:paraId="73DAF584" w14:textId="130E05C8" w:rsidR="00645156" w:rsidRPr="007F51F1" w:rsidRDefault="00645156" w:rsidP="007F28B7">
      <w:pPr>
        <w:rPr>
          <w:lang w:val="en-GB" w:bidi="ar-EG"/>
        </w:rPr>
      </w:pPr>
      <w:r>
        <w:rPr>
          <w:rFonts w:hint="cs"/>
          <w:rtl/>
        </w:rPr>
        <w:t>و</w:t>
      </w:r>
      <w:r w:rsidRPr="00C65DC8">
        <w:rPr>
          <w:rFonts w:hint="cs"/>
          <w:rtl/>
          <w:lang w:bidi="ar"/>
        </w:rPr>
        <w:t xml:space="preserve">من هذا التحديث، </w:t>
      </w:r>
      <w:r w:rsidRPr="00805155">
        <w:rPr>
          <w:rtl/>
        </w:rPr>
        <w:t>أضيفت منظمة جديدة من المنظمات المعنية بوضع المعايير</w:t>
      </w:r>
      <w:r w:rsidR="007F28B7">
        <w:rPr>
          <w:rFonts w:hint="cs"/>
          <w:rtl/>
          <w:lang w:bidi="ar"/>
        </w:rPr>
        <w:t xml:space="preserve"> </w:t>
      </w:r>
      <w:r w:rsidRPr="00805155">
        <w:rPr>
          <w:lang w:bidi="ar"/>
        </w:rPr>
        <w:t>(TSDSI)</w:t>
      </w:r>
      <w:r w:rsidR="007F28B7" w:rsidRPr="00C65DC8">
        <w:rPr>
          <w:rFonts w:hint="cs"/>
          <w:rtl/>
          <w:lang w:bidi="ar"/>
        </w:rPr>
        <w:t xml:space="preserve"> </w:t>
      </w:r>
      <w:r w:rsidRPr="00C65DC8">
        <w:rPr>
          <w:rFonts w:hint="cs"/>
          <w:rtl/>
          <w:lang w:bidi="ar"/>
        </w:rPr>
        <w:t xml:space="preserve">إلى المنظمات </w:t>
      </w:r>
      <w:r w:rsidR="007F28B7">
        <w:rPr>
          <w:rFonts w:hint="cs"/>
          <w:rtl/>
        </w:rPr>
        <w:t>المؤيدة</w:t>
      </w:r>
      <w:r>
        <w:rPr>
          <w:rFonts w:hint="cs"/>
          <w:rtl/>
        </w:rPr>
        <w:t xml:space="preserve"> و</w:t>
      </w:r>
      <w:r>
        <w:rPr>
          <w:rFonts w:hint="cs"/>
          <w:rtl/>
          <w:lang w:bidi="ar"/>
        </w:rPr>
        <w:t>الناقلة</w:t>
      </w:r>
      <w:r w:rsidRPr="00C65DC8">
        <w:rPr>
          <w:rFonts w:hint="cs"/>
          <w:rtl/>
          <w:lang w:bidi="ar"/>
        </w:rPr>
        <w:t xml:space="preserve"> </w:t>
      </w:r>
      <w:r>
        <w:rPr>
          <w:rFonts w:hint="cs"/>
          <w:rtl/>
        </w:rPr>
        <w:t>للم</w:t>
      </w:r>
      <w:r w:rsidRPr="00B376E0">
        <w:rPr>
          <w:rtl/>
        </w:rPr>
        <w:t>واصفة الأساسية العالمي</w:t>
      </w:r>
      <w:r>
        <w:rPr>
          <w:rFonts w:hint="cs"/>
          <w:rtl/>
        </w:rPr>
        <w:t xml:space="preserve">ة </w:t>
      </w:r>
      <w:r w:rsidRPr="00B376E0">
        <w:rPr>
          <w:lang w:bidi="ar"/>
        </w:rPr>
        <w:t>(GCS)</w:t>
      </w:r>
      <w:r w:rsidR="007F28B7">
        <w:rPr>
          <w:rFonts w:hint="cs"/>
          <w:rtl/>
          <w:lang w:bidi="ar"/>
        </w:rPr>
        <w:t xml:space="preserve"> في ا</w:t>
      </w:r>
      <w:r w:rsidRPr="00C65DC8">
        <w:rPr>
          <w:rFonts w:hint="cs"/>
          <w:rtl/>
          <w:lang w:bidi="ar"/>
        </w:rPr>
        <w:t xml:space="preserve">لملحق </w:t>
      </w:r>
      <w:r>
        <w:rPr>
          <w:lang w:bidi="ar"/>
        </w:rPr>
        <w:t>1</w:t>
      </w:r>
      <w:r w:rsidRPr="00C65DC8">
        <w:rPr>
          <w:rFonts w:hint="cs"/>
          <w:rtl/>
          <w:lang w:bidi="ar"/>
        </w:rPr>
        <w:t xml:space="preserve"> (</w:t>
      </w:r>
      <w:r w:rsidRPr="00B376E0">
        <w:t>LTE</w:t>
      </w:r>
      <w:r w:rsidR="006821D9">
        <w:rPr>
          <w:rtl/>
          <w:lang w:bidi="ar"/>
        </w:rPr>
        <w:noBreakHyphen/>
      </w:r>
      <w:r w:rsidRPr="00B376E0">
        <w:rPr>
          <w:rtl/>
          <w:lang w:val="en-GB"/>
        </w:rPr>
        <w:t>المتقدمة</w:t>
      </w:r>
      <w:r w:rsidRPr="00C65DC8">
        <w:rPr>
          <w:rFonts w:hint="cs"/>
          <w:rtl/>
          <w:lang w:bidi="ar"/>
        </w:rPr>
        <w:t>).</w:t>
      </w:r>
    </w:p>
    <w:p w14:paraId="3209D106" w14:textId="5C4EAD1F" w:rsidR="00645156" w:rsidRPr="00AF70F6" w:rsidRDefault="00645156" w:rsidP="00645156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0F47F7">
        <w:rPr>
          <w:rFonts w:eastAsiaTheme="minorEastAsia" w:hint="cs"/>
          <w:u w:val="single"/>
          <w:rtl/>
          <w:lang w:eastAsia="zh-CN"/>
        </w:rPr>
        <w:t>مشروع</w:t>
      </w:r>
      <w:r w:rsidRPr="000F47F7">
        <w:rPr>
          <w:rFonts w:eastAsiaTheme="minorEastAsia" w:hint="cs"/>
          <w:u w:val="single"/>
          <w:rtl/>
          <w:lang w:eastAsia="zh-CN" w:bidi="ar-EG"/>
        </w:rPr>
        <w:t xml:space="preserve"> </w:t>
      </w:r>
      <w:r w:rsidR="002E712C" w:rsidRPr="000F47F7">
        <w:rPr>
          <w:rFonts w:eastAsiaTheme="minorEastAsia" w:hint="cs"/>
          <w:u w:val="single"/>
          <w:rtl/>
          <w:lang w:eastAsia="zh-CN" w:bidi="ar-EG"/>
        </w:rPr>
        <w:t xml:space="preserve">مراجعة </w:t>
      </w:r>
      <w:r w:rsidRPr="000F47F7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0F47F7">
        <w:rPr>
          <w:rFonts w:eastAsiaTheme="minorEastAsia"/>
          <w:u w:val="single"/>
          <w:lang w:eastAsia="zh-CN"/>
        </w:rPr>
        <w:t>ITU-R</w:t>
      </w:r>
      <w:r w:rsidR="009F5AF0" w:rsidRPr="000F47F7">
        <w:rPr>
          <w:rFonts w:eastAsiaTheme="minorEastAsia"/>
          <w:u w:val="single"/>
          <w:lang w:eastAsia="zh-CN"/>
        </w:rPr>
        <w:t> </w:t>
      </w:r>
      <w:r w:rsidRPr="000F47F7">
        <w:rPr>
          <w:rFonts w:eastAsiaTheme="minorEastAsia"/>
          <w:u w:val="single"/>
          <w:lang w:eastAsia="zh-CN"/>
        </w:rPr>
        <w:t>M.1746-0</w:t>
      </w:r>
      <w:r w:rsidRPr="00A57A16">
        <w:rPr>
          <w:rFonts w:eastAsiaTheme="minorEastAsia"/>
          <w:rtl/>
          <w:lang w:eastAsia="zh-CN" w:bidi="ar-EG"/>
        </w:rPr>
        <w:tab/>
      </w:r>
      <w:r w:rsidRPr="00A57A16">
        <w:rPr>
          <w:rFonts w:eastAsiaTheme="minorEastAsia" w:hint="cs"/>
          <w:rtl/>
          <w:lang w:eastAsia="zh-CN" w:bidi="ar-EG"/>
        </w:rPr>
        <w:t xml:space="preserve">الوثيقة </w:t>
      </w:r>
      <w:r w:rsidRPr="00A57A16">
        <w:rPr>
          <w:rFonts w:eastAsiaTheme="minorEastAsia"/>
          <w:lang w:eastAsia="zh-CN" w:bidi="ar-EG"/>
        </w:rPr>
        <w:t>5/139</w:t>
      </w:r>
    </w:p>
    <w:p w14:paraId="3DA4A7A0" w14:textId="48555457" w:rsidR="00645156" w:rsidRDefault="00645156" w:rsidP="002534DC">
      <w:pPr>
        <w:pStyle w:val="Rectitle"/>
        <w:rPr>
          <w:rFonts w:eastAsiaTheme="minorEastAsia"/>
          <w:rtl/>
          <w:lang w:eastAsia="zh-CN" w:bidi="ar-EG"/>
        </w:rPr>
      </w:pPr>
      <w:r w:rsidRPr="003A07ED">
        <w:rPr>
          <w:rFonts w:eastAsiaTheme="minorEastAsia" w:hint="cs"/>
          <w:rtl/>
          <w:lang w:eastAsia="zh-CN" w:bidi="ar-EG"/>
        </w:rPr>
        <w:t xml:space="preserve">خطط قنوات التردد المنسقة من أجل حماية الممتلكات </w:t>
      </w:r>
      <w:r w:rsidR="003F4898">
        <w:rPr>
          <w:rFonts w:eastAsiaTheme="minorEastAsia"/>
          <w:rtl/>
          <w:lang w:eastAsia="zh-CN" w:bidi="ar-EG"/>
        </w:rPr>
        <w:br/>
      </w:r>
      <w:r w:rsidRPr="003A07ED">
        <w:rPr>
          <w:rFonts w:eastAsiaTheme="minorEastAsia" w:hint="cs"/>
          <w:rtl/>
          <w:lang w:eastAsia="zh-CN" w:bidi="ar-EG"/>
        </w:rPr>
        <w:t>باستخدام اتصالات البيانات</w:t>
      </w:r>
    </w:p>
    <w:p w14:paraId="70BF73CC" w14:textId="6D799421" w:rsidR="00645156" w:rsidRDefault="00645156" w:rsidP="0064515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A57A16">
        <w:rPr>
          <w:rFonts w:eastAsiaTheme="minorEastAsia" w:hint="cs"/>
          <w:rtl/>
          <w:lang w:eastAsia="zh-CN"/>
        </w:rPr>
        <w:t xml:space="preserve">منذ أن نُشرت التوصية </w:t>
      </w:r>
      <w:r w:rsidRPr="00A57A16">
        <w:rPr>
          <w:rFonts w:eastAsiaTheme="minorEastAsia"/>
          <w:lang w:eastAsia="zh-CN" w:bidi="ar-EG"/>
        </w:rPr>
        <w:t>ITU-R M.1746</w:t>
      </w:r>
      <w:r w:rsidRPr="00A57A16">
        <w:rPr>
          <w:rFonts w:eastAsiaTheme="minorEastAsia" w:hint="cs"/>
          <w:rtl/>
          <w:lang w:eastAsia="zh-CN"/>
        </w:rPr>
        <w:t xml:space="preserve"> في عام </w:t>
      </w:r>
      <w:r w:rsidRPr="00A57A16">
        <w:rPr>
          <w:rFonts w:eastAsiaTheme="minorEastAsia"/>
          <w:lang w:val="es-ES" w:eastAsia="zh-CN" w:bidi="ar-EG"/>
        </w:rPr>
        <w:t>2006</w:t>
      </w:r>
      <w:r w:rsidRPr="00A57A16">
        <w:rPr>
          <w:rFonts w:eastAsiaTheme="minorEastAsia" w:hint="cs"/>
          <w:rtl/>
          <w:lang w:eastAsia="zh-CN"/>
        </w:rPr>
        <w:t xml:space="preserve">، روجعت العديد من المراجع المستشهد بها فيها أو أُلغيت. وتستهدف هذه المراجعة تحديث المواد المشمولة بهذه التوصية لمواءمة نص التوصية مع الوثائق النافذة، وإجراء بعض التحسينات </w:t>
      </w:r>
      <w:proofErr w:type="spellStart"/>
      <w:r w:rsidR="007F28B7">
        <w:rPr>
          <w:rFonts w:eastAsiaTheme="minorEastAsia" w:hint="cs"/>
          <w:rtl/>
          <w:lang w:eastAsia="zh-CN"/>
        </w:rPr>
        <w:t>الصياغية</w:t>
      </w:r>
      <w:proofErr w:type="spellEnd"/>
      <w:r w:rsidRPr="00A57A16">
        <w:rPr>
          <w:rFonts w:eastAsiaTheme="minorEastAsia" w:hint="cs"/>
          <w:rtl/>
          <w:lang w:eastAsia="zh-CN"/>
        </w:rPr>
        <w:t xml:space="preserve"> في</w:t>
      </w:r>
      <w:r w:rsidRPr="00A57A16">
        <w:rPr>
          <w:rFonts w:eastAsiaTheme="minorEastAsia" w:hint="eastAsia"/>
          <w:rtl/>
          <w:lang w:eastAsia="zh-CN"/>
        </w:rPr>
        <w:t> </w:t>
      </w:r>
      <w:r w:rsidRPr="00A57A16">
        <w:rPr>
          <w:rFonts w:eastAsiaTheme="minorEastAsia" w:hint="cs"/>
          <w:rtl/>
          <w:lang w:eastAsia="zh-CN"/>
        </w:rPr>
        <w:t xml:space="preserve">النص </w:t>
      </w:r>
      <w:r w:rsidRPr="00A57A16">
        <w:rPr>
          <w:rFonts w:eastAsiaTheme="minorEastAsia"/>
          <w:rtl/>
          <w:lang w:eastAsia="zh-CN"/>
        </w:rPr>
        <w:t>ل</w:t>
      </w:r>
      <w:r>
        <w:rPr>
          <w:rFonts w:eastAsiaTheme="minorEastAsia" w:hint="cs"/>
          <w:rtl/>
          <w:lang w:eastAsia="zh-CN"/>
        </w:rPr>
        <w:t>ت</w:t>
      </w:r>
      <w:r w:rsidRPr="00A57A16">
        <w:rPr>
          <w:rFonts w:eastAsiaTheme="minorEastAsia"/>
          <w:rtl/>
          <w:lang w:eastAsia="zh-CN"/>
        </w:rPr>
        <w:t>تفق مع النسق العام الإلزامي لتوصيات قطاع الاتصالات الراديوية</w:t>
      </w:r>
      <w:r w:rsidRPr="00A57A16">
        <w:rPr>
          <w:rFonts w:eastAsiaTheme="minorEastAsia"/>
          <w:lang w:eastAsia="zh-CN"/>
        </w:rPr>
        <w:t>.</w:t>
      </w:r>
    </w:p>
    <w:p w14:paraId="7BCA4EAB" w14:textId="5607B4AA" w:rsidR="00645156" w:rsidRPr="00AF70F6" w:rsidRDefault="00645156" w:rsidP="00645156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0F47F7">
        <w:rPr>
          <w:rFonts w:eastAsiaTheme="minorEastAsia" w:hint="cs"/>
          <w:u w:val="single"/>
          <w:rtl/>
          <w:lang w:eastAsia="zh-CN"/>
        </w:rPr>
        <w:t>مشروع</w:t>
      </w:r>
      <w:r w:rsidRPr="000F47F7">
        <w:rPr>
          <w:rFonts w:eastAsiaTheme="minorEastAsia" w:hint="cs"/>
          <w:u w:val="single"/>
          <w:rtl/>
          <w:lang w:eastAsia="zh-CN" w:bidi="ar-EG"/>
        </w:rPr>
        <w:t xml:space="preserve"> </w:t>
      </w:r>
      <w:r w:rsidR="002E712C" w:rsidRPr="000F47F7">
        <w:rPr>
          <w:rFonts w:eastAsiaTheme="minorEastAsia" w:hint="cs"/>
          <w:u w:val="single"/>
          <w:rtl/>
          <w:lang w:eastAsia="zh-CN" w:bidi="ar-EG"/>
        </w:rPr>
        <w:t xml:space="preserve">مراجعة </w:t>
      </w:r>
      <w:r w:rsidRPr="000F47F7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0F47F7">
        <w:rPr>
          <w:rFonts w:eastAsiaTheme="minorEastAsia"/>
          <w:u w:val="single"/>
          <w:lang w:eastAsia="zh-CN"/>
        </w:rPr>
        <w:t>ITU-R</w:t>
      </w:r>
      <w:r w:rsidR="009F5AF0" w:rsidRPr="000F47F7">
        <w:rPr>
          <w:rFonts w:eastAsiaTheme="minorEastAsia"/>
          <w:u w:val="single"/>
          <w:lang w:eastAsia="zh-CN"/>
        </w:rPr>
        <w:t> </w:t>
      </w:r>
      <w:r w:rsidRPr="000F47F7">
        <w:rPr>
          <w:rFonts w:eastAsiaTheme="minorEastAsia"/>
          <w:u w:val="single"/>
          <w:lang w:eastAsia="zh-CN"/>
        </w:rPr>
        <w:t>M.1826</w:t>
      </w:r>
      <w:r w:rsidR="009312D1">
        <w:rPr>
          <w:rFonts w:eastAsiaTheme="minorEastAsia"/>
          <w:u w:val="single"/>
          <w:lang w:eastAsia="zh-CN"/>
        </w:rPr>
        <w:t>-0</w:t>
      </w:r>
      <w:r w:rsidRPr="001844C8">
        <w:rPr>
          <w:rFonts w:eastAsiaTheme="minorEastAsia"/>
          <w:rtl/>
          <w:lang w:eastAsia="zh-CN" w:bidi="ar-EG"/>
        </w:rPr>
        <w:tab/>
      </w:r>
      <w:r w:rsidRPr="001844C8">
        <w:rPr>
          <w:rFonts w:eastAsiaTheme="minorEastAsia" w:hint="cs"/>
          <w:rtl/>
          <w:lang w:eastAsia="zh-CN" w:bidi="ar-EG"/>
        </w:rPr>
        <w:t xml:space="preserve">الوثيقة </w:t>
      </w:r>
      <w:r w:rsidRPr="001844C8">
        <w:rPr>
          <w:rFonts w:eastAsiaTheme="minorEastAsia"/>
          <w:lang w:eastAsia="zh-CN" w:bidi="ar-EG"/>
        </w:rPr>
        <w:t>5/140(Rev.1)</w:t>
      </w:r>
    </w:p>
    <w:p w14:paraId="1B38F62D" w14:textId="4972A052" w:rsidR="00645156" w:rsidRDefault="00645156" w:rsidP="002534DC">
      <w:pPr>
        <w:pStyle w:val="Rectitle"/>
        <w:rPr>
          <w:rFonts w:eastAsiaTheme="minorEastAsia"/>
          <w:rtl/>
          <w:lang w:eastAsia="zh-CN" w:bidi="ar-EG"/>
        </w:rPr>
      </w:pPr>
      <w:r w:rsidRPr="003A07ED">
        <w:rPr>
          <w:rFonts w:eastAsiaTheme="minorEastAsia"/>
          <w:rtl/>
          <w:lang w:eastAsia="zh-CN" w:bidi="ar-EG"/>
        </w:rPr>
        <w:lastRenderedPageBreak/>
        <w:t xml:space="preserve">خطة </w:t>
      </w:r>
      <w:r w:rsidRPr="003A07ED">
        <w:rPr>
          <w:rFonts w:eastAsiaTheme="minorEastAsia" w:hint="cs"/>
          <w:rtl/>
          <w:lang w:eastAsia="zh-CN" w:bidi="ar-EG"/>
        </w:rPr>
        <w:t>قنوات ال</w:t>
      </w:r>
      <w:r w:rsidRPr="003A07ED">
        <w:rPr>
          <w:rFonts w:eastAsiaTheme="minorEastAsia"/>
          <w:rtl/>
          <w:lang w:eastAsia="zh-CN" w:bidi="ar-EG"/>
        </w:rPr>
        <w:t xml:space="preserve">تردد </w:t>
      </w:r>
      <w:r w:rsidRPr="003A07ED">
        <w:rPr>
          <w:rFonts w:eastAsiaTheme="minorEastAsia" w:hint="cs"/>
          <w:rtl/>
          <w:lang w:eastAsia="zh-CN" w:bidi="ar-EG"/>
        </w:rPr>
        <w:t xml:space="preserve">المنسقة من أجل تطبيقات </w:t>
      </w:r>
      <w:r w:rsidRPr="003A07ED">
        <w:rPr>
          <w:rFonts w:eastAsiaTheme="minorEastAsia"/>
          <w:rtl/>
          <w:lang w:eastAsia="zh-CN" w:bidi="ar-EG"/>
        </w:rPr>
        <w:t>النطاق العريض</w:t>
      </w:r>
      <w:r w:rsidR="002B7BB9">
        <w:rPr>
          <w:rFonts w:eastAsiaTheme="minorEastAsia"/>
          <w:rtl/>
          <w:lang w:eastAsia="zh-CN" w:bidi="ar-EG"/>
        </w:rPr>
        <w:br/>
      </w:r>
      <w:r w:rsidRPr="003A07ED">
        <w:rPr>
          <w:rFonts w:eastAsiaTheme="minorEastAsia"/>
          <w:rtl/>
          <w:lang w:eastAsia="zh-CN" w:bidi="ar-EG"/>
        </w:rPr>
        <w:t xml:space="preserve">لأغراض </w:t>
      </w:r>
      <w:r w:rsidRPr="003A07ED">
        <w:rPr>
          <w:rFonts w:eastAsiaTheme="minorEastAsia" w:hint="cs"/>
          <w:rtl/>
          <w:lang w:eastAsia="zh-CN" w:bidi="ar-EG"/>
        </w:rPr>
        <w:t xml:space="preserve">عمليات </w:t>
      </w:r>
      <w:r w:rsidRPr="003A07ED">
        <w:rPr>
          <w:rFonts w:eastAsiaTheme="minorEastAsia"/>
          <w:rtl/>
          <w:lang w:eastAsia="zh-CN" w:bidi="ar-EG"/>
        </w:rPr>
        <w:t xml:space="preserve">حماية </w:t>
      </w:r>
      <w:r w:rsidRPr="003A07ED">
        <w:rPr>
          <w:rFonts w:eastAsiaTheme="minorEastAsia" w:hint="cs"/>
          <w:rtl/>
          <w:lang w:eastAsia="zh-CN" w:bidi="ar-EG"/>
        </w:rPr>
        <w:t>الجمهور و</w:t>
      </w:r>
      <w:r w:rsidRPr="003A07ED">
        <w:rPr>
          <w:rFonts w:eastAsiaTheme="minorEastAsia"/>
          <w:rtl/>
          <w:lang w:eastAsia="zh-CN" w:bidi="ar-EG"/>
        </w:rPr>
        <w:t>الإغاثة في</w:t>
      </w:r>
      <w:r w:rsidRPr="003A07ED">
        <w:rPr>
          <w:rFonts w:eastAsiaTheme="minorEastAsia" w:hint="cs"/>
          <w:rtl/>
          <w:lang w:eastAsia="zh-CN" w:bidi="ar-EG"/>
        </w:rPr>
        <w:t> </w:t>
      </w:r>
      <w:r w:rsidRPr="003A07ED">
        <w:rPr>
          <w:rFonts w:eastAsiaTheme="minorEastAsia"/>
          <w:rtl/>
          <w:lang w:eastAsia="zh-CN" w:bidi="ar-EG"/>
        </w:rPr>
        <w:t>حالات الكوارث</w:t>
      </w:r>
      <w:r w:rsidR="002B7BB9">
        <w:rPr>
          <w:rFonts w:eastAsiaTheme="minorEastAsia"/>
          <w:rtl/>
          <w:lang w:eastAsia="zh-CN" w:bidi="ar-EG"/>
        </w:rPr>
        <w:br/>
      </w:r>
      <w:r w:rsidRPr="003A07ED">
        <w:rPr>
          <w:rFonts w:eastAsiaTheme="minorEastAsia"/>
          <w:rtl/>
          <w:lang w:eastAsia="zh-CN" w:bidi="ar-EG"/>
        </w:rPr>
        <w:t>في</w:t>
      </w:r>
      <w:r w:rsidRPr="003A07ED">
        <w:rPr>
          <w:rFonts w:eastAsiaTheme="minorEastAsia" w:hint="cs"/>
          <w:rtl/>
          <w:lang w:eastAsia="zh-CN" w:bidi="ar-EG"/>
        </w:rPr>
        <w:t> </w:t>
      </w:r>
      <w:r w:rsidRPr="003A07ED">
        <w:rPr>
          <w:rFonts w:eastAsiaTheme="minorEastAsia"/>
          <w:rtl/>
          <w:lang w:eastAsia="zh-CN" w:bidi="ar-EG"/>
        </w:rPr>
        <w:t xml:space="preserve">النطاق </w:t>
      </w:r>
      <w:r w:rsidRPr="003A07ED">
        <w:rPr>
          <w:rFonts w:eastAsiaTheme="minorEastAsia"/>
          <w:lang w:eastAsia="zh-CN" w:bidi="ar-EG"/>
        </w:rPr>
        <w:t>MHz 4 990</w:t>
      </w:r>
      <w:r w:rsidRPr="003A07ED">
        <w:rPr>
          <w:rFonts w:eastAsiaTheme="minorEastAsia"/>
          <w:lang w:eastAsia="zh-CN" w:bidi="ar-EG"/>
        </w:rPr>
        <w:noBreakHyphen/>
        <w:t>4 940</w:t>
      </w:r>
      <w:r w:rsidRPr="003A07ED">
        <w:rPr>
          <w:rFonts w:eastAsiaTheme="minorEastAsia"/>
          <w:rtl/>
          <w:lang w:eastAsia="zh-CN" w:bidi="ar-EG"/>
        </w:rPr>
        <w:t xml:space="preserve"> في الإقليمين</w:t>
      </w:r>
      <w:r w:rsidRPr="003A07ED">
        <w:rPr>
          <w:rFonts w:eastAsiaTheme="minorEastAsia" w:hint="eastAsia"/>
          <w:rtl/>
          <w:lang w:eastAsia="zh-CN" w:bidi="ar-EG"/>
        </w:rPr>
        <w:t> </w:t>
      </w:r>
      <w:r w:rsidRPr="003A07ED">
        <w:rPr>
          <w:rFonts w:eastAsiaTheme="minorEastAsia"/>
          <w:lang w:eastAsia="zh-CN" w:bidi="ar-EG"/>
        </w:rPr>
        <w:t>2</w:t>
      </w:r>
      <w:r w:rsidRPr="003A07ED">
        <w:rPr>
          <w:rFonts w:eastAsiaTheme="minorEastAsia" w:hint="eastAsia"/>
          <w:rtl/>
          <w:lang w:eastAsia="zh-CN" w:bidi="ar-EG"/>
        </w:rPr>
        <w:t> </w:t>
      </w:r>
      <w:r w:rsidRPr="003A07ED">
        <w:rPr>
          <w:rFonts w:eastAsiaTheme="minorEastAsia"/>
          <w:rtl/>
          <w:lang w:eastAsia="zh-CN" w:bidi="ar-EG"/>
        </w:rPr>
        <w:t>و</w:t>
      </w:r>
      <w:r w:rsidRPr="003A07ED">
        <w:rPr>
          <w:rFonts w:eastAsiaTheme="minorEastAsia"/>
          <w:lang w:eastAsia="zh-CN" w:bidi="ar-EG"/>
        </w:rPr>
        <w:t>3</w:t>
      </w:r>
    </w:p>
    <w:p w14:paraId="7348E028" w14:textId="03E56214" w:rsidR="00645156" w:rsidRPr="0082410F" w:rsidRDefault="00645156" w:rsidP="0064515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712EB8">
        <w:rPr>
          <w:rFonts w:eastAsiaTheme="minorEastAsia" w:hint="cs"/>
          <w:rtl/>
          <w:lang w:eastAsia="zh-CN"/>
        </w:rPr>
        <w:t xml:space="preserve">منذ أن نُشرت التوصية </w:t>
      </w:r>
      <w:r w:rsidRPr="00712EB8">
        <w:rPr>
          <w:rFonts w:eastAsiaTheme="minorEastAsia"/>
          <w:lang w:eastAsia="zh-CN" w:bidi="ar-EG"/>
        </w:rPr>
        <w:t>ITU-R M.1826</w:t>
      </w:r>
      <w:r w:rsidRPr="00712EB8">
        <w:rPr>
          <w:rFonts w:eastAsiaTheme="minorEastAsia" w:hint="cs"/>
          <w:rtl/>
          <w:lang w:eastAsia="zh-CN"/>
        </w:rPr>
        <w:t xml:space="preserve"> في عام </w:t>
      </w:r>
      <w:r w:rsidRPr="00712EB8">
        <w:rPr>
          <w:rFonts w:eastAsiaTheme="minorEastAsia"/>
          <w:lang w:val="es-ES" w:eastAsia="zh-CN" w:bidi="ar-EG"/>
        </w:rPr>
        <w:t>2007</w:t>
      </w:r>
      <w:r w:rsidRPr="00712EB8">
        <w:rPr>
          <w:rFonts w:eastAsiaTheme="minorEastAsia" w:hint="cs"/>
          <w:rtl/>
          <w:lang w:eastAsia="zh-CN"/>
        </w:rPr>
        <w:t xml:space="preserve">، روجعت العديد من المراجع المستشهد بها فيها أو أُلغيت. وتستهدف هذه المراجعة تحديث المواد المشمولة بهذه التوصية لمواءمة نص التوصية مع الوثائق النافذة، وإجراء بعض التحسينات </w:t>
      </w:r>
      <w:proofErr w:type="spellStart"/>
      <w:r w:rsidR="007F28B7">
        <w:rPr>
          <w:rFonts w:eastAsiaTheme="minorEastAsia" w:hint="cs"/>
          <w:rtl/>
          <w:lang w:eastAsia="zh-CN"/>
        </w:rPr>
        <w:t>الصياغية</w:t>
      </w:r>
      <w:proofErr w:type="spellEnd"/>
      <w:r w:rsidRPr="00712EB8">
        <w:rPr>
          <w:rFonts w:eastAsiaTheme="minorEastAsia" w:hint="cs"/>
          <w:rtl/>
          <w:lang w:eastAsia="zh-CN"/>
        </w:rPr>
        <w:t xml:space="preserve"> في</w:t>
      </w:r>
      <w:r w:rsidRPr="00712EB8">
        <w:rPr>
          <w:rFonts w:eastAsiaTheme="minorEastAsia" w:hint="eastAsia"/>
          <w:rtl/>
          <w:lang w:eastAsia="zh-CN"/>
        </w:rPr>
        <w:t> </w:t>
      </w:r>
      <w:r w:rsidRPr="00712EB8">
        <w:rPr>
          <w:rFonts w:eastAsiaTheme="minorEastAsia" w:hint="cs"/>
          <w:rtl/>
          <w:lang w:eastAsia="zh-CN"/>
        </w:rPr>
        <w:t xml:space="preserve">النص </w:t>
      </w:r>
      <w:r w:rsidRPr="00712EB8">
        <w:rPr>
          <w:rFonts w:eastAsiaTheme="minorEastAsia"/>
          <w:rtl/>
          <w:lang w:eastAsia="zh-CN"/>
        </w:rPr>
        <w:t>ل</w:t>
      </w:r>
      <w:r>
        <w:rPr>
          <w:rFonts w:eastAsiaTheme="minorEastAsia" w:hint="cs"/>
          <w:rtl/>
          <w:lang w:eastAsia="zh-CN"/>
        </w:rPr>
        <w:t>ت</w:t>
      </w:r>
      <w:r w:rsidRPr="00712EB8">
        <w:rPr>
          <w:rFonts w:eastAsiaTheme="minorEastAsia"/>
          <w:rtl/>
          <w:lang w:eastAsia="zh-CN"/>
        </w:rPr>
        <w:t>تفق مع النسق العام الإلزامي لتوصيات قطاع الاتصالات الراديوية</w:t>
      </w:r>
      <w:r w:rsidRPr="00712EB8">
        <w:rPr>
          <w:rFonts w:eastAsiaTheme="minorEastAsia" w:hint="cs"/>
          <w:rtl/>
          <w:lang w:eastAsia="zh-CN"/>
        </w:rPr>
        <w:t>. وعلاوة</w:t>
      </w:r>
      <w:r w:rsidR="007F28B7">
        <w:rPr>
          <w:rFonts w:eastAsiaTheme="minorEastAsia" w:hint="cs"/>
          <w:rtl/>
          <w:lang w:eastAsia="zh-CN"/>
        </w:rPr>
        <w:t>ً</w:t>
      </w:r>
      <w:r w:rsidRPr="00712EB8">
        <w:rPr>
          <w:rFonts w:eastAsiaTheme="minorEastAsia" w:hint="cs"/>
          <w:rtl/>
          <w:lang w:eastAsia="zh-CN"/>
        </w:rPr>
        <w:t xml:space="preserve"> على ذلك، أُدرجت </w:t>
      </w:r>
      <w:r w:rsidRPr="00712EB8">
        <w:rPr>
          <w:rFonts w:eastAsiaTheme="minorEastAsia"/>
          <w:rtl/>
          <w:lang w:eastAsia="zh-CN"/>
        </w:rPr>
        <w:t>عروض نطاق أوسع</w:t>
      </w:r>
      <w:r w:rsidRPr="00712EB8">
        <w:rPr>
          <w:rFonts w:eastAsiaTheme="minorEastAsia" w:hint="cs"/>
          <w:rtl/>
          <w:lang w:eastAsia="zh-CN"/>
        </w:rPr>
        <w:t xml:space="preserve"> </w:t>
      </w:r>
      <w:r w:rsidR="007F28B7">
        <w:rPr>
          <w:rFonts w:eastAsiaTheme="minorEastAsia" w:hint="cs"/>
          <w:rtl/>
          <w:lang w:eastAsia="zh-CN"/>
        </w:rPr>
        <w:t xml:space="preserve">للقنوات </w:t>
      </w:r>
      <w:r w:rsidRPr="00712EB8">
        <w:rPr>
          <w:rFonts w:eastAsiaTheme="minorEastAsia" w:hint="cs"/>
          <w:rtl/>
          <w:lang w:eastAsia="zh-CN"/>
        </w:rPr>
        <w:t xml:space="preserve">وترتيبات </w:t>
      </w:r>
      <w:r w:rsidR="007F28B7">
        <w:rPr>
          <w:rFonts w:eastAsiaTheme="minorEastAsia" w:hint="cs"/>
          <w:rtl/>
          <w:lang w:eastAsia="zh-CN"/>
        </w:rPr>
        <w:t xml:space="preserve">للقنوات </w:t>
      </w:r>
      <w:r w:rsidRPr="00712EB8">
        <w:rPr>
          <w:rFonts w:eastAsiaTheme="minorEastAsia" w:hint="cs"/>
          <w:rtl/>
          <w:lang w:eastAsia="zh-CN"/>
        </w:rPr>
        <w:t xml:space="preserve">في الملحقين </w:t>
      </w:r>
      <w:r w:rsidR="007F28B7">
        <w:rPr>
          <w:rFonts w:eastAsiaTheme="minorEastAsia" w:hint="cs"/>
          <w:rtl/>
          <w:lang w:eastAsia="zh-CN"/>
        </w:rPr>
        <w:t>اللذين</w:t>
      </w:r>
      <w:r w:rsidRPr="00712EB8">
        <w:rPr>
          <w:rFonts w:eastAsiaTheme="minorEastAsia" w:hint="cs"/>
          <w:rtl/>
          <w:lang w:eastAsia="zh-CN"/>
        </w:rPr>
        <w:t xml:space="preserve"> تُشير إليهما الفقرة </w:t>
      </w:r>
      <w:r w:rsidRPr="00712EB8">
        <w:rPr>
          <w:rFonts w:eastAsiaTheme="minorEastAsia"/>
          <w:lang w:val="fr-FR" w:eastAsia="zh-CN"/>
        </w:rPr>
        <w:t>3</w:t>
      </w:r>
      <w:r w:rsidR="007F28B7">
        <w:rPr>
          <w:rFonts w:eastAsiaTheme="minorEastAsia" w:hint="cs"/>
          <w:rtl/>
          <w:lang w:val="fr-FR" w:eastAsia="zh-CN"/>
        </w:rPr>
        <w:t xml:space="preserve"> من</w:t>
      </w:r>
      <w:r w:rsidRPr="00712EB8">
        <w:rPr>
          <w:rFonts w:eastAsiaTheme="minorEastAsia" w:hint="cs"/>
          <w:rtl/>
          <w:lang w:eastAsia="zh-CN"/>
        </w:rPr>
        <w:t xml:space="preserve"> "</w:t>
      </w:r>
      <w:r w:rsidRPr="00712EB8">
        <w:rPr>
          <w:rFonts w:eastAsiaTheme="minorEastAsia" w:hint="cs"/>
          <w:i/>
          <w:iCs/>
          <w:rtl/>
          <w:lang w:eastAsia="zh-CN"/>
        </w:rPr>
        <w:t>توصي</w:t>
      </w:r>
      <w:r w:rsidRPr="00712EB8">
        <w:rPr>
          <w:rFonts w:eastAsiaTheme="minorEastAsia" w:hint="cs"/>
          <w:rtl/>
          <w:lang w:eastAsia="zh-CN"/>
        </w:rPr>
        <w:t>"</w:t>
      </w:r>
      <w:r>
        <w:rPr>
          <w:rFonts w:eastAsiaTheme="minorEastAsia" w:hint="cs"/>
          <w:rtl/>
          <w:lang w:eastAsia="zh-CN"/>
        </w:rPr>
        <w:t xml:space="preserve"> من أجل التعبير عن التطورات التي تشهدها التكنولوجيات.</w:t>
      </w:r>
    </w:p>
    <w:p w14:paraId="30D1ACB5" w14:textId="2F8EC30D" w:rsidR="00645156" w:rsidRPr="00AF70F6" w:rsidRDefault="00645156" w:rsidP="007F28B7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BA5613">
        <w:rPr>
          <w:rFonts w:eastAsiaTheme="minorEastAsia"/>
          <w:rtl/>
          <w:lang w:eastAsia="zh-CN" w:bidi="ar-EG"/>
        </w:rPr>
        <w:br w:type="page"/>
      </w:r>
      <w:r w:rsidRPr="000F47F7">
        <w:rPr>
          <w:rFonts w:eastAsiaTheme="minorEastAsia" w:hint="cs"/>
          <w:u w:val="single"/>
          <w:rtl/>
          <w:lang w:eastAsia="zh-CN"/>
        </w:rPr>
        <w:lastRenderedPageBreak/>
        <w:t>مشروع</w:t>
      </w:r>
      <w:r w:rsidRPr="000F47F7">
        <w:rPr>
          <w:rFonts w:eastAsiaTheme="minorEastAsia" w:hint="cs"/>
          <w:u w:val="single"/>
          <w:rtl/>
          <w:lang w:eastAsia="zh-CN" w:bidi="ar-EG"/>
        </w:rPr>
        <w:t xml:space="preserve"> </w:t>
      </w:r>
      <w:r w:rsidR="002E712C" w:rsidRPr="000F47F7">
        <w:rPr>
          <w:rFonts w:eastAsiaTheme="minorEastAsia" w:hint="cs"/>
          <w:u w:val="single"/>
          <w:rtl/>
          <w:lang w:eastAsia="zh-CN" w:bidi="ar-EG"/>
        </w:rPr>
        <w:t xml:space="preserve">مراجعة </w:t>
      </w:r>
      <w:r w:rsidRPr="000F47F7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0F47F7">
        <w:rPr>
          <w:rFonts w:eastAsiaTheme="minorEastAsia"/>
          <w:u w:val="single"/>
          <w:lang w:eastAsia="zh-CN"/>
        </w:rPr>
        <w:t>ITU-R</w:t>
      </w:r>
      <w:r w:rsidR="009F5AF0" w:rsidRPr="000F47F7">
        <w:rPr>
          <w:rFonts w:eastAsiaTheme="minorEastAsia"/>
          <w:u w:val="single"/>
          <w:lang w:eastAsia="zh-CN"/>
        </w:rPr>
        <w:t> </w:t>
      </w:r>
      <w:r w:rsidRPr="000F47F7">
        <w:rPr>
          <w:rFonts w:eastAsiaTheme="minorEastAsia"/>
          <w:u w:val="single"/>
          <w:lang w:eastAsia="zh-CN"/>
        </w:rPr>
        <w:t>M.1808</w:t>
      </w:r>
      <w:r w:rsidR="009312D1">
        <w:rPr>
          <w:rFonts w:eastAsiaTheme="minorEastAsia"/>
          <w:u w:val="single"/>
          <w:lang w:eastAsia="zh-CN"/>
        </w:rPr>
        <w:t>-0</w:t>
      </w:r>
      <w:r w:rsidRPr="001A0DA4">
        <w:rPr>
          <w:rFonts w:eastAsiaTheme="minorEastAsia"/>
          <w:rtl/>
          <w:lang w:eastAsia="zh-CN" w:bidi="ar-EG"/>
        </w:rPr>
        <w:tab/>
      </w:r>
      <w:r w:rsidRPr="001A0DA4">
        <w:rPr>
          <w:rFonts w:eastAsiaTheme="minorEastAsia" w:hint="cs"/>
          <w:rtl/>
          <w:lang w:eastAsia="zh-CN" w:bidi="ar-EG"/>
        </w:rPr>
        <w:t xml:space="preserve">الوثيقة </w:t>
      </w:r>
      <w:r w:rsidRPr="001A0DA4">
        <w:rPr>
          <w:rFonts w:eastAsiaTheme="minorEastAsia"/>
          <w:lang w:eastAsia="zh-CN" w:bidi="ar-EG"/>
        </w:rPr>
        <w:t>5/142</w:t>
      </w:r>
    </w:p>
    <w:p w14:paraId="76DB6EEC" w14:textId="556198A9" w:rsidR="00645156" w:rsidRDefault="00645156" w:rsidP="00645156">
      <w:pPr>
        <w:pStyle w:val="Rectitle"/>
        <w:rPr>
          <w:rFonts w:eastAsiaTheme="minorEastAsia"/>
          <w:rtl/>
          <w:lang w:eastAsia="zh-CN"/>
        </w:rPr>
      </w:pPr>
      <w:r w:rsidRPr="00104C27">
        <w:rPr>
          <w:rFonts w:eastAsiaTheme="minorEastAsia" w:hint="cs"/>
          <w:rtl/>
          <w:lang w:eastAsia="zh-CN" w:bidi="ar-EG"/>
        </w:rPr>
        <w:t>الخصائص التقنية والتشغيلية للأنظمة المتنقلة البرية التقليدية والمتقاسمة</w:t>
      </w:r>
      <w:r w:rsidR="00D37858">
        <w:rPr>
          <w:rFonts w:eastAsiaTheme="minorEastAsia"/>
          <w:rtl/>
          <w:lang w:eastAsia="zh-CN" w:bidi="ar-EG"/>
        </w:rPr>
        <w:br/>
      </w:r>
      <w:r w:rsidRPr="00104C27">
        <w:rPr>
          <w:rFonts w:eastAsiaTheme="minorEastAsia" w:hint="cs"/>
          <w:rtl/>
          <w:lang w:eastAsia="zh-CN" w:bidi="ar-EG"/>
        </w:rPr>
        <w:t>العاملة في</w:t>
      </w:r>
      <w:r w:rsidRPr="00104C27">
        <w:rPr>
          <w:rFonts w:eastAsiaTheme="minorEastAsia" w:hint="eastAsia"/>
          <w:rtl/>
          <w:lang w:eastAsia="zh-CN" w:bidi="ar-EG"/>
        </w:rPr>
        <w:t> </w:t>
      </w:r>
      <w:r w:rsidRPr="00104C27">
        <w:rPr>
          <w:rFonts w:eastAsiaTheme="minorEastAsia" w:hint="cs"/>
          <w:rtl/>
          <w:lang w:eastAsia="zh-CN" w:bidi="ar-EG"/>
        </w:rPr>
        <w:t xml:space="preserve">توزيعات الخدمة المتنقلة تحت </w:t>
      </w:r>
      <w:r w:rsidRPr="00104C27">
        <w:rPr>
          <w:rFonts w:eastAsiaTheme="minorEastAsia"/>
          <w:lang w:eastAsia="zh-CN" w:bidi="ar-EG"/>
        </w:rPr>
        <w:t>MHz 869</w:t>
      </w:r>
      <w:r w:rsidRPr="00104C27">
        <w:rPr>
          <w:rFonts w:eastAsiaTheme="minorEastAsia" w:hint="cs"/>
          <w:rtl/>
          <w:lang w:eastAsia="zh-CN" w:bidi="ar-EG"/>
        </w:rPr>
        <w:t xml:space="preserve"> والتي يتعين استعمالها</w:t>
      </w:r>
      <w:r w:rsidR="00D37858">
        <w:rPr>
          <w:rFonts w:eastAsiaTheme="minorEastAsia"/>
          <w:rtl/>
          <w:lang w:eastAsia="zh-CN" w:bidi="ar-EG"/>
        </w:rPr>
        <w:br/>
      </w:r>
      <w:r w:rsidRPr="00104C27">
        <w:rPr>
          <w:rFonts w:eastAsiaTheme="minorEastAsia" w:hint="cs"/>
          <w:rtl/>
          <w:lang w:eastAsia="zh-CN" w:bidi="ar-EG"/>
        </w:rPr>
        <w:t>في دراسات التقاسم</w:t>
      </w:r>
    </w:p>
    <w:p w14:paraId="5B3B4566" w14:textId="5CEA5A65" w:rsidR="00645156" w:rsidRPr="001A0DA4" w:rsidRDefault="00645156" w:rsidP="0064515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val="en-GB" w:eastAsia="zh-CN" w:bidi="ar-EG"/>
        </w:rPr>
      </w:pPr>
      <w:r>
        <w:rPr>
          <w:rFonts w:eastAsiaTheme="minorEastAsia" w:hint="cs"/>
          <w:rtl/>
          <w:lang w:eastAsia="zh-CN" w:bidi="ar"/>
        </w:rPr>
        <w:t>أُضيفت</w:t>
      </w:r>
      <w:r w:rsidRPr="00337C1C">
        <w:rPr>
          <w:rFonts w:eastAsiaTheme="minorEastAsia" w:hint="cs"/>
          <w:rtl/>
          <w:lang w:eastAsia="zh-CN" w:bidi="ar"/>
        </w:rPr>
        <w:t xml:space="preserve"> الكلمات </w:t>
      </w:r>
      <w:r>
        <w:rPr>
          <w:rFonts w:eastAsiaTheme="minorEastAsia" w:hint="cs"/>
          <w:rtl/>
          <w:lang w:eastAsia="zh-CN" w:bidi="ar"/>
        </w:rPr>
        <w:t>الرئيسية</w:t>
      </w:r>
      <w:r w:rsidRPr="00337C1C">
        <w:rPr>
          <w:rFonts w:eastAsiaTheme="minorEastAsia" w:hint="cs"/>
          <w:rtl/>
          <w:lang w:eastAsia="zh-CN" w:bidi="ar"/>
        </w:rPr>
        <w:t xml:space="preserve"> والمختصرات/</w:t>
      </w:r>
      <w:r w:rsidRPr="001A0DA4">
        <w:rPr>
          <w:rFonts w:eastAsiaTheme="minorEastAsia" w:hint="cs"/>
          <w:rtl/>
          <w:lang w:eastAsia="zh-CN" w:bidi="ar"/>
        </w:rPr>
        <w:t>م</w:t>
      </w:r>
      <w:r w:rsidRPr="00337C1C">
        <w:rPr>
          <w:rFonts w:eastAsiaTheme="minorEastAsia" w:hint="cs"/>
          <w:rtl/>
          <w:lang w:eastAsia="zh-CN" w:bidi="ar"/>
        </w:rPr>
        <w:t xml:space="preserve">سرد </w:t>
      </w:r>
      <w:r w:rsidRPr="001A0DA4">
        <w:rPr>
          <w:rFonts w:eastAsiaTheme="minorEastAsia" w:hint="cs"/>
          <w:rtl/>
          <w:lang w:eastAsia="zh-CN" w:bidi="ar"/>
        </w:rPr>
        <w:t xml:space="preserve">المصطلحات </w:t>
      </w:r>
      <w:r w:rsidRPr="00337C1C">
        <w:rPr>
          <w:rFonts w:eastAsiaTheme="minorEastAsia" w:hint="cs"/>
          <w:rtl/>
          <w:lang w:eastAsia="zh-CN" w:bidi="ar"/>
        </w:rPr>
        <w:t xml:space="preserve">بناءً على توجيهات مكتب الاتصالات الراديوية </w:t>
      </w:r>
      <w:r w:rsidRPr="001A0DA4">
        <w:rPr>
          <w:rFonts w:eastAsiaTheme="minorEastAsia" w:hint="cs"/>
          <w:rtl/>
          <w:lang w:eastAsia="zh-CN" w:bidi="ar"/>
        </w:rPr>
        <w:t>المتعلقة</w:t>
      </w:r>
      <w:r w:rsidRPr="00337C1C">
        <w:rPr>
          <w:rFonts w:eastAsiaTheme="minorEastAsia" w:hint="cs"/>
          <w:rtl/>
          <w:lang w:eastAsia="zh-CN" w:bidi="ar"/>
        </w:rPr>
        <w:t xml:space="preserve"> </w:t>
      </w:r>
      <w:r w:rsidRPr="001A0DA4">
        <w:rPr>
          <w:rFonts w:eastAsiaTheme="minorEastAsia" w:hint="cs"/>
          <w:rtl/>
          <w:lang w:eastAsia="zh-CN" w:bidi="ar"/>
        </w:rPr>
        <w:t>ب</w:t>
      </w:r>
      <w:r w:rsidRPr="00337C1C">
        <w:rPr>
          <w:rFonts w:eastAsiaTheme="minorEastAsia" w:hint="cs"/>
          <w:rtl/>
          <w:lang w:eastAsia="zh-CN" w:bidi="ar"/>
        </w:rPr>
        <w:t xml:space="preserve">نسق توصيات قطاع الاتصالات الراديوية. </w:t>
      </w:r>
      <w:r w:rsidRPr="001A0DA4">
        <w:rPr>
          <w:rFonts w:eastAsiaTheme="minorEastAsia" w:hint="cs"/>
          <w:rtl/>
          <w:lang w:eastAsia="zh-CN" w:bidi="ar"/>
        </w:rPr>
        <w:t>وبالإضافة إلى</w:t>
      </w:r>
      <w:r w:rsidRPr="00337C1C">
        <w:rPr>
          <w:rFonts w:eastAsiaTheme="minorEastAsia" w:hint="cs"/>
          <w:rtl/>
          <w:lang w:eastAsia="zh-CN" w:bidi="ar"/>
        </w:rPr>
        <w:t xml:space="preserve"> ذلك، تم نقل أجزاء من القسم</w:t>
      </w:r>
      <w:r w:rsidRPr="001A0DA4">
        <w:rPr>
          <w:rFonts w:eastAsiaTheme="minorEastAsia" w:hint="cs"/>
          <w:rtl/>
          <w:lang w:eastAsia="zh-CN" w:bidi="ar"/>
        </w:rPr>
        <w:t xml:space="preserve"> "</w:t>
      </w:r>
      <w:r w:rsidR="00467C1E">
        <w:rPr>
          <w:rFonts w:eastAsiaTheme="minorEastAsia" w:hint="eastAsia"/>
          <w:rtl/>
          <w:lang w:eastAsia="zh-CN" w:bidi="ar"/>
        </w:rPr>
        <w:t> </w:t>
      </w:r>
      <w:r w:rsidR="007F28B7" w:rsidRPr="007F28B7">
        <w:rPr>
          <w:rFonts w:eastAsiaTheme="minorEastAsia" w:hint="cs"/>
          <w:i/>
          <w:iCs/>
          <w:rtl/>
          <w:lang w:eastAsia="zh-CN" w:bidi="ar"/>
        </w:rPr>
        <w:t>إذ ت</w:t>
      </w:r>
      <w:r w:rsidRPr="001A0DA4">
        <w:rPr>
          <w:rFonts w:eastAsiaTheme="minorEastAsia" w:hint="cs"/>
          <w:i/>
          <w:iCs/>
          <w:rtl/>
          <w:lang w:eastAsia="zh-CN" w:bidi="ar"/>
        </w:rPr>
        <w:t>لاحظ</w:t>
      </w:r>
      <w:r w:rsidRPr="001A0DA4">
        <w:rPr>
          <w:rFonts w:eastAsiaTheme="minorEastAsia" w:hint="cs"/>
          <w:rtl/>
          <w:lang w:eastAsia="zh-CN" w:bidi="ar"/>
        </w:rPr>
        <w:t>"</w:t>
      </w:r>
      <w:r w:rsidRPr="00337C1C">
        <w:rPr>
          <w:rFonts w:eastAsiaTheme="minorEastAsia" w:hint="cs"/>
          <w:rtl/>
          <w:lang w:eastAsia="zh-CN" w:bidi="ar"/>
        </w:rPr>
        <w:t xml:space="preserve"> </w:t>
      </w:r>
      <w:r w:rsidRPr="001A0DA4">
        <w:rPr>
          <w:rFonts w:eastAsiaTheme="minorEastAsia" w:hint="cs"/>
          <w:rtl/>
          <w:lang w:eastAsia="zh-CN" w:bidi="ar"/>
        </w:rPr>
        <w:t>ت</w:t>
      </w:r>
      <w:r w:rsidRPr="00337C1C">
        <w:rPr>
          <w:rFonts w:eastAsiaTheme="minorEastAsia" w:hint="cs"/>
          <w:rtl/>
          <w:lang w:eastAsia="zh-CN" w:bidi="ar"/>
        </w:rPr>
        <w:t>شير إلى توصيات الاتحاد وتقارير</w:t>
      </w:r>
      <w:r w:rsidRPr="001A0DA4">
        <w:rPr>
          <w:rFonts w:eastAsiaTheme="minorEastAsia" w:hint="cs"/>
          <w:rtl/>
          <w:lang w:eastAsia="zh-CN" w:bidi="ar"/>
        </w:rPr>
        <w:t xml:space="preserve">ه </w:t>
      </w:r>
      <w:r w:rsidRPr="00337C1C">
        <w:rPr>
          <w:rFonts w:eastAsiaTheme="minorEastAsia" w:hint="cs"/>
          <w:rtl/>
          <w:lang w:eastAsia="zh-CN" w:bidi="ar"/>
        </w:rPr>
        <w:t>المنشورة إلى قسم مخصص في الديباجة ل</w:t>
      </w:r>
      <w:r w:rsidRPr="001A0DA4">
        <w:rPr>
          <w:rFonts w:eastAsiaTheme="minorEastAsia" w:hint="cs"/>
          <w:rtl/>
          <w:lang w:eastAsia="zh-CN" w:bidi="ar"/>
        </w:rPr>
        <w:t>لسبب نفسه</w:t>
      </w:r>
      <w:r w:rsidRPr="00337C1C">
        <w:rPr>
          <w:rFonts w:eastAsiaTheme="minorEastAsia" w:hint="cs"/>
          <w:rtl/>
          <w:lang w:eastAsia="zh-CN" w:bidi="ar"/>
        </w:rPr>
        <w:t>. و</w:t>
      </w:r>
      <w:r w:rsidRPr="001A0DA4">
        <w:rPr>
          <w:rFonts w:eastAsiaTheme="minorEastAsia" w:hint="cs"/>
          <w:rtl/>
          <w:lang w:eastAsia="zh-CN" w:bidi="ar"/>
        </w:rPr>
        <w:t>ختاماً</w:t>
      </w:r>
      <w:r w:rsidRPr="00337C1C">
        <w:rPr>
          <w:rFonts w:eastAsiaTheme="minorEastAsia" w:hint="cs"/>
          <w:rtl/>
          <w:lang w:eastAsia="zh-CN" w:bidi="ar"/>
        </w:rPr>
        <w:t xml:space="preserve">، تم تحديث الخصائص التقنية والتشغيلية لبعض الأنظمة </w:t>
      </w:r>
      <w:r w:rsidRPr="001A0DA4">
        <w:rPr>
          <w:rFonts w:eastAsiaTheme="minorEastAsia" w:hint="cs"/>
          <w:rtl/>
          <w:lang w:eastAsia="zh-CN" w:bidi="ar"/>
        </w:rPr>
        <w:t xml:space="preserve">الواردة </w:t>
      </w:r>
      <w:r w:rsidRPr="00337C1C">
        <w:rPr>
          <w:rFonts w:eastAsiaTheme="minorEastAsia" w:hint="cs"/>
          <w:rtl/>
          <w:lang w:eastAsia="zh-CN" w:bidi="ar"/>
        </w:rPr>
        <w:t>في الملحق</w:t>
      </w:r>
      <w:r w:rsidR="000262CF">
        <w:rPr>
          <w:rFonts w:eastAsiaTheme="minorEastAsia" w:hint="eastAsia"/>
          <w:rtl/>
          <w:lang w:eastAsia="zh-CN" w:bidi="ar"/>
        </w:rPr>
        <w:t> </w:t>
      </w:r>
      <w:r w:rsidRPr="001A0DA4">
        <w:rPr>
          <w:rFonts w:eastAsiaTheme="minorEastAsia"/>
          <w:lang w:eastAsia="zh-CN" w:bidi="ar"/>
        </w:rPr>
        <w:t>1</w:t>
      </w:r>
      <w:r w:rsidRPr="001A0DA4">
        <w:rPr>
          <w:rFonts w:eastAsiaTheme="minorEastAsia" w:hint="cs"/>
          <w:rtl/>
          <w:lang w:eastAsia="zh-CN"/>
        </w:rPr>
        <w:t>،</w:t>
      </w:r>
      <w:r w:rsidRPr="00337C1C">
        <w:rPr>
          <w:rFonts w:eastAsiaTheme="minorEastAsia" w:hint="cs"/>
          <w:rtl/>
          <w:lang w:eastAsia="zh-CN" w:bidi="ar"/>
        </w:rPr>
        <w:t xml:space="preserve"> وأضيفت بعض الأنظمة الجديدة لتع</w:t>
      </w:r>
      <w:r w:rsidRPr="001A0DA4">
        <w:rPr>
          <w:rFonts w:eastAsiaTheme="minorEastAsia" w:hint="cs"/>
          <w:rtl/>
          <w:lang w:eastAsia="zh-CN" w:bidi="ar"/>
        </w:rPr>
        <w:t>بّر عن</w:t>
      </w:r>
      <w:r w:rsidRPr="00337C1C">
        <w:rPr>
          <w:rFonts w:eastAsiaTheme="minorEastAsia" w:hint="cs"/>
          <w:rtl/>
          <w:lang w:eastAsia="zh-CN" w:bidi="ar"/>
        </w:rPr>
        <w:t xml:space="preserve"> التطورات التكنولوجية منذ وضع هذه التوصية لأول مرة في عام </w:t>
      </w:r>
      <w:r w:rsidRPr="001A0DA4">
        <w:rPr>
          <w:rFonts w:eastAsiaTheme="minorEastAsia"/>
          <w:lang w:eastAsia="zh-CN" w:bidi="ar"/>
        </w:rPr>
        <w:t>2007</w:t>
      </w:r>
      <w:r w:rsidRPr="00337C1C">
        <w:rPr>
          <w:rFonts w:eastAsiaTheme="minorEastAsia" w:hint="cs"/>
          <w:rtl/>
          <w:lang w:eastAsia="zh-CN" w:bidi="ar"/>
        </w:rPr>
        <w:t xml:space="preserve">. </w:t>
      </w:r>
      <w:r w:rsidRPr="001A0DA4">
        <w:rPr>
          <w:rFonts w:eastAsiaTheme="minorEastAsia" w:hint="cs"/>
          <w:rtl/>
          <w:lang w:eastAsia="zh-CN" w:bidi="ar"/>
        </w:rPr>
        <w:t>و</w:t>
      </w:r>
      <w:r w:rsidRPr="00337C1C">
        <w:rPr>
          <w:rFonts w:eastAsiaTheme="minorEastAsia" w:hint="cs"/>
          <w:rtl/>
          <w:lang w:eastAsia="zh-CN" w:bidi="ar"/>
        </w:rPr>
        <w:t xml:space="preserve">تم فصل الجداول </w:t>
      </w:r>
      <w:r w:rsidRPr="001A0DA4">
        <w:rPr>
          <w:rFonts w:eastAsiaTheme="minorEastAsia" w:hint="cs"/>
          <w:rtl/>
          <w:lang w:eastAsia="zh-CN" w:bidi="ar"/>
        </w:rPr>
        <w:t>المذكورة</w:t>
      </w:r>
      <w:r w:rsidRPr="00337C1C">
        <w:rPr>
          <w:rFonts w:eastAsiaTheme="minorEastAsia" w:hint="cs"/>
          <w:rtl/>
          <w:lang w:eastAsia="zh-CN" w:bidi="ar"/>
        </w:rPr>
        <w:t xml:space="preserve"> في الملحق</w:t>
      </w:r>
      <w:r w:rsidR="009F5AF0">
        <w:rPr>
          <w:rFonts w:eastAsiaTheme="minorEastAsia" w:hint="eastAsia"/>
          <w:rtl/>
          <w:lang w:eastAsia="zh-CN" w:bidi="ar"/>
        </w:rPr>
        <w:t> </w:t>
      </w:r>
      <w:r w:rsidRPr="001A0DA4">
        <w:rPr>
          <w:rFonts w:eastAsiaTheme="minorEastAsia"/>
          <w:lang w:eastAsia="zh-CN" w:bidi="ar"/>
        </w:rPr>
        <w:t>1</w:t>
      </w:r>
      <w:r w:rsidRPr="00337C1C">
        <w:rPr>
          <w:rFonts w:eastAsiaTheme="minorEastAsia" w:hint="cs"/>
          <w:rtl/>
          <w:lang w:eastAsia="zh-CN" w:bidi="ar"/>
        </w:rPr>
        <w:t xml:space="preserve"> أيضا</w:t>
      </w:r>
      <w:r w:rsidR="007F28B7">
        <w:rPr>
          <w:rFonts w:eastAsiaTheme="minorEastAsia" w:hint="cs"/>
          <w:rtl/>
          <w:lang w:eastAsia="zh-CN" w:bidi="ar"/>
        </w:rPr>
        <w:t>ً</w:t>
      </w:r>
      <w:r w:rsidRPr="00337C1C">
        <w:rPr>
          <w:rFonts w:eastAsiaTheme="minorEastAsia" w:hint="cs"/>
          <w:rtl/>
          <w:lang w:eastAsia="zh-CN" w:bidi="ar"/>
        </w:rPr>
        <w:t xml:space="preserve"> إلى جداول متعددة لتحسين </w:t>
      </w:r>
      <w:r w:rsidRPr="001A0DA4">
        <w:rPr>
          <w:rFonts w:eastAsiaTheme="minorEastAsia" w:hint="cs"/>
          <w:rtl/>
          <w:lang w:eastAsia="zh-CN" w:bidi="ar"/>
        </w:rPr>
        <w:t>بنية</w:t>
      </w:r>
      <w:r w:rsidRPr="00337C1C">
        <w:rPr>
          <w:rFonts w:eastAsiaTheme="minorEastAsia" w:hint="cs"/>
          <w:rtl/>
          <w:lang w:eastAsia="zh-CN" w:bidi="ar"/>
        </w:rPr>
        <w:t xml:space="preserve"> </w:t>
      </w:r>
      <w:r w:rsidRPr="001A0DA4">
        <w:rPr>
          <w:rFonts w:eastAsiaTheme="minorEastAsia" w:hint="cs"/>
          <w:rtl/>
          <w:lang w:eastAsia="zh-CN" w:bidi="ar"/>
        </w:rPr>
        <w:t>المعلوم</w:t>
      </w:r>
      <w:r w:rsidR="007F28B7">
        <w:rPr>
          <w:rFonts w:eastAsiaTheme="minorEastAsia" w:hint="cs"/>
          <w:rtl/>
          <w:lang w:eastAsia="zh-CN" w:bidi="ar"/>
        </w:rPr>
        <w:t xml:space="preserve">ات </w:t>
      </w:r>
      <w:r w:rsidRPr="00337C1C">
        <w:rPr>
          <w:rFonts w:eastAsiaTheme="minorEastAsia" w:hint="cs"/>
          <w:rtl/>
          <w:lang w:eastAsia="zh-CN" w:bidi="ar"/>
        </w:rPr>
        <w:t>و</w:t>
      </w:r>
      <w:r w:rsidRPr="001A0DA4">
        <w:rPr>
          <w:rFonts w:eastAsiaTheme="minorEastAsia" w:hint="cs"/>
          <w:rtl/>
          <w:lang w:eastAsia="zh-CN" w:bidi="ar"/>
        </w:rPr>
        <w:t>زيادة وضوحها</w:t>
      </w:r>
      <w:r w:rsidRPr="00337C1C">
        <w:rPr>
          <w:rFonts w:eastAsiaTheme="minorEastAsia" w:hint="cs"/>
          <w:rtl/>
          <w:lang w:eastAsia="zh-CN" w:bidi="ar"/>
        </w:rPr>
        <w:t>.</w:t>
      </w:r>
    </w:p>
    <w:p w14:paraId="0BE24907" w14:textId="39F86B26" w:rsidR="00645156" w:rsidRPr="00AF70F6" w:rsidRDefault="00645156" w:rsidP="00645156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0F47F7">
        <w:rPr>
          <w:rFonts w:eastAsiaTheme="minorEastAsia" w:hint="cs"/>
          <w:u w:val="single"/>
          <w:rtl/>
          <w:lang w:eastAsia="zh-CN"/>
        </w:rPr>
        <w:t>مشروع</w:t>
      </w:r>
      <w:r w:rsidRPr="000F47F7">
        <w:rPr>
          <w:rFonts w:eastAsiaTheme="minorEastAsia" w:hint="cs"/>
          <w:u w:val="single"/>
          <w:rtl/>
          <w:lang w:eastAsia="zh-CN" w:bidi="ar-EG"/>
        </w:rPr>
        <w:t xml:space="preserve"> </w:t>
      </w:r>
      <w:r w:rsidR="002E712C" w:rsidRPr="000F47F7">
        <w:rPr>
          <w:rFonts w:eastAsiaTheme="minorEastAsia" w:hint="cs"/>
          <w:u w:val="single"/>
          <w:rtl/>
          <w:lang w:eastAsia="zh-CN" w:bidi="ar-EG"/>
        </w:rPr>
        <w:t xml:space="preserve">مراجعة </w:t>
      </w:r>
      <w:r w:rsidRPr="000F47F7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0F47F7">
        <w:rPr>
          <w:rFonts w:eastAsiaTheme="minorEastAsia"/>
          <w:u w:val="single"/>
          <w:lang w:eastAsia="zh-CN"/>
        </w:rPr>
        <w:t>ITU-R</w:t>
      </w:r>
      <w:r w:rsidR="009F5AF0" w:rsidRPr="000F47F7">
        <w:rPr>
          <w:rFonts w:eastAsiaTheme="minorEastAsia"/>
          <w:u w:val="single"/>
          <w:lang w:eastAsia="zh-CN"/>
        </w:rPr>
        <w:t> </w:t>
      </w:r>
      <w:r w:rsidRPr="000F47F7">
        <w:rPr>
          <w:rFonts w:eastAsiaTheme="minorEastAsia"/>
          <w:u w:val="single"/>
          <w:lang w:eastAsia="zh-CN"/>
        </w:rPr>
        <w:t>M.2084-0</w:t>
      </w:r>
      <w:r w:rsidRPr="001A0DA4">
        <w:rPr>
          <w:rFonts w:eastAsiaTheme="minorEastAsia"/>
          <w:rtl/>
          <w:lang w:eastAsia="zh-CN" w:bidi="ar-EG"/>
        </w:rPr>
        <w:tab/>
      </w:r>
      <w:r w:rsidRPr="001A0DA4">
        <w:rPr>
          <w:rFonts w:eastAsiaTheme="minorEastAsia" w:hint="cs"/>
          <w:rtl/>
          <w:lang w:eastAsia="zh-CN" w:bidi="ar-EG"/>
        </w:rPr>
        <w:t xml:space="preserve">الوثيقة </w:t>
      </w:r>
      <w:r w:rsidRPr="001A0DA4">
        <w:rPr>
          <w:rFonts w:eastAsiaTheme="minorEastAsia"/>
          <w:lang w:eastAsia="zh-CN" w:bidi="ar-EG"/>
        </w:rPr>
        <w:t>5/149(Rev.1)</w:t>
      </w:r>
    </w:p>
    <w:p w14:paraId="03184566" w14:textId="1C2A79C4" w:rsidR="00645156" w:rsidRPr="00A67ABC" w:rsidRDefault="00645156" w:rsidP="00645156">
      <w:pPr>
        <w:pStyle w:val="Rectitle"/>
        <w:rPr>
          <w:rtl/>
        </w:rPr>
      </w:pPr>
      <w:r w:rsidRPr="001A0DA4">
        <w:rPr>
          <w:rFonts w:hint="cs"/>
          <w:rtl/>
        </w:rPr>
        <w:t>معايير السطوح البينية الراديوية للاتصالات من مركبة إلى مركبة</w:t>
      </w:r>
      <w:r w:rsidR="00797525">
        <w:br/>
      </w:r>
      <w:r w:rsidRPr="001A0DA4">
        <w:rPr>
          <w:rFonts w:hint="cs"/>
          <w:rtl/>
        </w:rPr>
        <w:t>ومن مركبة إلى البنية التحتية من أجل تطبيقات أنظمة النقل الذكية</w:t>
      </w:r>
    </w:p>
    <w:p w14:paraId="552B01D7" w14:textId="1B3519A9" w:rsidR="00645156" w:rsidRDefault="00645156" w:rsidP="00645156">
      <w:pPr>
        <w:rPr>
          <w:rtl/>
        </w:rPr>
      </w:pPr>
      <w:r w:rsidRPr="00A5679A">
        <w:rPr>
          <w:rFonts w:hint="cs"/>
          <w:rtl/>
        </w:rPr>
        <w:t>تحدد هذه التوصية معايير السطوح البينية الراديوية للاتصالات من مركبة إلى مركبة ومن مركبة إلى البنية التحتية</w:t>
      </w:r>
      <w:r w:rsidR="00635566">
        <w:rPr>
          <w:rFonts w:hint="cs"/>
          <w:rtl/>
          <w:lang w:bidi="ar-EG"/>
        </w:rPr>
        <w:t xml:space="preserve"> </w:t>
      </w:r>
      <w:r w:rsidR="00635566">
        <w:rPr>
          <w:rFonts w:hint="cs"/>
          <w:rtl/>
        </w:rPr>
        <w:t>(</w:t>
      </w:r>
      <w:r w:rsidR="00635566" w:rsidRPr="00A5679A">
        <w:rPr>
          <w:rFonts w:hint="cs"/>
          <w:rtl/>
        </w:rPr>
        <w:t xml:space="preserve">بما ذلك الاتصالات </w:t>
      </w:r>
      <w:r w:rsidR="00635566">
        <w:rPr>
          <w:rFonts w:hint="cs"/>
          <w:rtl/>
        </w:rPr>
        <w:t>بين المركبات و</w:t>
      </w:r>
      <w:r w:rsidR="00635566" w:rsidRPr="00A5679A">
        <w:rPr>
          <w:rFonts w:hint="cs"/>
          <w:rtl/>
        </w:rPr>
        <w:t>البنية التحتية</w:t>
      </w:r>
      <w:r w:rsidR="00635566">
        <w:rPr>
          <w:rFonts w:hint="cs"/>
          <w:rtl/>
        </w:rPr>
        <w:t xml:space="preserve">) </w:t>
      </w:r>
      <w:r w:rsidRPr="00A5679A">
        <w:rPr>
          <w:rFonts w:hint="cs"/>
          <w:rtl/>
        </w:rPr>
        <w:t>من أجل تطبيقات أنظمة النقل الذكية. وروجعت</w:t>
      </w:r>
      <w:r w:rsidR="002F78BA">
        <w:rPr>
          <w:rFonts w:hint="cs"/>
          <w:rtl/>
        </w:rPr>
        <w:t xml:space="preserve"> </w:t>
      </w:r>
      <w:r w:rsidRPr="00A5679A">
        <w:rPr>
          <w:rFonts w:hint="cs"/>
          <w:rtl/>
        </w:rPr>
        <w:t xml:space="preserve">الخصائص التقنية الموصوفة في هذه التوصية </w:t>
      </w:r>
      <w:r w:rsidR="007F28B7">
        <w:rPr>
          <w:rFonts w:hint="cs"/>
          <w:rtl/>
        </w:rPr>
        <w:t xml:space="preserve">وتستند </w:t>
      </w:r>
      <w:r w:rsidRPr="00A5679A">
        <w:rPr>
          <w:rFonts w:hint="cs"/>
          <w:rtl/>
        </w:rPr>
        <w:t>إلى التطبيقات الحالية لأنظمة النقل الذكية</w:t>
      </w:r>
      <w:r w:rsidRPr="00A5679A">
        <w:rPr>
          <w:rFonts w:hint="eastAsia"/>
          <w:rtl/>
        </w:rPr>
        <w:t> </w:t>
      </w:r>
      <w:r w:rsidRPr="00A5679A">
        <w:rPr>
          <w:rFonts w:hint="cs"/>
          <w:rtl/>
        </w:rPr>
        <w:t>في الخدمة المتنقلة.</w:t>
      </w:r>
    </w:p>
    <w:p w14:paraId="6DF28041" w14:textId="6FDFE102" w:rsidR="00645156" w:rsidRPr="00AF70F6" w:rsidRDefault="00645156" w:rsidP="00645156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0F47F7">
        <w:rPr>
          <w:rFonts w:eastAsiaTheme="minorEastAsia" w:hint="cs"/>
          <w:u w:val="single"/>
          <w:rtl/>
          <w:lang w:eastAsia="zh-CN"/>
        </w:rPr>
        <w:t>مشروع</w:t>
      </w:r>
      <w:r w:rsidRPr="000F47F7">
        <w:rPr>
          <w:rFonts w:eastAsiaTheme="minorEastAsia" w:hint="cs"/>
          <w:u w:val="single"/>
          <w:rtl/>
          <w:lang w:eastAsia="zh-CN" w:bidi="ar-EG"/>
        </w:rPr>
        <w:t xml:space="preserve"> </w:t>
      </w:r>
      <w:r w:rsidR="002E712C" w:rsidRPr="000F47F7">
        <w:rPr>
          <w:rFonts w:eastAsiaTheme="minorEastAsia" w:hint="cs"/>
          <w:u w:val="single"/>
          <w:rtl/>
          <w:lang w:eastAsia="zh-CN" w:bidi="ar-EG"/>
        </w:rPr>
        <w:t xml:space="preserve">مراجعة </w:t>
      </w:r>
      <w:r w:rsidRPr="000F47F7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0F47F7">
        <w:rPr>
          <w:rFonts w:eastAsiaTheme="minorEastAsia"/>
          <w:u w:val="single"/>
          <w:lang w:eastAsia="zh-CN"/>
        </w:rPr>
        <w:t>ITU-R</w:t>
      </w:r>
      <w:r w:rsidR="009F5AF0" w:rsidRPr="000F47F7">
        <w:rPr>
          <w:rFonts w:eastAsiaTheme="minorEastAsia"/>
          <w:u w:val="single"/>
          <w:lang w:eastAsia="zh-CN"/>
        </w:rPr>
        <w:t> </w:t>
      </w:r>
      <w:r w:rsidRPr="000F47F7">
        <w:rPr>
          <w:rFonts w:eastAsiaTheme="minorEastAsia"/>
          <w:u w:val="single"/>
          <w:lang w:eastAsia="zh-CN"/>
        </w:rPr>
        <w:t>F.758-6</w:t>
      </w:r>
      <w:r w:rsidRPr="00BC472C">
        <w:rPr>
          <w:rFonts w:eastAsiaTheme="minorEastAsia"/>
          <w:rtl/>
          <w:lang w:eastAsia="zh-CN" w:bidi="ar-EG"/>
        </w:rPr>
        <w:tab/>
      </w:r>
      <w:r w:rsidRPr="00BC472C">
        <w:rPr>
          <w:rFonts w:eastAsiaTheme="minorEastAsia" w:hint="cs"/>
          <w:rtl/>
          <w:lang w:eastAsia="zh-CN" w:bidi="ar-EG"/>
        </w:rPr>
        <w:t xml:space="preserve">الوثيقة </w:t>
      </w:r>
      <w:r w:rsidRPr="00BC472C">
        <w:rPr>
          <w:rFonts w:eastAsiaTheme="minorEastAsia"/>
          <w:lang w:eastAsia="zh-CN" w:bidi="ar-EG"/>
        </w:rPr>
        <w:t>5/145(Rev.1)</w:t>
      </w:r>
    </w:p>
    <w:p w14:paraId="0B2F24B8" w14:textId="0E534895" w:rsidR="00645156" w:rsidRDefault="00645156" w:rsidP="00645156">
      <w:pPr>
        <w:pStyle w:val="Rectitle"/>
      </w:pPr>
      <w:r w:rsidRPr="007B66AF">
        <w:rPr>
          <w:rtl/>
        </w:rPr>
        <w:lastRenderedPageBreak/>
        <w:t>معلمات النظام و</w:t>
      </w:r>
      <w:r w:rsidRPr="007B66AF">
        <w:rPr>
          <w:rFonts w:hint="cs"/>
          <w:rtl/>
        </w:rPr>
        <w:t>ال</w:t>
      </w:r>
      <w:r w:rsidRPr="007B66AF">
        <w:rPr>
          <w:rtl/>
        </w:rPr>
        <w:t xml:space="preserve">اعتبارات </w:t>
      </w:r>
      <w:r w:rsidRPr="007B66AF">
        <w:rPr>
          <w:rFonts w:hint="cs"/>
          <w:rtl/>
        </w:rPr>
        <w:t xml:space="preserve">المتعلقة بإعداد </w:t>
      </w:r>
      <w:r w:rsidRPr="007B66AF">
        <w:rPr>
          <w:rtl/>
        </w:rPr>
        <w:t>معايير التقاسم</w:t>
      </w:r>
      <w:r w:rsidR="008F3DB7">
        <w:rPr>
          <w:rtl/>
        </w:rPr>
        <w:br/>
      </w:r>
      <w:r w:rsidRPr="007B66AF">
        <w:rPr>
          <w:rtl/>
        </w:rPr>
        <w:t>أو</w:t>
      </w:r>
      <w:r w:rsidRPr="007B66AF">
        <w:rPr>
          <w:rFonts w:hint="cs"/>
          <w:rtl/>
        </w:rPr>
        <w:t> </w:t>
      </w:r>
      <w:r w:rsidRPr="007B66AF">
        <w:rPr>
          <w:rtl/>
        </w:rPr>
        <w:t>التوافق بين الأنظمة اللاسلكية الثابتة الرقمية في الخدمة الثابتة</w:t>
      </w:r>
      <w:r w:rsidR="008F3DB7">
        <w:rPr>
          <w:rtl/>
        </w:rPr>
        <w:br/>
      </w:r>
      <w:r w:rsidRPr="007B66AF">
        <w:rPr>
          <w:rtl/>
        </w:rPr>
        <w:t>وأنظمة في</w:t>
      </w:r>
      <w:r w:rsidRPr="007B66AF">
        <w:rPr>
          <w:rFonts w:hint="cs"/>
          <w:rtl/>
        </w:rPr>
        <w:t> </w:t>
      </w:r>
      <w:r w:rsidRPr="007B66AF">
        <w:rPr>
          <w:rtl/>
        </w:rPr>
        <w:t>خدمات أخرى وغيرها من مصادر التداخل</w:t>
      </w:r>
    </w:p>
    <w:p w14:paraId="2AA057EC" w14:textId="7B16D469" w:rsidR="00645156" w:rsidRDefault="00645156" w:rsidP="00645156">
      <w:pPr>
        <w:pStyle w:val="Normalaftertitle"/>
        <w:rPr>
          <w:rtl/>
          <w:lang w:bidi="ar-EG"/>
        </w:rPr>
      </w:pPr>
      <w:r>
        <w:rPr>
          <w:rFonts w:hint="cs"/>
          <w:rtl/>
        </w:rPr>
        <w:t>حُدّثت</w:t>
      </w:r>
      <w:r w:rsidRPr="00BC472C">
        <w:rPr>
          <w:rtl/>
        </w:rPr>
        <w:t>/</w:t>
      </w:r>
      <w:r>
        <w:rPr>
          <w:rFonts w:hint="cs"/>
          <w:rtl/>
        </w:rPr>
        <w:t>أُضيفت</w:t>
      </w:r>
      <w:r w:rsidRPr="00BC472C">
        <w:rPr>
          <w:rtl/>
        </w:rPr>
        <w:t xml:space="preserve"> الخصائص التقنية لأنظمة الخدمة الثابتة في الجداول من </w:t>
      </w:r>
      <w:r>
        <w:t>6</w:t>
      </w:r>
      <w:r w:rsidRPr="00BC472C">
        <w:rPr>
          <w:rtl/>
        </w:rPr>
        <w:t xml:space="preserve"> إلى </w:t>
      </w:r>
      <w:r>
        <w:t>13</w:t>
      </w:r>
      <w:r w:rsidRPr="00BC472C">
        <w:rPr>
          <w:rtl/>
        </w:rPr>
        <w:t xml:space="preserve">. </w:t>
      </w:r>
      <w:r>
        <w:rPr>
          <w:rFonts w:hint="cs"/>
          <w:rtl/>
        </w:rPr>
        <w:t>وأُجريت</w:t>
      </w:r>
      <w:r w:rsidRPr="00BC472C">
        <w:rPr>
          <w:rtl/>
        </w:rPr>
        <w:t xml:space="preserve"> تغييرات </w:t>
      </w:r>
      <w:proofErr w:type="spellStart"/>
      <w:r>
        <w:rPr>
          <w:rFonts w:hint="cs"/>
          <w:rtl/>
        </w:rPr>
        <w:t>صياغية</w:t>
      </w:r>
      <w:proofErr w:type="spellEnd"/>
      <w:r w:rsidRPr="00BC472C">
        <w:rPr>
          <w:rtl/>
        </w:rPr>
        <w:t xml:space="preserve"> في </w:t>
      </w:r>
      <w:r>
        <w:rPr>
          <w:rFonts w:hint="cs"/>
          <w:rtl/>
        </w:rPr>
        <w:t>الوثيقة بأكملها</w:t>
      </w:r>
      <w:r w:rsidRPr="00BC472C">
        <w:rPr>
          <w:rtl/>
        </w:rPr>
        <w:t xml:space="preserve"> </w:t>
      </w:r>
      <w:r w:rsidR="007F28B7">
        <w:rPr>
          <w:rFonts w:hint="cs"/>
          <w:rtl/>
        </w:rPr>
        <w:t xml:space="preserve">لتحسين </w:t>
      </w:r>
      <w:r w:rsidR="00E50B61">
        <w:rPr>
          <w:rFonts w:hint="cs"/>
          <w:rtl/>
        </w:rPr>
        <w:t>صياغة نص الوثيقة ووضوحه.</w:t>
      </w:r>
    </w:p>
    <w:p w14:paraId="6459D199" w14:textId="77777777" w:rsidR="00645156" w:rsidRDefault="00645156" w:rsidP="00E50B61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645156" w:rsidSect="008B5B5D">
      <w:headerReference w:type="default" r:id="rId20"/>
      <w:footerReference w:type="default" r:id="rId21"/>
      <w:headerReference w:type="firs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7FF4F" w14:textId="77777777" w:rsidR="00645156" w:rsidRDefault="00645156" w:rsidP="00E07379">
      <w:pPr>
        <w:spacing w:before="0" w:line="240" w:lineRule="auto"/>
      </w:pPr>
      <w:r>
        <w:separator/>
      </w:r>
    </w:p>
  </w:endnote>
  <w:endnote w:type="continuationSeparator" w:id="0">
    <w:p w14:paraId="4F0D7B3D" w14:textId="77777777" w:rsidR="00645156" w:rsidRDefault="0064515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3589E" w14:textId="5A1E19A3" w:rsidR="002D4DD1" w:rsidRPr="002D4DD1" w:rsidRDefault="002D4DD1" w:rsidP="002D4DD1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326148">
      <w:rPr>
        <w:rFonts w:cs="Times New Roman"/>
        <w:noProof/>
        <w:sz w:val="16"/>
        <w:szCs w:val="16"/>
      </w:rPr>
      <w:t>P:\ARA\ITU-R\BR\DIR\CACE\900\926V2A.docx</w:t>
    </w:r>
    <w:r w:rsidRPr="002D4DD1">
      <w:rPr>
        <w:rFonts w:cs="Times New Roman"/>
        <w:noProof/>
        <w:sz w:val="16"/>
        <w:szCs w:val="16"/>
      </w:rPr>
      <w:fldChar w:fldCharType="end"/>
    </w:r>
    <w:proofErr w:type="gramStart"/>
    <w:r w:rsidRPr="002D4DD1">
      <w:rPr>
        <w:rFonts w:cs="Times New Roman"/>
        <w:sz w:val="16"/>
        <w:szCs w:val="16"/>
      </w:rPr>
      <w:t xml:space="preserve">   (</w:t>
    </w:r>
    <w:proofErr w:type="gramEnd"/>
    <w:r w:rsidR="008F0341">
      <w:rPr>
        <w:rFonts w:cs="Times New Roman" w:hint="cs"/>
        <w:sz w:val="16"/>
        <w:szCs w:val="16"/>
        <w:rtl/>
      </w:rPr>
      <w:t>460494</w:t>
    </w:r>
    <w:r w:rsidRPr="002D4DD1">
      <w:rPr>
        <w:rFonts w:cs="Times New Roman"/>
        <w:sz w:val="16"/>
        <w:szCs w:val="16"/>
      </w:rPr>
      <w:t>)</w:t>
    </w:r>
    <w:r w:rsidRPr="002D4DD1">
      <w:rPr>
        <w:rFonts w:cs="Times New Roman"/>
        <w:sz w:val="16"/>
        <w:szCs w:val="16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savedate \@ dd.MM.yy </w:instrText>
    </w:r>
    <w:r w:rsidRPr="002D4DD1">
      <w:rPr>
        <w:rFonts w:cs="Times New Roman"/>
        <w:sz w:val="16"/>
        <w:szCs w:val="16"/>
      </w:rPr>
      <w:fldChar w:fldCharType="separate"/>
    </w:r>
    <w:r w:rsidR="00326148">
      <w:rPr>
        <w:rFonts w:cs="Times New Roman"/>
        <w:noProof/>
        <w:sz w:val="16"/>
        <w:szCs w:val="16"/>
      </w:rPr>
      <w:t>18.09.19</w:t>
    </w:r>
    <w:r w:rsidRPr="002D4DD1">
      <w:rPr>
        <w:rFonts w:cs="Times New Roman"/>
        <w:sz w:val="16"/>
        <w:szCs w:val="16"/>
      </w:rPr>
      <w:fldChar w:fldCharType="end"/>
    </w:r>
    <w:r w:rsidRPr="002D4DD1">
      <w:rPr>
        <w:rFonts w:cs="Times New Roman"/>
        <w:sz w:val="16"/>
        <w:szCs w:val="16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printdate \@ dd.MM.yy </w:instrText>
    </w:r>
    <w:r w:rsidRPr="002D4DD1">
      <w:rPr>
        <w:rFonts w:cs="Times New Roman"/>
        <w:sz w:val="16"/>
        <w:szCs w:val="16"/>
      </w:rPr>
      <w:fldChar w:fldCharType="separate"/>
    </w:r>
    <w:r w:rsidR="00326148">
      <w:rPr>
        <w:rFonts w:cs="Times New Roman"/>
        <w:noProof/>
        <w:sz w:val="16"/>
        <w:szCs w:val="16"/>
      </w:rPr>
      <w:t>18.09.19</w:t>
    </w:r>
    <w:r w:rsidRPr="002D4DD1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BA615" w14:textId="77777777"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6D7D0" w14:textId="77777777" w:rsidR="00645156" w:rsidRDefault="00645156" w:rsidP="00E07379">
      <w:pPr>
        <w:spacing w:before="0" w:line="240" w:lineRule="auto"/>
      </w:pPr>
      <w:r>
        <w:separator/>
      </w:r>
    </w:p>
  </w:footnote>
  <w:footnote w:type="continuationSeparator" w:id="0">
    <w:p w14:paraId="06FAC215" w14:textId="77777777" w:rsidR="00645156" w:rsidRDefault="0064515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92D41" w14:textId="77777777"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DF5990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14:paraId="5B6358AB" w14:textId="77777777" w:rsidTr="001E3739">
      <w:trPr>
        <w:jc w:val="center"/>
      </w:trPr>
      <w:tc>
        <w:tcPr>
          <w:tcW w:w="2472" w:type="pct"/>
          <w:vAlign w:val="center"/>
        </w:tcPr>
        <w:p w14:paraId="14CA4DC5" w14:textId="77777777"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3520884C" wp14:editId="3C1988C0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163A5D" w14:textId="77777777"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14:paraId="5FC9CA50" w14:textId="77777777"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eastAsia="zh-CN"/>
            </w:rPr>
            <w:drawing>
              <wp:inline distT="0" distB="0" distL="0" distR="0" wp14:anchorId="3AA00FFB" wp14:editId="2991EF0B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4D90C2" w14:textId="77777777"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06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5446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38B2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E267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72C9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A455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84B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5CE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98F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B2F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6"/>
    <w:rsid w:val="000124CC"/>
    <w:rsid w:val="000262CF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7F7"/>
    <w:rsid w:val="000F4D07"/>
    <w:rsid w:val="00102A03"/>
    <w:rsid w:val="001040A3"/>
    <w:rsid w:val="00126E41"/>
    <w:rsid w:val="00173915"/>
    <w:rsid w:val="001F2ED3"/>
    <w:rsid w:val="0021544D"/>
    <w:rsid w:val="0022345D"/>
    <w:rsid w:val="00225854"/>
    <w:rsid w:val="0023283D"/>
    <w:rsid w:val="00252E0C"/>
    <w:rsid w:val="002534DC"/>
    <w:rsid w:val="00276881"/>
    <w:rsid w:val="002916BE"/>
    <w:rsid w:val="002978F4"/>
    <w:rsid w:val="002B028D"/>
    <w:rsid w:val="002B435E"/>
    <w:rsid w:val="002B7BB9"/>
    <w:rsid w:val="002C4DAE"/>
    <w:rsid w:val="002D4DD1"/>
    <w:rsid w:val="002D6669"/>
    <w:rsid w:val="002E6541"/>
    <w:rsid w:val="002E712C"/>
    <w:rsid w:val="002E7A05"/>
    <w:rsid w:val="002F5560"/>
    <w:rsid w:val="002F7232"/>
    <w:rsid w:val="002F78BA"/>
    <w:rsid w:val="0030486B"/>
    <w:rsid w:val="003231B9"/>
    <w:rsid w:val="00326148"/>
    <w:rsid w:val="003275AC"/>
    <w:rsid w:val="00333D29"/>
    <w:rsid w:val="003409F4"/>
    <w:rsid w:val="00357185"/>
    <w:rsid w:val="003C475F"/>
    <w:rsid w:val="003E4132"/>
    <w:rsid w:val="003F4898"/>
    <w:rsid w:val="003F678F"/>
    <w:rsid w:val="0042686F"/>
    <w:rsid w:val="004367CE"/>
    <w:rsid w:val="00443869"/>
    <w:rsid w:val="00467C1E"/>
    <w:rsid w:val="004712C6"/>
    <w:rsid w:val="00497703"/>
    <w:rsid w:val="004F0F06"/>
    <w:rsid w:val="00501E0E"/>
    <w:rsid w:val="005204D7"/>
    <w:rsid w:val="0052589A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5566"/>
    <w:rsid w:val="00645156"/>
    <w:rsid w:val="0065591D"/>
    <w:rsid w:val="00662C5A"/>
    <w:rsid w:val="00670AF5"/>
    <w:rsid w:val="006821D9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97525"/>
    <w:rsid w:val="007B01CC"/>
    <w:rsid w:val="007E7C6C"/>
    <w:rsid w:val="007F28B7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8C3B34"/>
    <w:rsid w:val="008F0341"/>
    <w:rsid w:val="008F3DB7"/>
    <w:rsid w:val="00917694"/>
    <w:rsid w:val="00923199"/>
    <w:rsid w:val="009263CD"/>
    <w:rsid w:val="00930E6D"/>
    <w:rsid w:val="009312D1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9F5AF0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82089"/>
    <w:rsid w:val="00B970AE"/>
    <w:rsid w:val="00BA1427"/>
    <w:rsid w:val="00BB4544"/>
    <w:rsid w:val="00BD72FA"/>
    <w:rsid w:val="00BE49D0"/>
    <w:rsid w:val="00BF2C38"/>
    <w:rsid w:val="00C23331"/>
    <w:rsid w:val="00C265DA"/>
    <w:rsid w:val="00C31F7F"/>
    <w:rsid w:val="00C32113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858"/>
    <w:rsid w:val="00D37B45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50B6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1E0F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8137042"/>
  <w15:chartTrackingRefBased/>
  <w15:docId w15:val="{9E855376-3C8D-413D-B36F-A4DE709D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89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534DC"/>
    <w:pPr>
      <w:spacing w:before="240" w:after="240"/>
    </w:pPr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45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SG05-C-0170/en" TargetMode="External"/><Relationship Id="rId18" Type="http://schemas.openxmlformats.org/officeDocument/2006/relationships/hyperlink" Target="https://www.itu.int/md/R15-SG05-C-0145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T/ipr/Pages/policy.aspx" TargetMode="External"/><Relationship Id="rId17" Type="http://schemas.openxmlformats.org/officeDocument/2006/relationships/hyperlink" Target="https://www.itu.int/md/R15-SG05-C-0149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5-SG05-C-0142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R-REC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R15-SG05-C-0140/en" TargetMode="External"/><Relationship Id="rId23" Type="http://schemas.openxmlformats.org/officeDocument/2006/relationships/footer" Target="footer2.xml"/><Relationship Id="rId10" Type="http://schemas.openxmlformats.org/officeDocument/2006/relationships/hyperlink" Target="mailto:brsgd@itu.int" TargetMode="External"/><Relationship Id="rId19" Type="http://schemas.openxmlformats.org/officeDocument/2006/relationships/hyperlink" Target="https://www.itu.int/md/R15-SG05-C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5-SG05-C-0139/en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elements/1.1/"/>
    <ds:schemaRef ds:uri="996b2e75-67fd-4955-a3b0-5ab9934cb50b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54CBE-89C4-4E2A-9454-1BC1FDBD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7</TotalTime>
  <Pages>4</Pages>
  <Words>1005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Awad, Samy</cp:lastModifiedBy>
  <cp:revision>3</cp:revision>
  <cp:lastPrinted>2019-09-18T09:44:00Z</cp:lastPrinted>
  <dcterms:created xsi:type="dcterms:W3CDTF">2019-09-18T09:40:00Z</dcterms:created>
  <dcterms:modified xsi:type="dcterms:W3CDTF">2019-09-18T09:46:00Z</dcterms:modified>
  <cp:category>Conference document</cp:category>
</cp:coreProperties>
</file>