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bookmarkStart w:id="0" w:name="_GoBack"/>
            <w:bookmarkEnd w:id="0"/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486B53">
              <w:rPr>
                <w:b/>
                <w:bCs/>
                <w:szCs w:val="24"/>
                <w:lang w:val="es-ES_tradnl"/>
              </w:rPr>
              <w:t>925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486B53" w:rsidP="00C948B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</w:t>
            </w:r>
            <w:r w:rsidR="00C948B7">
              <w:rPr>
                <w:bCs/>
                <w:szCs w:val="24"/>
                <w:lang w:val="es-ES_tradnl"/>
              </w:rPr>
              <w:t>8</w:t>
            </w:r>
            <w:r>
              <w:rPr>
                <w:bCs/>
                <w:szCs w:val="24"/>
                <w:lang w:val="es-ES_tradnl"/>
              </w:rPr>
              <w:t xml:space="preserve"> de septiembre de 2019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668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2E6646" w:rsidP="00486B5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486B53">
              <w:rPr>
                <w:b/>
                <w:bCs/>
                <w:lang w:val="es-ES_tradnl"/>
              </w:rPr>
              <w:t>5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99668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668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668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D00AD1">
              <w:rPr>
                <w:b/>
                <w:lang w:val="es-ES_tradnl"/>
              </w:rPr>
              <w:t xml:space="preserve">Comisión de Estudio </w:t>
            </w:r>
            <w:r w:rsidR="00486B53">
              <w:rPr>
                <w:b/>
                <w:lang w:val="es-ES_tradnl"/>
              </w:rPr>
              <w:t>5</w:t>
            </w:r>
            <w:r w:rsidRPr="00D00AD1">
              <w:rPr>
                <w:b/>
                <w:lang w:val="es-ES_tradnl"/>
              </w:rPr>
              <w:t xml:space="preserve"> de Radiocomunicaciones</w:t>
            </w:r>
            <w:r w:rsidR="00470826">
              <w:rPr>
                <w:b/>
                <w:lang w:val="es-ES_tradnl"/>
              </w:rPr>
              <w:t xml:space="preserve"> (</w:t>
            </w:r>
            <w:r w:rsidR="00486B53">
              <w:rPr>
                <w:b/>
                <w:lang w:val="es-ES_tradnl"/>
              </w:rPr>
              <w:t>Servicios terre</w:t>
            </w:r>
            <w:r w:rsidR="00361AFC">
              <w:rPr>
                <w:b/>
                <w:lang w:val="es-ES_tradnl"/>
              </w:rPr>
              <w:t>nal</w:t>
            </w:r>
            <w:r w:rsidR="00486B53">
              <w:rPr>
                <w:b/>
                <w:lang w:val="es-ES_tradnl"/>
              </w:rPr>
              <w:t>es</w:t>
            </w:r>
            <w:r w:rsidR="00470826">
              <w:rPr>
                <w:b/>
                <w:lang w:val="es-ES_tradnl"/>
              </w:rPr>
              <w:t>)</w:t>
            </w:r>
          </w:p>
          <w:p w:rsidR="002E6646" w:rsidRPr="00D00AD1" w:rsidRDefault="002E6646" w:rsidP="00836BFC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486B53">
              <w:rPr>
                <w:b/>
                <w:bCs/>
                <w:lang w:val="es-ES"/>
              </w:rPr>
              <w:t>3</w:t>
            </w:r>
            <w:r w:rsidRPr="003428EF">
              <w:rPr>
                <w:b/>
                <w:bCs/>
                <w:lang w:val="es-ES"/>
              </w:rPr>
              <w:t xml:space="preserve"> proyectos de Recomendaciones UIT-R revisadas y su aprobación simultánea por correspondencia de conformidad con el § A2.6.2.4 de la Resolución UIT</w:t>
            </w:r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>7 (Procedimiento para la adopción y aprobación simultánea por correspondencia)</w:t>
            </w:r>
          </w:p>
        </w:tc>
      </w:tr>
      <w:tr w:rsidR="00E53DCE" w:rsidRPr="0099668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9668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9668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9668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70826" w:rsidRDefault="002E6646" w:rsidP="00BC3B14">
      <w:pPr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836BFC">
        <w:rPr>
          <w:lang w:val="es-ES_tradnl"/>
        </w:rPr>
        <w:t>5</w:t>
      </w:r>
      <w:r w:rsidRPr="00D00AD1">
        <w:rPr>
          <w:lang w:val="es-ES_tradnl"/>
        </w:rPr>
        <w:t xml:space="preserve"> de Radiocomunicaciones celebrada el </w:t>
      </w:r>
      <w:r w:rsidR="00836BFC">
        <w:rPr>
          <w:lang w:val="es-ES_tradnl"/>
        </w:rPr>
        <w:t xml:space="preserve">2 </w:t>
      </w:r>
      <w:r w:rsidR="00BC3B14">
        <w:rPr>
          <w:lang w:val="es-ES_tradnl"/>
        </w:rPr>
        <w:t>y</w:t>
      </w:r>
      <w:r w:rsidR="00836BFC">
        <w:rPr>
          <w:lang w:val="es-ES_tradnl"/>
        </w:rPr>
        <w:t xml:space="preserve"> 3 de septiembre de 2019</w:t>
      </w:r>
      <w:r w:rsidRPr="00D00AD1">
        <w:rPr>
          <w:lang w:val="es-ES_tradnl"/>
        </w:rPr>
        <w:t xml:space="preserve">, la Comisión de Estudio decidió solicitar la adopción de </w:t>
      </w:r>
      <w:r w:rsidR="00836BFC">
        <w:rPr>
          <w:lang w:val="es-ES_tradnl"/>
        </w:rPr>
        <w:t>3</w:t>
      </w:r>
      <w:r w:rsidRPr="00D00AD1">
        <w:rPr>
          <w:lang w:val="es-ES_tradnl"/>
        </w:rPr>
        <w:t xml:space="preserve"> proyectos de Recomendaciones UIT-R revisadas por correspondencia (§ A2.6.2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 y además decidió aplicar el procedimiento de adopción y aprobación simultáneas por correspondencia (PAAS</w:t>
      </w:r>
      <w:r w:rsidR="00470826">
        <w:rPr>
          <w:lang w:val="es-ES_tradnl"/>
        </w:rPr>
        <w:t xml:space="preserve">, </w:t>
      </w:r>
      <w:r w:rsidRPr="00D00AD1">
        <w:rPr>
          <w:lang w:val="es-ES_tradnl"/>
        </w:rPr>
        <w:t>§ A2.6.2.4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 xml:space="preserve">7). Los títulos y resúmenes de los proyectos de Recomendaciones aparecen en el Anexo a la presente </w:t>
      </w:r>
      <w:r w:rsidR="00D51756" w:rsidRPr="00D00AD1">
        <w:rPr>
          <w:lang w:val="es-ES_tradnl"/>
        </w:rPr>
        <w:t>carta</w:t>
      </w:r>
      <w:r w:rsidRPr="00D00AD1">
        <w:rPr>
          <w:lang w:val="es-ES_tradnl"/>
        </w:rPr>
        <w:t>. Todo Estado Miembro que objete la adopción de un proyecto de Recomendación debe informar al Director y al Presidente de la Comisión de Estudio de los motivos de dicha objeción.</w:t>
      </w:r>
      <w:r w:rsidR="001D522A">
        <w:rPr>
          <w:lang w:val="es-ES_tradnl"/>
        </w:rPr>
        <w:t xml:space="preserve"> </w:t>
      </w:r>
    </w:p>
    <w:p w:rsidR="002E6646" w:rsidRPr="00D00AD1" w:rsidRDefault="00CD1697" w:rsidP="00C948B7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836BFC">
        <w:rPr>
          <w:u w:val="single"/>
          <w:lang w:val="es-ES_tradnl"/>
        </w:rPr>
        <w:t>1</w:t>
      </w:r>
      <w:r w:rsidR="00C948B7">
        <w:rPr>
          <w:u w:val="single"/>
          <w:lang w:val="es-ES_tradnl"/>
        </w:rPr>
        <w:t>8</w:t>
      </w:r>
      <w:r w:rsidR="00836BFC">
        <w:rPr>
          <w:u w:val="single"/>
          <w:lang w:val="es-ES_tradnl"/>
        </w:rPr>
        <w:t xml:space="preserve"> de noviembre de 2019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>Si durante este periodo no se reciben objeciones de los Estados Miembros, se considerará</w:t>
      </w:r>
      <w:r>
        <w:rPr>
          <w:lang w:val="es-ES_tradnl"/>
        </w:rPr>
        <w:t>n</w:t>
      </w:r>
      <w:r w:rsidRPr="00CD1697">
        <w:rPr>
          <w:lang w:val="es-ES_tradnl"/>
        </w:rPr>
        <w:t xml:space="preserve"> </w:t>
      </w:r>
      <w:r>
        <w:rPr>
          <w:lang w:val="es-ES_tradnl"/>
        </w:rPr>
        <w:t>adoptados</w:t>
      </w:r>
      <w:r w:rsidRPr="00CD1697">
        <w:rPr>
          <w:lang w:val="es-ES_tradnl"/>
        </w:rPr>
        <w:t xml:space="preserve"> los proyectos de Recomendación por la Comisión de Estudio </w:t>
      </w:r>
      <w:r w:rsidR="00836BFC">
        <w:rPr>
          <w:lang w:val="es-ES_tradnl"/>
        </w:rPr>
        <w:t>5</w:t>
      </w:r>
      <w:r w:rsidRPr="00CD1697">
        <w:rPr>
          <w:lang w:val="es-ES_tradnl"/>
        </w:rPr>
        <w:t xml:space="preserve">. Además, </w:t>
      </w:r>
      <w:r>
        <w:rPr>
          <w:lang w:val="es-ES_tradnl"/>
        </w:rPr>
        <w:t xml:space="preserve">dado que </w:t>
      </w:r>
      <w:r w:rsidRPr="00CD1697">
        <w:rPr>
          <w:lang w:val="es-ES_tradnl"/>
        </w:rPr>
        <w:t xml:space="preserve">se ha seguido el </w:t>
      </w:r>
      <w:r>
        <w:rPr>
          <w:lang w:val="es-ES_tradnl"/>
        </w:rPr>
        <w:t xml:space="preserve">procedimiento de </w:t>
      </w:r>
      <w:r w:rsidRPr="00CD1697">
        <w:rPr>
          <w:lang w:val="es-ES_tradnl"/>
        </w:rPr>
        <w:t>PAAS, los proyectos de Recomendación también se considerarán aprobados.</w:t>
      </w:r>
    </w:p>
    <w:p w:rsidR="00836BFC" w:rsidRDefault="00836B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2E6646" w:rsidRPr="00D00AD1" w:rsidRDefault="002E6646" w:rsidP="008510BF">
      <w:pPr>
        <w:rPr>
          <w:lang w:val="es-ES_tradnl"/>
        </w:rPr>
      </w:pPr>
      <w:r w:rsidRPr="00D00AD1">
        <w:rPr>
          <w:lang w:val="es-ES_tradnl"/>
        </w:rPr>
        <w:lastRenderedPageBreak/>
        <w:t xml:space="preserve">Tras la fecha límite mencionada, los resultados </w:t>
      </w:r>
      <w:r w:rsidR="00D45A40">
        <w:rPr>
          <w:lang w:val="es-ES_tradnl"/>
        </w:rPr>
        <w:t xml:space="preserve">de </w:t>
      </w:r>
      <w:r w:rsidR="004B6204"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publicarán las </w:t>
      </w:r>
      <w:r w:rsidR="008510BF" w:rsidRPr="00D00AD1">
        <w:rPr>
          <w:lang w:val="es-ES_tradnl"/>
        </w:rPr>
        <w:t>Recomendaci</w:t>
      </w:r>
      <w:r w:rsidR="008510BF">
        <w:rPr>
          <w:lang w:val="es-ES_tradnl"/>
        </w:rPr>
        <w:t>o</w:t>
      </w:r>
      <w:r w:rsidR="008510BF" w:rsidRPr="00D00AD1">
        <w:rPr>
          <w:lang w:val="es-ES_tradnl"/>
        </w:rPr>
        <w:t>nes</w:t>
      </w:r>
      <w:r w:rsidR="008510BF">
        <w:rPr>
          <w:lang w:val="es-ES_tradnl"/>
        </w:rPr>
        <w:t xml:space="preserve"> </w:t>
      </w:r>
      <w:r w:rsidRPr="00D00AD1">
        <w:rPr>
          <w:lang w:val="es-ES_tradnl"/>
        </w:rPr>
        <w:t>aprobadas</w:t>
      </w:r>
      <w:r w:rsidR="008510BF">
        <w:rPr>
          <w:lang w:val="es-ES_tradnl"/>
        </w:rPr>
        <w:t xml:space="preserve"> </w:t>
      </w:r>
      <w:r w:rsidRPr="00D00AD1">
        <w:rPr>
          <w:lang w:val="es-ES_tradnl"/>
        </w:rPr>
        <w:t xml:space="preserve">tan pronto como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http://www.itu.int/pub/R-REC</w:t>
        </w:r>
      </w:hyperlink>
      <w:r w:rsidRPr="00D00AD1">
        <w:rPr>
          <w:lang w:val="es-ES_tradnl"/>
        </w:rPr>
        <w:t>).</w:t>
      </w:r>
    </w:p>
    <w:p w:rsidR="006A124F" w:rsidRDefault="002E6646" w:rsidP="002E6646">
      <w:pPr>
        <w:keepLines/>
        <w:rPr>
          <w:lang w:val="es-ES_tradnl"/>
        </w:rPr>
      </w:pPr>
      <w:r w:rsidRPr="00D00AD1">
        <w:rPr>
          <w:lang w:val="es-ES_tradnl"/>
        </w:rPr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</w:t>
      </w:r>
      <w:r w:rsidR="006A124F">
        <w:rPr>
          <w:lang w:val="es-ES_tradnl"/>
        </w:rPr>
        <w:t xml:space="preserve"> </w:t>
      </w:r>
      <w:hyperlink r:id="rId9" w:history="1">
        <w:r w:rsidR="006A124F" w:rsidRPr="006A124F">
          <w:rPr>
            <w:rStyle w:val="Hyperlink"/>
            <w:lang w:val="es-ES_tradnl"/>
          </w:rPr>
          <w:t>http://www.itu.int/en/ITU-T/ipr/Pages/policy.aspx</w:t>
        </w:r>
      </w:hyperlink>
      <w:r w:rsidR="006A124F">
        <w:rPr>
          <w:lang w:val="es-ES_tradnl"/>
        </w:rPr>
        <w:t>.</w:t>
      </w:r>
    </w:p>
    <w:p w:rsidR="002E6646" w:rsidRPr="0062522E" w:rsidRDefault="00320724" w:rsidP="00836BFC">
      <w:pPr>
        <w:spacing w:before="1800" w:line="240" w:lineRule="auto"/>
        <w:jc w:val="left"/>
        <w:rPr>
          <w:szCs w:val="24"/>
          <w:lang w:val="es-ES_tradnl"/>
        </w:rPr>
      </w:pPr>
      <w:r w:rsidRPr="00486B53">
        <w:rPr>
          <w:szCs w:val="24"/>
          <w:lang w:val="es-ES"/>
        </w:rPr>
        <w:t>Mario Maniewicz</w:t>
      </w:r>
      <w:r w:rsidR="0062522E" w:rsidRPr="0012191D">
        <w:rPr>
          <w:szCs w:val="24"/>
          <w:lang w:val="es-ES_tradnl"/>
        </w:rPr>
        <w:br/>
      </w:r>
      <w:r w:rsidR="002E6646" w:rsidRPr="0062522E">
        <w:rPr>
          <w:szCs w:val="24"/>
          <w:lang w:val="es-ES_tradnl"/>
        </w:rPr>
        <w:t>Director</w:t>
      </w:r>
    </w:p>
    <w:p w:rsidR="002E6646" w:rsidRPr="00D00AD1" w:rsidRDefault="00836BFC" w:rsidP="00D00AD1">
      <w:pPr>
        <w:spacing w:before="1560"/>
        <w:rPr>
          <w:lang w:val="es-ES_tradnl"/>
        </w:rPr>
      </w:pPr>
      <w:r>
        <w:rPr>
          <w:b/>
          <w:bCs/>
          <w:lang w:val="es-ES_tradnl"/>
        </w:rPr>
        <w:t>Anexo</w:t>
      </w:r>
      <w:r w:rsidR="002E6646" w:rsidRPr="00D00AD1">
        <w:rPr>
          <w:b/>
          <w:bCs/>
          <w:lang w:val="es-ES_tradnl"/>
        </w:rPr>
        <w:t>:</w:t>
      </w:r>
      <w:r w:rsidR="002E6646"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="002E6646" w:rsidRPr="00D00AD1">
        <w:rPr>
          <w:lang w:val="es-ES_tradnl"/>
        </w:rPr>
        <w:t>Títulos y res</w:t>
      </w:r>
      <w:r>
        <w:rPr>
          <w:lang w:val="es-ES"/>
        </w:rPr>
        <w:t>ú</w:t>
      </w:r>
      <w:r w:rsidR="002E6646" w:rsidRPr="00D00AD1">
        <w:rPr>
          <w:lang w:val="es-ES_tradnl"/>
        </w:rPr>
        <w:t>menes de los proyectos de Recomendación</w:t>
      </w:r>
    </w:p>
    <w:p w:rsidR="002E6646" w:rsidRPr="00D00AD1" w:rsidRDefault="002E6646" w:rsidP="00836BFC">
      <w:pPr>
        <w:spacing w:before="1080"/>
        <w:rPr>
          <w:lang w:val="es-ES_tradnl"/>
        </w:rPr>
      </w:pPr>
      <w:r w:rsidRPr="00D00AD1">
        <w:rPr>
          <w:b/>
          <w:bCs/>
          <w:lang w:val="es-ES_tradnl"/>
        </w:rPr>
        <w:t>Documento</w:t>
      </w:r>
      <w:r w:rsidR="00836BFC">
        <w:rPr>
          <w:b/>
          <w:bCs/>
          <w:lang w:val="es-ES_tradnl"/>
        </w:rPr>
        <w:t>s</w:t>
      </w:r>
      <w:r w:rsidRPr="00D00AD1">
        <w:rPr>
          <w:b/>
          <w:bCs/>
          <w:lang w:val="es-ES_tradnl"/>
        </w:rPr>
        <w:t>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Documento</w:t>
      </w:r>
      <w:r w:rsidR="00836BFC">
        <w:rPr>
          <w:lang w:val="es-ES_tradnl"/>
        </w:rPr>
        <w:t>s</w:t>
      </w:r>
      <w:r w:rsidRPr="00D00AD1">
        <w:rPr>
          <w:lang w:val="es-ES_tradnl"/>
        </w:rPr>
        <w:t xml:space="preserve"> </w:t>
      </w:r>
      <w:r w:rsidR="00996686">
        <w:fldChar w:fldCharType="begin"/>
      </w:r>
      <w:r w:rsidR="00996686" w:rsidRPr="00996686">
        <w:rPr>
          <w:lang w:val="fr-FR"/>
        </w:rPr>
        <w:instrText xml:space="preserve"> HYPERLINK "https://www.itu.int/md/R15-SG05-C-0143/en" </w:instrText>
      </w:r>
      <w:r w:rsidR="00996686">
        <w:fldChar w:fldCharType="separate"/>
      </w:r>
      <w:r w:rsidR="00836BFC" w:rsidRPr="0033718B">
        <w:rPr>
          <w:rStyle w:val="Hyperlink"/>
          <w:szCs w:val="24"/>
          <w:lang w:val="es-ES"/>
        </w:rPr>
        <w:t>5/143(Rev.1)</w:t>
      </w:r>
      <w:r w:rsidR="00996686">
        <w:rPr>
          <w:rStyle w:val="Hyperlink"/>
          <w:szCs w:val="24"/>
          <w:lang w:val="es-ES"/>
        </w:rPr>
        <w:fldChar w:fldCharType="end"/>
      </w:r>
      <w:r w:rsidR="00836BFC" w:rsidRPr="0033718B">
        <w:rPr>
          <w:szCs w:val="24"/>
          <w:lang w:val="es-ES"/>
        </w:rPr>
        <w:t xml:space="preserve">, </w:t>
      </w:r>
      <w:r w:rsidR="00996686">
        <w:fldChar w:fldCharType="begin"/>
      </w:r>
      <w:r w:rsidR="00996686" w:rsidRPr="00996686">
        <w:rPr>
          <w:lang w:val="fr-FR"/>
        </w:rPr>
        <w:instrText xml:space="preserve"> HYPERLINK "https://www.itu.int/md/R15-SG05-C-0144/en" </w:instrText>
      </w:r>
      <w:r w:rsidR="00996686">
        <w:fldChar w:fldCharType="separate"/>
      </w:r>
      <w:r w:rsidR="00836BFC" w:rsidRPr="0033718B">
        <w:rPr>
          <w:rStyle w:val="Hyperlink"/>
          <w:szCs w:val="24"/>
          <w:lang w:val="es-ES"/>
        </w:rPr>
        <w:t>5/144(Rev.1)</w:t>
      </w:r>
      <w:r w:rsidR="00836BFC" w:rsidRPr="0033718B">
        <w:rPr>
          <w:rStyle w:val="Hyperlink"/>
          <w:color w:val="auto"/>
          <w:szCs w:val="24"/>
          <w:u w:val="none"/>
          <w:lang w:val="es-ES"/>
        </w:rPr>
        <w:t>,</w:t>
      </w:r>
      <w:r w:rsidR="00996686">
        <w:rPr>
          <w:rStyle w:val="Hyperlink"/>
          <w:color w:val="auto"/>
          <w:szCs w:val="24"/>
          <w:u w:val="none"/>
          <w:lang w:val="es-ES"/>
        </w:rPr>
        <w:fldChar w:fldCharType="end"/>
      </w:r>
      <w:r w:rsidR="00836BFC" w:rsidRPr="0033718B">
        <w:rPr>
          <w:szCs w:val="24"/>
          <w:lang w:val="es-ES"/>
        </w:rPr>
        <w:t xml:space="preserve"> </w:t>
      </w:r>
      <w:r w:rsidR="00996686">
        <w:fldChar w:fldCharType="begin"/>
      </w:r>
      <w:r w:rsidR="00996686" w:rsidRPr="00996686">
        <w:rPr>
          <w:lang w:val="fr-FR"/>
        </w:rPr>
        <w:instrText xml:space="preserve"> HYPERLINK "https://www.itu.int/md/R15-SG05-C-0146/en" </w:instrText>
      </w:r>
      <w:r w:rsidR="00996686">
        <w:fldChar w:fldCharType="separate"/>
      </w:r>
      <w:r w:rsidR="00836BFC" w:rsidRPr="0033718B">
        <w:rPr>
          <w:rStyle w:val="Hyperlink"/>
          <w:szCs w:val="24"/>
          <w:lang w:val="es-ES"/>
        </w:rPr>
        <w:t>5/146(Rev.1)</w:t>
      </w:r>
      <w:r w:rsidR="00996686">
        <w:rPr>
          <w:rStyle w:val="Hyperlink"/>
          <w:szCs w:val="24"/>
          <w:lang w:val="es-ES"/>
        </w:rPr>
        <w:fldChar w:fldCharType="end"/>
      </w:r>
    </w:p>
    <w:p w:rsidR="002E6646" w:rsidRPr="00D00AD1" w:rsidRDefault="002E6646" w:rsidP="00836BFC">
      <w:pPr>
        <w:jc w:val="left"/>
        <w:rPr>
          <w:lang w:val="es-ES_tradnl"/>
        </w:rPr>
      </w:pPr>
      <w:r w:rsidRPr="00D00AD1">
        <w:rPr>
          <w:lang w:val="es-ES_tradnl"/>
        </w:rPr>
        <w:t>Dichos documentos están disponibles en formato electrónico en la dirección:</w:t>
      </w:r>
      <w:r w:rsidR="00836BFC">
        <w:rPr>
          <w:lang w:val="es-ES_tradnl"/>
        </w:rPr>
        <w:br/>
      </w:r>
      <w:r w:rsidR="00996686">
        <w:fldChar w:fldCharType="begin"/>
      </w:r>
      <w:r w:rsidR="00996686" w:rsidRPr="00996686">
        <w:rPr>
          <w:lang w:val="fr-FR"/>
        </w:rPr>
        <w:instrText xml:space="preserve"> HYPERLINK "https://www.itu.int/md/R15-SG05-C/en" </w:instrText>
      </w:r>
      <w:r w:rsidR="00996686">
        <w:fldChar w:fldCharType="separate"/>
      </w:r>
      <w:r w:rsidR="00836BFC" w:rsidRPr="00836BFC">
        <w:rPr>
          <w:rStyle w:val="Hyperlink"/>
          <w:szCs w:val="24"/>
          <w:lang w:val="es-ES"/>
        </w:rPr>
        <w:t>https://www.itu.int/md/R15-SG05-C/en</w:t>
      </w:r>
      <w:r w:rsidR="00996686">
        <w:rPr>
          <w:rStyle w:val="Hyperlink"/>
          <w:szCs w:val="24"/>
          <w:lang w:val="es-ES"/>
        </w:rPr>
        <w:fldChar w:fldCharType="end"/>
      </w:r>
    </w:p>
    <w:p w:rsidR="002E6646" w:rsidRPr="00D00AD1" w:rsidRDefault="002E6646" w:rsidP="00836BFC">
      <w:pPr>
        <w:tabs>
          <w:tab w:val="left" w:pos="284"/>
          <w:tab w:val="left" w:pos="568"/>
        </w:tabs>
        <w:spacing w:before="3480" w:after="4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</w:t>
      </w:r>
      <w:r w:rsidR="00421D59">
        <w:rPr>
          <w:sz w:val="18"/>
          <w:szCs w:val="18"/>
          <w:lang w:val="es-ES_tradnl"/>
        </w:rPr>
        <w:t xml:space="preserve">Miembros de la UIT y </w:t>
      </w:r>
      <w:r w:rsidRPr="00D00AD1">
        <w:rPr>
          <w:sz w:val="18"/>
          <w:szCs w:val="18"/>
          <w:lang w:val="es-ES_tradnl"/>
        </w:rPr>
        <w:t xml:space="preserve">Miembros del Sector de Radiocomunicaciones que participan en los trabajos de la Comisión de Estudio </w:t>
      </w:r>
      <w:r w:rsidR="00836BFC">
        <w:rPr>
          <w:sz w:val="18"/>
          <w:szCs w:val="18"/>
          <w:lang w:val="es-ES_tradnl"/>
        </w:rPr>
        <w:t>5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836BFC">
        <w:rPr>
          <w:sz w:val="18"/>
          <w:szCs w:val="18"/>
          <w:lang w:val="es-ES_tradnl"/>
        </w:rPr>
        <w:t>5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Instituciones Académicas de la UIT</w:t>
      </w:r>
    </w:p>
    <w:p w:rsidR="002E6646" w:rsidRPr="00D00AD1" w:rsidRDefault="002E6646" w:rsidP="004B620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51672E" w:rsidRPr="00D00AD1" w:rsidRDefault="002E6646" w:rsidP="009F1A2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="00623AE3">
        <w:rPr>
          <w:sz w:val="18"/>
          <w:szCs w:val="18"/>
          <w:lang w:val="es-ES_tradnl"/>
        </w:rPr>
        <w:br w:type="page"/>
      </w:r>
    </w:p>
    <w:p w:rsidR="002E6646" w:rsidRPr="00246179" w:rsidRDefault="002E6646" w:rsidP="007D5338">
      <w:pPr>
        <w:pStyle w:val="AnnexNotitle0"/>
        <w:rPr>
          <w:rFonts w:asciiTheme="minorHAnsi" w:hAnsiTheme="minorHAnsi"/>
        </w:rPr>
      </w:pPr>
      <w:r w:rsidRPr="00246179">
        <w:rPr>
          <w:rFonts w:asciiTheme="minorHAnsi" w:hAnsiTheme="minorHAnsi"/>
        </w:rPr>
        <w:lastRenderedPageBreak/>
        <w:t>Anexo</w:t>
      </w:r>
      <w:r w:rsidR="00623AE3" w:rsidRPr="00246179">
        <w:rPr>
          <w:rFonts w:asciiTheme="minorHAnsi" w:hAnsiTheme="minorHAnsi"/>
        </w:rPr>
        <w:br/>
      </w:r>
      <w:r w:rsidR="00623AE3" w:rsidRPr="00246179">
        <w:rPr>
          <w:rFonts w:asciiTheme="minorHAnsi" w:hAnsiTheme="minorHAnsi"/>
        </w:rPr>
        <w:br/>
      </w:r>
      <w:r w:rsidR="001E212A" w:rsidRPr="00246179">
        <w:rPr>
          <w:rFonts w:asciiTheme="minorHAnsi" w:hAnsiTheme="minorHAnsi"/>
        </w:rPr>
        <w:t>Títulos y res</w:t>
      </w:r>
      <w:r w:rsidR="007A4860">
        <w:rPr>
          <w:rFonts w:asciiTheme="minorHAnsi" w:hAnsiTheme="minorHAnsi"/>
        </w:rPr>
        <w:t>ú</w:t>
      </w:r>
      <w:r w:rsidRPr="00246179">
        <w:rPr>
          <w:rFonts w:asciiTheme="minorHAnsi" w:hAnsiTheme="minorHAnsi"/>
        </w:rPr>
        <w:t>menes de los proyectos de Recomendación</w:t>
      </w:r>
    </w:p>
    <w:p w:rsidR="0033718B" w:rsidRPr="00B3767A" w:rsidRDefault="0033718B" w:rsidP="0033718B">
      <w:pPr>
        <w:tabs>
          <w:tab w:val="right" w:pos="9639"/>
        </w:tabs>
        <w:spacing w:before="360" w:line="240" w:lineRule="auto"/>
        <w:rPr>
          <w:lang w:val="es-ES_tradnl"/>
        </w:rPr>
      </w:pPr>
      <w:r w:rsidRPr="002873F9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 F.636-4</w:t>
      </w:r>
      <w:r w:rsidRPr="002873F9">
        <w:rPr>
          <w:rFonts w:asciiTheme="minorHAnsi" w:hAnsiTheme="minorHAnsi" w:cstheme="minorHAnsi"/>
          <w:szCs w:val="24"/>
          <w:lang w:val="es-ES"/>
        </w:rPr>
        <w:tab/>
        <w:t>Doc. 5/143 (Rev.1)</w:t>
      </w:r>
    </w:p>
    <w:p w:rsidR="0033718B" w:rsidRPr="00B3767A" w:rsidRDefault="0033718B" w:rsidP="0033718B">
      <w:pPr>
        <w:pStyle w:val="Rectitle"/>
        <w:rPr>
          <w:szCs w:val="28"/>
          <w:lang w:val="es-ES_tradnl"/>
        </w:rPr>
      </w:pPr>
      <w:r w:rsidRPr="00B3767A">
        <w:rPr>
          <w:szCs w:val="28"/>
          <w:lang w:val="es-ES_tradnl"/>
        </w:rPr>
        <w:t xml:space="preserve">Disposición de radiocanales para sistemas inalámbricos fijos </w:t>
      </w:r>
      <w:r w:rsidRPr="00B3767A">
        <w:rPr>
          <w:szCs w:val="28"/>
          <w:lang w:val="es-ES_tradnl"/>
        </w:rPr>
        <w:br/>
        <w:t>que funcionan en la banda 14,4-15,35 GHz</w:t>
      </w:r>
    </w:p>
    <w:p w:rsidR="0033718B" w:rsidRPr="00B3767A" w:rsidRDefault="0033718B" w:rsidP="008510BF">
      <w:pPr>
        <w:rPr>
          <w:lang w:val="es-ES_tradnl"/>
        </w:rPr>
      </w:pPr>
      <w:r w:rsidRPr="00B3767A">
        <w:rPr>
          <w:lang w:val="es-ES_tradnl"/>
        </w:rPr>
        <w:t xml:space="preserve">En esta revisión se añade el ancho de canal adicional de 112 MHz a la serie de anchos de canal existente de 14 MHz, 28 MHz y 56 MHz en </w:t>
      </w:r>
      <w:proofErr w:type="spellStart"/>
      <w:r w:rsidRPr="00B3767A">
        <w:rPr>
          <w:lang w:val="es-ES_tradnl"/>
        </w:rPr>
        <w:t>el</w:t>
      </w:r>
      <w:proofErr w:type="spellEnd"/>
      <w:r w:rsidRPr="00B3767A">
        <w:rPr>
          <w:lang w:val="es-ES_tradnl"/>
        </w:rPr>
        <w:t xml:space="preserve"> </w:t>
      </w:r>
      <w:r w:rsidRPr="00B3767A">
        <w:rPr>
          <w:i/>
          <w:iCs/>
          <w:lang w:val="es-ES_tradnl"/>
        </w:rPr>
        <w:t xml:space="preserve">recomienda </w:t>
      </w:r>
      <w:r w:rsidRPr="00B3767A">
        <w:rPr>
          <w:lang w:val="es-ES_tradnl"/>
        </w:rPr>
        <w:t>para la banda de 15 GHz. Se ha modificado convenientemente el alcance.</w:t>
      </w:r>
    </w:p>
    <w:p w:rsidR="0033718B" w:rsidRPr="002873F9" w:rsidRDefault="0033718B" w:rsidP="0033718B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es-ES"/>
        </w:rPr>
      </w:pPr>
      <w:r w:rsidRPr="002873F9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 F.387-12</w:t>
      </w:r>
      <w:r w:rsidRPr="002873F9">
        <w:rPr>
          <w:rFonts w:asciiTheme="minorHAnsi" w:hAnsiTheme="minorHAnsi" w:cstheme="minorHAnsi"/>
          <w:szCs w:val="24"/>
          <w:lang w:val="es-ES"/>
        </w:rPr>
        <w:tab/>
        <w:t>Doc. 5/144 (Rev.1)</w:t>
      </w:r>
    </w:p>
    <w:p w:rsidR="0033718B" w:rsidRPr="002873F9" w:rsidRDefault="0033718B" w:rsidP="0033718B">
      <w:pPr>
        <w:pStyle w:val="Rectitle"/>
        <w:rPr>
          <w:lang w:val="es-ES"/>
        </w:rPr>
      </w:pPr>
      <w:r w:rsidRPr="00684801">
        <w:rPr>
          <w:lang w:val="es-ES"/>
        </w:rPr>
        <w:t>Disposiciones de radiocanales para sistemas inalámbricos fijos</w:t>
      </w:r>
      <w:r w:rsidRPr="00684801">
        <w:rPr>
          <w:lang w:val="es-ES"/>
        </w:rPr>
        <w:br/>
        <w:t>que funcionan en la banda 10,7-11,7 GHz</w:t>
      </w:r>
    </w:p>
    <w:p w:rsidR="0033718B" w:rsidRPr="00B3767A" w:rsidRDefault="0033718B" w:rsidP="008510BF">
      <w:pPr>
        <w:rPr>
          <w:lang w:val="es-ES_tradnl"/>
        </w:rPr>
      </w:pPr>
      <w:r w:rsidRPr="00B3767A">
        <w:rPr>
          <w:lang w:val="es-ES_tradnl"/>
        </w:rPr>
        <w:t xml:space="preserve">En esta revisión se añaden los anchos de canal adicionales de 56 MHz y 112 MHz a la serie de anchos de canal existente de 7 MHz, 14 MHz y 28 MHz en el Anexo 4 para la banda de 11 GHz. </w:t>
      </w:r>
    </w:p>
    <w:p w:rsidR="0033718B" w:rsidRPr="00B3767A" w:rsidRDefault="0033718B" w:rsidP="008510BF">
      <w:pPr>
        <w:rPr>
          <w:lang w:val="es-ES_tradnl"/>
        </w:rPr>
      </w:pPr>
      <w:r w:rsidRPr="00B3767A">
        <w:rPr>
          <w:lang w:val="es-ES_tradnl"/>
        </w:rPr>
        <w:t>Además, en un nuevo Anexo 5 se añaden los anchos de canal adicion</w:t>
      </w:r>
      <w:r w:rsidR="008510BF">
        <w:rPr>
          <w:lang w:val="es-ES_tradnl"/>
        </w:rPr>
        <w:t>ales de 80, 60, 40, 30, 20 y 10 </w:t>
      </w:r>
      <w:r w:rsidRPr="00B3767A">
        <w:rPr>
          <w:lang w:val="es-ES_tradnl"/>
        </w:rPr>
        <w:t>MHz.</w:t>
      </w:r>
    </w:p>
    <w:p w:rsidR="0033718B" w:rsidRPr="002873F9" w:rsidRDefault="0033718B" w:rsidP="0033718B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u w:val="single"/>
          <w:lang w:val="es-ES"/>
        </w:rPr>
      </w:pPr>
      <w:r w:rsidRPr="002873F9">
        <w:rPr>
          <w:rFonts w:asciiTheme="minorHAnsi" w:hAnsiTheme="minorHAnsi" w:cstheme="minorHAnsi"/>
          <w:szCs w:val="24"/>
          <w:u w:val="single"/>
          <w:lang w:val="es-ES"/>
        </w:rPr>
        <w:t>Proyecto de revisión de la Recomendación UIT-R F.1565</w:t>
      </w:r>
      <w:r w:rsidR="00346E37">
        <w:rPr>
          <w:rFonts w:asciiTheme="minorHAnsi" w:hAnsiTheme="minorHAnsi" w:cstheme="minorHAnsi"/>
          <w:szCs w:val="24"/>
          <w:u w:val="single"/>
          <w:lang w:val="es-ES"/>
        </w:rPr>
        <w:t>-0</w:t>
      </w:r>
      <w:r w:rsidRPr="002873F9">
        <w:rPr>
          <w:rFonts w:asciiTheme="minorHAnsi" w:hAnsiTheme="minorHAnsi" w:cstheme="minorHAnsi"/>
          <w:szCs w:val="24"/>
          <w:lang w:val="es-ES"/>
        </w:rPr>
        <w:tab/>
        <w:t>Doc. 5/146 (Rev.1)</w:t>
      </w:r>
    </w:p>
    <w:p w:rsidR="0033718B" w:rsidRPr="00B3767A" w:rsidRDefault="0033718B" w:rsidP="00664DC4">
      <w:pPr>
        <w:pStyle w:val="Rectitle"/>
        <w:rPr>
          <w:lang w:val="es-ES"/>
        </w:rPr>
      </w:pPr>
      <w:bookmarkStart w:id="1" w:name="Pre_title"/>
      <w:r w:rsidRPr="00B3767A">
        <w:rPr>
          <w:lang w:val="es-ES"/>
        </w:rPr>
        <w:t>Degradación de la calidad de funcionamiento de</w:t>
      </w:r>
      <w:r w:rsidR="00346E37">
        <w:rPr>
          <w:lang w:val="es-ES"/>
        </w:rPr>
        <w:t>bida a la interferencia causada</w:t>
      </w:r>
      <w:r w:rsidR="00843F13">
        <w:rPr>
          <w:lang w:val="es-ES"/>
        </w:rPr>
        <w:t xml:space="preserve"> </w:t>
      </w:r>
      <w:r w:rsidRPr="00B3767A">
        <w:rPr>
          <w:lang w:val="es-ES"/>
        </w:rPr>
        <w:t>por otros servicios que comparten las mismas bandas de frecuencias</w:t>
      </w:r>
      <w:r w:rsidR="00346E37">
        <w:rPr>
          <w:lang w:val="es-ES"/>
        </w:rPr>
        <w:t xml:space="preserve"> </w:t>
      </w:r>
      <w:r w:rsidR="00664DC4">
        <w:rPr>
          <w:lang w:val="es-ES"/>
        </w:rPr>
        <w:t xml:space="preserve">a </w:t>
      </w:r>
      <w:r w:rsidR="00664DC4" w:rsidRPr="00664DC4">
        <w:rPr>
          <w:lang w:val="es-ES"/>
        </w:rPr>
        <w:t xml:space="preserve">título </w:t>
      </w:r>
      <w:proofErr w:type="spellStart"/>
      <w:r w:rsidR="00664DC4" w:rsidRPr="00664DC4">
        <w:rPr>
          <w:lang w:val="es-ES"/>
        </w:rPr>
        <w:t>coprimario</w:t>
      </w:r>
      <w:proofErr w:type="spellEnd"/>
      <w:r w:rsidR="00664DC4">
        <w:rPr>
          <w:lang w:val="es-ES"/>
        </w:rPr>
        <w:t xml:space="preserve"> </w:t>
      </w:r>
      <w:r w:rsidRPr="00B3767A">
        <w:rPr>
          <w:lang w:val="es-ES"/>
        </w:rPr>
        <w:t>con sistemas inalámbricos fijos digitales reales utilizados en los tramos internacional</w:t>
      </w:r>
      <w:r w:rsidR="00BC3B14">
        <w:rPr>
          <w:lang w:val="es-ES"/>
        </w:rPr>
        <w:t xml:space="preserve"> </w:t>
      </w:r>
      <w:r w:rsidRPr="00B3767A">
        <w:rPr>
          <w:lang w:val="es-ES"/>
        </w:rPr>
        <w:t>y nacional de un trayecto ficticio de referencia de 27 500 km</w:t>
      </w:r>
      <w:r w:rsidR="00843F13">
        <w:rPr>
          <w:lang w:val="es-ES"/>
        </w:rPr>
        <w:br/>
      </w:r>
      <w:r w:rsidRPr="00B3767A">
        <w:rPr>
          <w:lang w:val="es-ES"/>
        </w:rPr>
        <w:t xml:space="preserve">a velocidad primaria o superior </w:t>
      </w:r>
      <w:bookmarkEnd w:id="1"/>
    </w:p>
    <w:p w:rsidR="0033718B" w:rsidRDefault="0033718B" w:rsidP="008510BF">
      <w:pPr>
        <w:rPr>
          <w:lang w:val="es-ES_tradnl"/>
        </w:rPr>
      </w:pPr>
      <w:r w:rsidRPr="00B3767A">
        <w:rPr>
          <w:lang w:val="es-ES_tradnl"/>
        </w:rPr>
        <w:t xml:space="preserve">Con esta revisión se quiere ampliar la aplicabilidad de la Recomendación mediante la adición de otras fuentes de interferencia no </w:t>
      </w:r>
      <w:proofErr w:type="spellStart"/>
      <w:r w:rsidRPr="00B3767A">
        <w:rPr>
          <w:lang w:val="es-ES_tradnl"/>
        </w:rPr>
        <w:t>coprimarias</w:t>
      </w:r>
      <w:proofErr w:type="spellEnd"/>
      <w:r w:rsidRPr="00B3767A">
        <w:rPr>
          <w:lang w:val="es-ES_tradnl"/>
        </w:rPr>
        <w:t>. Se ha modificado convenientemente el alcance.</w:t>
      </w:r>
    </w:p>
    <w:p w:rsidR="0033718B" w:rsidRDefault="0033718B" w:rsidP="008510BF"/>
    <w:p w:rsidR="0033718B" w:rsidRDefault="0033718B" w:rsidP="0033718B">
      <w:pPr>
        <w:jc w:val="center"/>
      </w:pPr>
      <w:r>
        <w:t>______________</w:t>
      </w:r>
    </w:p>
    <w:sectPr w:rsidR="0033718B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4F" w:rsidRPr="0056695E" w:rsidRDefault="0046524F" w:rsidP="00BC3B14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56695E">
      <w:rPr>
        <w:sz w:val="18"/>
        <w:szCs w:val="18"/>
        <w:lang w:val="es-ES_tradnl"/>
      </w:rPr>
      <w:t>Nations</w:t>
    </w:r>
    <w:proofErr w:type="spellEnd"/>
    <w:r w:rsidRPr="0056695E">
      <w:rPr>
        <w:sz w:val="18"/>
        <w:szCs w:val="18"/>
        <w:lang w:val="es-ES_tradnl"/>
      </w:rPr>
      <w:t xml:space="preserve">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>Tel</w:t>
    </w:r>
    <w:r w:rsidR="00FD2A32">
      <w:rPr>
        <w:sz w:val="18"/>
        <w:szCs w:val="18"/>
        <w:lang w:val="es-ES_tradnl"/>
      </w:rPr>
      <w:t>.</w:t>
    </w:r>
    <w:r w:rsidRPr="0056695E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="00BC3B14" w:rsidRPr="00BC3B14">
        <w:rPr>
          <w:rStyle w:val="Hyperlink"/>
          <w:sz w:val="18"/>
          <w:szCs w:val="18"/>
          <w:lang w:val="es-ES"/>
        </w:rPr>
        <w:t>itumail@itu.int</w:t>
      </w:r>
    </w:hyperlink>
    <w:r w:rsidR="00BC3B14" w:rsidRPr="00BC3B14">
      <w:rPr>
        <w:rStyle w:val="Hyperlink"/>
        <w:sz w:val="18"/>
        <w:szCs w:val="18"/>
        <w:lang w:val="es-ES"/>
      </w:rPr>
      <w:t xml:space="preserve"> </w:t>
    </w:r>
    <w:r w:rsidRPr="0056695E">
      <w:rPr>
        <w:sz w:val="18"/>
        <w:szCs w:val="18"/>
        <w:lang w:val="es-ES_tradnl"/>
      </w:rPr>
      <w:t xml:space="preserve">• </w:t>
    </w:r>
    <w:hyperlink r:id="rId2" w:history="1">
      <w:r w:rsidRPr="0056695E">
        <w:rPr>
          <w:rStyle w:val="Hyperlink"/>
          <w:sz w:val="18"/>
          <w:szCs w:val="18"/>
          <w:lang w:val="es-ES_tradnl"/>
        </w:rPr>
        <w:t>www.itu.int</w:t>
      </w:r>
    </w:hyperlink>
    <w:r w:rsidRPr="0056695E">
      <w:rPr>
        <w:sz w:val="18"/>
        <w:szCs w:val="18"/>
        <w:lang w:val="es-ES_tradnl"/>
      </w:rPr>
      <w:t xml:space="preserve"> </w:t>
    </w:r>
    <w:r w:rsidR="00FD2A32" w:rsidRPr="00320724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7" w:rsidRPr="00D239B4" w:rsidRDefault="00CD1697" w:rsidP="0024617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996686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996686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9B2ED0" w:rsidTr="00465D25">
      <w:tc>
        <w:tcPr>
          <w:tcW w:w="4800" w:type="dxa"/>
          <w:noWrap/>
          <w:tcMar>
            <w:left w:w="0" w:type="dxa"/>
          </w:tcMar>
        </w:tcPr>
        <w:p w:rsidR="009B2ED0" w:rsidRDefault="009B2ED0" w:rsidP="009B2ED0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4D3D7343" wp14:editId="497BB45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9B2ED0" w:rsidRDefault="009B2ED0" w:rsidP="009B2ED0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29C1859B" wp14:editId="002F60A8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2ED0" w:rsidRPr="00D02EFB" w:rsidRDefault="009B2ED0" w:rsidP="009B2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273C1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46179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0724"/>
    <w:rsid w:val="003266ED"/>
    <w:rsid w:val="00326C68"/>
    <w:rsid w:val="0033029C"/>
    <w:rsid w:val="003370B8"/>
    <w:rsid w:val="0033718B"/>
    <w:rsid w:val="003428EF"/>
    <w:rsid w:val="00345D38"/>
    <w:rsid w:val="00346E37"/>
    <w:rsid w:val="00352097"/>
    <w:rsid w:val="00361AFC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D59"/>
    <w:rsid w:val="004326DB"/>
    <w:rsid w:val="0043682E"/>
    <w:rsid w:val="00441EBD"/>
    <w:rsid w:val="00447ECB"/>
    <w:rsid w:val="00453CB9"/>
    <w:rsid w:val="004623F7"/>
    <w:rsid w:val="0046524F"/>
    <w:rsid w:val="00470826"/>
    <w:rsid w:val="00480F51"/>
    <w:rsid w:val="00481124"/>
    <w:rsid w:val="004815EB"/>
    <w:rsid w:val="00486B53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64DC4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A4860"/>
    <w:rsid w:val="007B3DB1"/>
    <w:rsid w:val="007D183E"/>
    <w:rsid w:val="007D43D0"/>
    <w:rsid w:val="007D5338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6BFC"/>
    <w:rsid w:val="00843F13"/>
    <w:rsid w:val="008510BF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63D9D"/>
    <w:rsid w:val="0098013E"/>
    <w:rsid w:val="00981B54"/>
    <w:rsid w:val="009842C3"/>
    <w:rsid w:val="00996686"/>
    <w:rsid w:val="009A009A"/>
    <w:rsid w:val="009A6BB6"/>
    <w:rsid w:val="009B2ED0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1A2F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642D"/>
    <w:rsid w:val="00B579B0"/>
    <w:rsid w:val="00B57D11"/>
    <w:rsid w:val="00B649D7"/>
    <w:rsid w:val="00B81C2F"/>
    <w:rsid w:val="00B90743"/>
    <w:rsid w:val="00B90C45"/>
    <w:rsid w:val="00B933BE"/>
    <w:rsid w:val="00BC3B14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48B7"/>
    <w:rsid w:val="00C96C71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5A40"/>
    <w:rsid w:val="00D47672"/>
    <w:rsid w:val="00D5123C"/>
    <w:rsid w:val="00D51756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E66A5"/>
    <w:rsid w:val="00DF2B50"/>
    <w:rsid w:val="00DF4DE1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2A32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F283-7BD9-4A6E-950D-0B7FDF0F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20</TotalTime>
  <Pages>3</Pages>
  <Words>749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14</cp:revision>
  <cp:lastPrinted>2016-03-14T10:50:00Z</cp:lastPrinted>
  <dcterms:created xsi:type="dcterms:W3CDTF">2019-09-10T14:19:00Z</dcterms:created>
  <dcterms:modified xsi:type="dcterms:W3CDTF">2019-09-18T14:10:00Z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