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1A302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1A3028">
              <w:rPr>
                <w:b/>
                <w:bCs/>
                <w:szCs w:val="24"/>
                <w:lang w:val="fr-CH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1F6F70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29</w:t>
            </w:r>
            <w:r w:rsidR="00816A47">
              <w:rPr>
                <w:bCs/>
                <w:szCs w:val="24"/>
              </w:rPr>
              <w:t xml:space="preserve"> de agosto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6176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816A4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</w:t>
            </w:r>
            <w:r w:rsidR="002B4823">
              <w:rPr>
                <w:b/>
                <w:lang w:val="es-ES"/>
              </w:rPr>
              <w:br/>
            </w:r>
            <w:r w:rsidRPr="00456F71">
              <w:rPr>
                <w:b/>
                <w:lang w:val="es-ES"/>
              </w:rPr>
              <w:t xml:space="preserve">Comisión de Estudio </w:t>
            </w:r>
            <w:r w:rsidR="00816A47">
              <w:rPr>
                <w:b/>
                <w:lang w:val="es-ES"/>
              </w:rPr>
              <w:t>3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C6176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6176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6176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B4823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2B4823">
              <w:rPr>
                <w:szCs w:val="24"/>
                <w:lang w:val="es-ES"/>
              </w:rPr>
              <w:t>Asunto</w:t>
            </w:r>
            <w:r w:rsidR="00A96D3A" w:rsidRPr="002B4823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816A47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816A47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816A47" w:rsidRPr="000122CA">
              <w:rPr>
                <w:b/>
                <w:lang w:val="es-ES_tradnl"/>
              </w:rPr>
              <w:t>Propagación de las ondas radioeléctricas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E53DCE" w:rsidRPr="00C1082E" w:rsidRDefault="00C1082E" w:rsidP="00816A47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816A47">
              <w:rPr>
                <w:b/>
                <w:bCs/>
                <w:lang w:val="es-ES"/>
              </w:rPr>
              <w:t>22 Recomendacio</w:t>
            </w:r>
            <w:r w:rsidRPr="00C1082E">
              <w:rPr>
                <w:b/>
                <w:bCs/>
                <w:lang w:val="es-ES"/>
              </w:rPr>
              <w:t>nes</w:t>
            </w:r>
            <w:r w:rsidR="00816A47">
              <w:rPr>
                <w:b/>
                <w:bCs/>
                <w:lang w:val="es-ES"/>
              </w:rPr>
              <w:t xml:space="preserve"> UIT-R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C6176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6176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6176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816A47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816A47">
        <w:rPr>
          <w:lang w:val="es-ES"/>
        </w:rPr>
        <w:t>905</w:t>
      </w:r>
      <w:r w:rsidRPr="00456F71">
        <w:rPr>
          <w:lang w:val="es-ES"/>
        </w:rPr>
        <w:t xml:space="preserve"> de </w:t>
      </w:r>
      <w:r w:rsidR="00816A47">
        <w:rPr>
          <w:lang w:val="es-ES"/>
        </w:rPr>
        <w:t>25 de junio de 2019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816A47">
        <w:rPr>
          <w:lang w:val="es-ES"/>
        </w:rPr>
        <w:t>22 proyecto</w:t>
      </w:r>
      <w:r w:rsidRPr="00456F71">
        <w:rPr>
          <w:lang w:val="es-ES"/>
        </w:rPr>
        <w:t>s de Recomendaci</w:t>
      </w:r>
      <w:r w:rsidR="00816A47">
        <w:rPr>
          <w:lang w:val="es-ES"/>
        </w:rPr>
        <w:t>ones</w:t>
      </w:r>
      <w:r w:rsidRPr="00456F71">
        <w:rPr>
          <w:lang w:val="es-ES"/>
        </w:rPr>
        <w:t xml:space="preserve">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</w:t>
      </w:r>
      <w:r w:rsidR="00816A47">
        <w:rPr>
          <w:lang w:val="es-ES"/>
        </w:rPr>
        <w:t>s</w:t>
      </w:r>
      <w:r w:rsidRPr="00456F71">
        <w:rPr>
          <w:lang w:val="es-ES"/>
        </w:rPr>
        <w:t xml:space="preserve">. </w:t>
      </w:r>
    </w:p>
    <w:p w:rsidR="00C1082E" w:rsidRPr="00456F71" w:rsidRDefault="00C1082E" w:rsidP="00816A47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816A47">
        <w:rPr>
          <w:lang w:val="es-ES"/>
        </w:rPr>
        <w:t>25 de agosto de 2019</w:t>
      </w:r>
      <w:r w:rsidRPr="00456F71">
        <w:rPr>
          <w:lang w:val="es-ES"/>
        </w:rPr>
        <w:t xml:space="preserve">. </w:t>
      </w:r>
    </w:p>
    <w:p w:rsidR="00C1082E" w:rsidRPr="00456F71" w:rsidRDefault="00C1082E" w:rsidP="00816A47">
      <w:pPr>
        <w:rPr>
          <w:lang w:val="es-ES"/>
        </w:rPr>
      </w:pPr>
      <w:r w:rsidRPr="00456F71">
        <w:rPr>
          <w:lang w:val="es-ES"/>
        </w:rPr>
        <w:t>Las</w:t>
      </w:r>
      <w:r w:rsidR="00816A47">
        <w:rPr>
          <w:lang w:val="es-ES"/>
        </w:rPr>
        <w:t xml:space="preserve"> Recomendacio</w:t>
      </w:r>
      <w:r w:rsidRPr="00456F71">
        <w:rPr>
          <w:lang w:val="es-ES"/>
        </w:rPr>
        <w:t>nes aprobadas serán</w:t>
      </w:r>
      <w:r w:rsidR="00816A47">
        <w:rPr>
          <w:lang w:val="es-ES"/>
        </w:rPr>
        <w:t xml:space="preserve"> publicada</w:t>
      </w:r>
      <w:r w:rsidRPr="00456F71">
        <w:rPr>
          <w:lang w:val="es-ES"/>
        </w:rPr>
        <w:t xml:space="preserve">s por la UIT, y en el Anexo a la presente Circular figuran sus títulos,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 asignados. </w:t>
      </w:r>
    </w:p>
    <w:p w:rsidR="00C1082E" w:rsidRPr="00456F71" w:rsidRDefault="00B555E4" w:rsidP="00816A47">
      <w:pPr>
        <w:tabs>
          <w:tab w:val="left" w:pos="4820"/>
        </w:tabs>
        <w:spacing w:before="1320"/>
        <w:rPr>
          <w:bCs/>
          <w:lang w:val="es-ES"/>
        </w:rPr>
      </w:pPr>
      <w:r w:rsidRPr="00816A47">
        <w:rPr>
          <w:szCs w:val="24"/>
          <w:lang w:val="es-ES"/>
        </w:rPr>
        <w:t>Mario Maniewicz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816A47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816A47">
        <w:rPr>
          <w:bCs/>
          <w:lang w:val="es-ES"/>
        </w:rPr>
        <w:t xml:space="preserve"> 1</w:t>
      </w:r>
    </w:p>
    <w:p w:rsidR="00C1082E" w:rsidRPr="00456F71" w:rsidRDefault="00C1082E" w:rsidP="00816A47">
      <w:pPr>
        <w:tabs>
          <w:tab w:val="left" w:pos="6237"/>
        </w:tabs>
        <w:spacing w:before="48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816A47">
      <w:pPr>
        <w:tabs>
          <w:tab w:val="left" w:pos="6237"/>
        </w:tabs>
        <w:snapToGrid w:val="0"/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816A47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816A47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816A47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816A47" w:rsidP="00816A47">
      <w:pPr>
        <w:pStyle w:val="AnnexNotitle0"/>
        <w:rPr>
          <w:rFonts w:asciiTheme="minorHAnsi" w:hAnsiTheme="minorHAnsi"/>
          <w:lang w:val="es-ES"/>
          <w:rPrChange w:id="0" w:author="I T U" w:date="2016-08-22T14:58:00Z">
            <w:rPr>
              <w:lang w:val="es-ES"/>
            </w:rPr>
          </w:rPrChange>
        </w:rPr>
      </w:pPr>
      <w:r>
        <w:rPr>
          <w:rFonts w:asciiTheme="minorHAnsi" w:hAnsiTheme="minorHAnsi"/>
          <w:lang w:val="es-ES"/>
        </w:rPr>
        <w:lastRenderedPageBreak/>
        <w:t>Anexo</w:t>
      </w:r>
      <w:r w:rsidR="00C1082E" w:rsidRPr="003B07BE"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  <w:br/>
      </w:r>
      <w:r w:rsidR="00C1082E"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br/>
        <w:t>Títulos de las Recomendaci</w:t>
      </w:r>
      <w:r>
        <w:rPr>
          <w:rFonts w:asciiTheme="minorHAnsi" w:hAnsiTheme="minorHAnsi"/>
          <w:lang w:val="es-ES"/>
        </w:rPr>
        <w:t>on</w:t>
      </w:r>
      <w:r w:rsidR="00C1082E"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t>es</w:t>
      </w:r>
      <w:r>
        <w:rPr>
          <w:rFonts w:asciiTheme="minorHAnsi" w:hAnsiTheme="minorHAnsi"/>
          <w:lang w:val="es-ES"/>
        </w:rPr>
        <w:t xml:space="preserve"> UIT-R </w:t>
      </w:r>
      <w:r w:rsidR="00C1082E"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t>aprobadas</w:t>
      </w:r>
    </w:p>
    <w:p w:rsidR="00816A47" w:rsidRPr="000122CA" w:rsidRDefault="00816A47" w:rsidP="00D075E9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P.1057-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6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3/105(Rev.1)</w:t>
      </w:r>
    </w:p>
    <w:p w:rsidR="00816A47" w:rsidRPr="000122CA" w:rsidRDefault="00816A47" w:rsidP="00816A47">
      <w:pPr>
        <w:pStyle w:val="Rectitle"/>
        <w:rPr>
          <w:lang w:val="es-ES_tradnl"/>
        </w:rPr>
      </w:pPr>
      <w:r w:rsidRPr="000122CA">
        <w:rPr>
          <w:lang w:val="es-ES_tradnl" w:eastAsia="zh-CN"/>
        </w:rPr>
        <w:t xml:space="preserve">Distribuciones de probabilidad para establecer modelos de propagación </w:t>
      </w:r>
      <w:r w:rsidRPr="000122CA">
        <w:rPr>
          <w:lang w:val="es-ES_tradnl" w:eastAsia="zh-CN"/>
        </w:rPr>
        <w:br/>
        <w:t>de las ondas radioeléctricas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</w:t>
      </w:r>
      <w:r w:rsidRPr="000122CA">
        <w:rPr>
          <w:szCs w:val="24"/>
          <w:u w:val="single"/>
          <w:lang w:val="es-ES_tradnl" w:eastAsia="zh-CN"/>
        </w:rPr>
        <w:t>.841-</w:t>
      </w:r>
      <w:r w:rsidR="00D075E9">
        <w:rPr>
          <w:szCs w:val="24"/>
          <w:u w:val="single"/>
          <w:lang w:val="es-ES_tradnl" w:eastAsia="zh-CN"/>
        </w:rPr>
        <w:t>6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3/106(Rev.1)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Conversión de las estadísticas anuales en estadísticas del mes más desfavorable</w:t>
      </w:r>
    </w:p>
    <w:p w:rsidR="00816A47" w:rsidRPr="000122CA" w:rsidRDefault="00816A47" w:rsidP="00D075E9">
      <w:pPr>
        <w:tabs>
          <w:tab w:val="clear" w:pos="794"/>
          <w:tab w:val="left" w:pos="1134"/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</w:t>
      </w:r>
      <w:r w:rsidRPr="000122CA">
        <w:rPr>
          <w:szCs w:val="24"/>
          <w:u w:val="single"/>
          <w:lang w:val="es-ES_tradnl"/>
        </w:rPr>
        <w:t>1407-</w:t>
      </w:r>
      <w:r w:rsidR="00D075E9">
        <w:rPr>
          <w:szCs w:val="24"/>
          <w:u w:val="single"/>
          <w:lang w:val="es-ES_tradnl"/>
        </w:rPr>
        <w:t>7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3/107(Rev.1)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Propagación por trayectos múltiples y parametrización de sus características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P.676-1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3/117(Rev.1)</w:t>
      </w:r>
    </w:p>
    <w:p w:rsidR="00816A47" w:rsidRPr="000122CA" w:rsidRDefault="00467464" w:rsidP="00816A47">
      <w:pPr>
        <w:pStyle w:val="Restitle"/>
        <w:rPr>
          <w:lang w:val="es-ES_tradnl"/>
        </w:rPr>
      </w:pPr>
      <w:r w:rsidRPr="009D6BE7">
        <w:rPr>
          <w:lang w:val="es-ES_tradnl"/>
        </w:rPr>
        <w:t xml:space="preserve">Atenuación debida a los </w:t>
      </w:r>
      <w:r w:rsidRPr="003A2E6D">
        <w:rPr>
          <w:lang w:val="es-ES_tradnl"/>
        </w:rPr>
        <w:t>gases atmosféricos</w:t>
      </w:r>
      <w:r w:rsidRPr="003A2E6D">
        <w:rPr>
          <w:bCs/>
          <w:szCs w:val="28"/>
          <w:lang w:val="es-ES_tradnl"/>
        </w:rPr>
        <w:t xml:space="preserve"> y </w:t>
      </w:r>
      <w:r w:rsidRPr="003A2E6D">
        <w:rPr>
          <w:bCs/>
          <w:lang w:val="es-ES_tradnl"/>
        </w:rPr>
        <w:t>efectos conexos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</w:t>
      </w:r>
      <w:r w:rsidRPr="000122CA">
        <w:rPr>
          <w:szCs w:val="24"/>
          <w:u w:val="single"/>
          <w:lang w:val="es-ES_tradnl"/>
        </w:rPr>
        <w:t>453-1</w:t>
      </w:r>
      <w:r w:rsidR="00D075E9">
        <w:rPr>
          <w:szCs w:val="24"/>
          <w:u w:val="single"/>
          <w:lang w:val="es-ES_tradnl"/>
        </w:rPr>
        <w:t>4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3/118(Rev.1)</w:t>
      </w:r>
    </w:p>
    <w:p w:rsidR="00816A47" w:rsidRPr="000122CA" w:rsidRDefault="00816A47" w:rsidP="00816A47">
      <w:pPr>
        <w:pStyle w:val="Restitle"/>
        <w:rPr>
          <w:lang w:val="es-ES_tradnl" w:eastAsia="zh-CN"/>
        </w:rPr>
      </w:pPr>
      <w:r w:rsidRPr="000122CA">
        <w:rPr>
          <w:lang w:val="es-ES_tradnl" w:eastAsia="zh-CN"/>
        </w:rPr>
        <w:t>Índice de refracción radioeléctrica: su fórmula y datos sobre la refractividad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</w:t>
      </w:r>
      <w:r w:rsidRPr="000122CA">
        <w:rPr>
          <w:szCs w:val="24"/>
          <w:u w:val="single"/>
          <w:lang w:val="es-ES_tradnl" w:eastAsia="zh-CN"/>
        </w:rPr>
        <w:t>527-</w:t>
      </w:r>
      <w:r w:rsidR="00D075E9">
        <w:rPr>
          <w:szCs w:val="24"/>
          <w:u w:val="single"/>
          <w:lang w:val="es-ES_tradnl" w:eastAsia="zh-CN"/>
        </w:rPr>
        <w:t>5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3/119(Rev.2)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Características eléctricas de la superficie de la Tierra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P.310-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3/120(Rev.1)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Definición de términos relativos a la propagación</w:t>
      </w:r>
      <w:r w:rsidRPr="000122CA">
        <w:rPr>
          <w:lang w:val="es-ES_tradnl"/>
        </w:rPr>
        <w:br/>
        <w:t>en medios no ionizados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P.1511-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3/121(Rev.1)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Topografía para establecer modelos de propagación Tierra-espacio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P.1853-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3/122(Rev.1)</w:t>
      </w:r>
    </w:p>
    <w:p w:rsidR="00816A47" w:rsidRPr="000122CA" w:rsidRDefault="00467464" w:rsidP="00816A47">
      <w:pPr>
        <w:pStyle w:val="Restitle"/>
        <w:rPr>
          <w:lang w:val="es-ES_tradnl"/>
        </w:rPr>
      </w:pPr>
      <w:r w:rsidRPr="003A2E6D">
        <w:rPr>
          <w:lang w:val="es-ES_tradnl"/>
        </w:rPr>
        <w:t>Síntesis de las series temporales de las degradaciones</w:t>
      </w:r>
      <w:r w:rsidRPr="009D6BE7">
        <w:rPr>
          <w:lang w:val="es-ES_tradnl"/>
        </w:rPr>
        <w:t xml:space="preserve"> troposféricas</w:t>
      </w:r>
    </w:p>
    <w:p w:rsidR="00816A47" w:rsidRDefault="00816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Recomendación UIT-R P.2109-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3/124(Rev.1)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bookmarkStart w:id="5" w:name="Pre_title"/>
      <w:r w:rsidRPr="000122CA">
        <w:rPr>
          <w:lang w:val="es-ES_tradnl"/>
        </w:rPr>
        <w:t>Predicción de las pérdidas debidas a la penetración en edificios</w:t>
      </w:r>
      <w:bookmarkEnd w:id="5"/>
      <w:r w:rsidRPr="000122CA">
        <w:rPr>
          <w:lang w:val="es-ES_tradnl"/>
        </w:rPr>
        <w:t xml:space="preserve"> </w:t>
      </w:r>
    </w:p>
    <w:p w:rsidR="00816A47" w:rsidRPr="000122CA" w:rsidRDefault="00816A47" w:rsidP="00D075E9">
      <w:pPr>
        <w:keepNext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P.528-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3/125(Rev.1)</w:t>
      </w:r>
    </w:p>
    <w:p w:rsidR="00816A47" w:rsidRPr="000122CA" w:rsidRDefault="00467464" w:rsidP="00816A47">
      <w:pPr>
        <w:pStyle w:val="Restitle"/>
        <w:rPr>
          <w:lang w:val="es-ES_tradnl"/>
        </w:rPr>
      </w:pPr>
      <w:r w:rsidRPr="003A2E6D">
        <w:rPr>
          <w:lang w:val="es-ES_tradnl"/>
        </w:rPr>
        <w:t>Método de predicción de la propagación para los servicios móvil aeronáutico y de radionavegación aeronáutica que utilizan las bandas de ondas métricas, decimétricas y centimétricas</w:t>
      </w:r>
    </w:p>
    <w:p w:rsidR="00816A47" w:rsidRPr="000122CA" w:rsidRDefault="00816A47" w:rsidP="00D075E9">
      <w:pPr>
        <w:keepNext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</w:t>
      </w:r>
      <w:r w:rsidRPr="000122CA">
        <w:rPr>
          <w:szCs w:val="24"/>
          <w:u w:val="single"/>
          <w:lang w:val="es-ES_tradnl" w:eastAsia="zh-CN"/>
        </w:rPr>
        <w:t>1546-</w:t>
      </w:r>
      <w:r w:rsidR="00D075E9">
        <w:rPr>
          <w:szCs w:val="24"/>
          <w:u w:val="single"/>
          <w:lang w:val="es-ES_tradnl" w:eastAsia="zh-CN"/>
        </w:rPr>
        <w:t>6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3/126(Rev.1)</w:t>
      </w:r>
    </w:p>
    <w:p w:rsidR="00816A47" w:rsidRPr="000122CA" w:rsidRDefault="00816A47" w:rsidP="00C6176B">
      <w:pPr>
        <w:pStyle w:val="Restitle"/>
        <w:rPr>
          <w:lang w:val="es-ES_tradnl"/>
        </w:rPr>
      </w:pPr>
      <w:r w:rsidRPr="00C6176B">
        <w:rPr>
          <w:lang w:val="es-ES_tradnl"/>
        </w:rPr>
        <w:t xml:space="preserve">Métodos de predicción de punto a zona para servicios terrenales </w:t>
      </w:r>
      <w:r w:rsidRPr="00C6176B">
        <w:rPr>
          <w:lang w:val="es-ES_tradnl"/>
        </w:rPr>
        <w:br/>
        <w:t xml:space="preserve">en la gama de frecuencias de 30 a </w:t>
      </w:r>
      <w:r w:rsidR="00C6176B" w:rsidRPr="00C6176B">
        <w:rPr>
          <w:lang w:val="es-ES_tradnl"/>
        </w:rPr>
        <w:t>4</w:t>
      </w:r>
      <w:r w:rsidRPr="00C6176B">
        <w:rPr>
          <w:lang w:val="es-ES_tradnl"/>
        </w:rPr>
        <w:t xml:space="preserve"> 000 MHz</w:t>
      </w:r>
    </w:p>
    <w:p w:rsidR="00816A47" w:rsidRPr="000122CA" w:rsidRDefault="00816A47" w:rsidP="00D075E9">
      <w:pPr>
        <w:keepNext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P.1812-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3/127(Rev.1)</w:t>
      </w:r>
    </w:p>
    <w:p w:rsidR="00816A47" w:rsidRPr="000122CA" w:rsidRDefault="00816A47" w:rsidP="00816A47">
      <w:pPr>
        <w:pStyle w:val="Restitle"/>
        <w:spacing w:before="240"/>
        <w:rPr>
          <w:lang w:val="es-ES_tradnl"/>
        </w:rPr>
      </w:pPr>
      <w:r w:rsidRPr="000122CA">
        <w:rPr>
          <w:lang w:val="es-ES_tradnl"/>
        </w:rPr>
        <w:t>Método de predicción de la propagación específico del trayecto para servicios terrenales punto a zona en las bandas de ondas métricas y decimétricas</w:t>
      </w:r>
    </w:p>
    <w:p w:rsidR="00816A47" w:rsidRPr="000122CA" w:rsidRDefault="00816A47" w:rsidP="00D075E9">
      <w:pPr>
        <w:keepNext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P.1238-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3/128(Rev.2)</w:t>
      </w:r>
    </w:p>
    <w:p w:rsidR="00816A47" w:rsidRPr="000122CA" w:rsidRDefault="00816A47" w:rsidP="00C6176B">
      <w:pPr>
        <w:pStyle w:val="Restitle"/>
        <w:spacing w:before="240"/>
        <w:rPr>
          <w:lang w:val="es-ES_tradnl" w:eastAsia="zh-CN"/>
        </w:rPr>
      </w:pPr>
      <w:r w:rsidRPr="00C6176B">
        <w:rPr>
          <w:lang w:val="es-ES_tradnl" w:eastAsia="zh-CN"/>
        </w:rPr>
        <w:t xml:space="preserve">Datos de propagación y métodos de predicción para la planificación de sistemas de radiocomunicaciones en interiores y redes radioeléctricas de área local </w:t>
      </w:r>
      <w:r w:rsidRPr="00C6176B">
        <w:rPr>
          <w:lang w:val="es-ES_tradnl" w:eastAsia="zh-CN"/>
        </w:rPr>
        <w:br/>
        <w:t xml:space="preserve">en la gama de frecuencias de 300 MHz a </w:t>
      </w:r>
      <w:r w:rsidR="00C6176B" w:rsidRPr="00C6176B">
        <w:rPr>
          <w:lang w:val="es-ES_tradnl" w:eastAsia="zh-CN"/>
        </w:rPr>
        <w:t>450</w:t>
      </w:r>
      <w:r w:rsidRPr="00C6176B">
        <w:rPr>
          <w:lang w:val="es-ES_tradnl" w:eastAsia="zh-CN"/>
        </w:rPr>
        <w:t xml:space="preserve"> GHz</w:t>
      </w:r>
    </w:p>
    <w:p w:rsidR="00816A47" w:rsidRPr="000122CA" w:rsidRDefault="00816A47" w:rsidP="00D075E9">
      <w:pPr>
        <w:keepNext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P.1411-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3/129(Rev.1)</w:t>
      </w:r>
    </w:p>
    <w:p w:rsidR="00816A47" w:rsidRPr="000122CA" w:rsidRDefault="00816A47" w:rsidP="00816A47">
      <w:pPr>
        <w:pStyle w:val="Restitle"/>
        <w:spacing w:before="240"/>
        <w:rPr>
          <w:lang w:val="es-ES_tradnl" w:eastAsia="zh-CN"/>
        </w:rPr>
      </w:pPr>
      <w:r w:rsidRPr="000122CA">
        <w:rPr>
          <w:lang w:val="es-ES_tradnl" w:eastAsia="zh-CN"/>
        </w:rPr>
        <w:t xml:space="preserve">Datos de propagación y métodos de predicción para la planificación de los sistemas de radiocomunicaciones de exteriores de corto alcance </w:t>
      </w:r>
      <w:r w:rsidRPr="000122CA">
        <w:rPr>
          <w:lang w:val="es-ES_tradnl" w:eastAsia="zh-CN"/>
        </w:rPr>
        <w:br/>
        <w:t xml:space="preserve">y redes de radiocomunicaciones de área local en la </w:t>
      </w:r>
      <w:r w:rsidRPr="000122CA">
        <w:rPr>
          <w:lang w:val="es-ES_tradnl" w:eastAsia="zh-CN"/>
        </w:rPr>
        <w:br/>
        <w:t>gama de frecuencias de 300 MHz a 100 GHz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P.1816-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3/130(Rev.1)</w:t>
      </w:r>
    </w:p>
    <w:p w:rsidR="00816A47" w:rsidRPr="000122CA" w:rsidRDefault="00816A47" w:rsidP="00816A47">
      <w:pPr>
        <w:pStyle w:val="Restitle"/>
        <w:spacing w:before="240"/>
        <w:rPr>
          <w:lang w:val="es-ES_tradnl" w:eastAsia="zh-CN"/>
        </w:rPr>
      </w:pPr>
      <w:r w:rsidRPr="000122CA">
        <w:rPr>
          <w:lang w:val="es-ES_tradnl" w:eastAsia="zh-CN"/>
        </w:rPr>
        <w:t xml:space="preserve">Predicción de los perfiles de tiempo y de espacio para los servicios móviles terrestres de banda ancha que utilizan las bandas de </w:t>
      </w:r>
      <w:r w:rsidRPr="000122CA">
        <w:rPr>
          <w:lang w:val="es-ES_tradnl" w:eastAsia="zh-CN"/>
        </w:rPr>
        <w:br/>
        <w:t>ondas decimétricas y centimétricas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P.531-1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3/135(Rev.1)</w:t>
      </w:r>
    </w:p>
    <w:p w:rsidR="00816A47" w:rsidRPr="000122CA" w:rsidRDefault="00C6176B" w:rsidP="00816A47">
      <w:pPr>
        <w:pStyle w:val="Restitle"/>
        <w:spacing w:before="240"/>
        <w:rPr>
          <w:lang w:val="es-ES_tradnl"/>
        </w:rPr>
      </w:pPr>
      <w:r w:rsidRPr="009D6BE7">
        <w:rPr>
          <w:lang w:val="es-ES_tradnl"/>
        </w:rPr>
        <w:t>Datos de propagación ionosférica y métodos de predicción requeridos</w:t>
      </w:r>
      <w:r w:rsidRPr="009D6BE7">
        <w:rPr>
          <w:lang w:val="es-ES_tradnl"/>
        </w:rPr>
        <w:br/>
        <w:t xml:space="preserve">para el diseño de </w:t>
      </w:r>
      <w:r w:rsidRPr="00D77171">
        <w:rPr>
          <w:lang w:val="es-ES_tradnl"/>
        </w:rPr>
        <w:t>redes y sistemas de satélites</w:t>
      </w:r>
    </w:p>
    <w:p w:rsidR="00816A47" w:rsidRDefault="00816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Recomendación UIT-R P.1144-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3/138(Rev.1)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 xml:space="preserve">Guía para la aplicación de los métodos de propagación de </w:t>
      </w:r>
      <w:r w:rsidRPr="000122CA">
        <w:rPr>
          <w:lang w:val="es-ES_tradnl"/>
        </w:rPr>
        <w:br/>
        <w:t>la Comisión de Estudio 3 de Radiocomunicaciones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P.619-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3/139(Rev.1)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Datos de propagación necesarios para evaluar la interferencia entre estaciones en el espacio y estaciones sobre la superficie de la Tierra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P.617-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3/143(Rev.1)</w:t>
      </w:r>
    </w:p>
    <w:p w:rsidR="00816A47" w:rsidRPr="000122CA" w:rsidRDefault="00816A47" w:rsidP="00816A47">
      <w:pPr>
        <w:pStyle w:val="Restitle"/>
        <w:rPr>
          <w:lang w:val="es-ES_tradnl"/>
        </w:rPr>
      </w:pPr>
      <w:r w:rsidRPr="000122CA">
        <w:rPr>
          <w:lang w:val="es-ES_tradnl"/>
        </w:rPr>
        <w:t>Datos de propagación y técnicas de predicción necesarios para el diseño</w:t>
      </w:r>
      <w:r w:rsidRPr="000122CA">
        <w:rPr>
          <w:lang w:val="es-ES_tradnl"/>
        </w:rPr>
        <w:br/>
        <w:t>de sistemas de radioenlaces transhorizonte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P.2001-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3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3/144(Rev.1)</w:t>
      </w:r>
    </w:p>
    <w:p w:rsidR="00816A47" w:rsidRPr="000122CA" w:rsidRDefault="00816A47" w:rsidP="00816A47">
      <w:pPr>
        <w:pStyle w:val="Restitle"/>
        <w:rPr>
          <w:lang w:val="es-ES_tradnl" w:eastAsia="zh-CN"/>
        </w:rPr>
      </w:pPr>
      <w:r w:rsidRPr="000122CA">
        <w:rPr>
          <w:lang w:val="es-ES_tradnl" w:eastAsia="zh-CN"/>
        </w:rPr>
        <w:t xml:space="preserve">Modelo de propagación terrenal de gran alcance polivalente </w:t>
      </w:r>
      <w:r w:rsidRPr="000122CA">
        <w:rPr>
          <w:lang w:val="es-ES_tradnl" w:eastAsia="zh-CN"/>
        </w:rPr>
        <w:br/>
        <w:t>en la gama de frecuencias de 30 MHz a 50 GHz</w:t>
      </w:r>
    </w:p>
    <w:p w:rsidR="00816A47" w:rsidRPr="000122CA" w:rsidRDefault="00816A47" w:rsidP="00D075E9">
      <w:pPr>
        <w:tabs>
          <w:tab w:val="right" w:pos="9639"/>
        </w:tabs>
        <w:spacing w:before="360" w:line="240" w:lineRule="auto"/>
        <w:ind w:left="1134" w:hanging="1134"/>
        <w:rPr>
          <w:rFonts w:asciiTheme="minorHAnsi" w:hAnsiTheme="minorHAnsi" w:cstheme="minorHAnsi"/>
          <w:szCs w:val="24"/>
          <w:lang w:val="es-ES_tradnl"/>
        </w:rPr>
      </w:pPr>
      <w:r w:rsidRPr="000122CA">
        <w:rPr>
          <w:rFonts w:asciiTheme="minorHAnsi" w:hAnsiTheme="minorHAnsi" w:cstheme="minorHAnsi"/>
          <w:szCs w:val="24"/>
          <w:u w:val="single"/>
          <w:lang w:val="es-ES_tradnl"/>
        </w:rPr>
        <w:t>Recomendación UIT-R P.681-1</w:t>
      </w:r>
      <w:r w:rsidR="00D075E9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Pr="000122CA">
        <w:rPr>
          <w:rFonts w:asciiTheme="minorHAnsi" w:hAnsiTheme="minorHAnsi" w:cstheme="minorHAnsi"/>
          <w:szCs w:val="24"/>
          <w:lang w:val="es-ES_tradnl"/>
        </w:rPr>
        <w:tab/>
        <w:t>Doc. 3/145(Rev.1)</w:t>
      </w:r>
    </w:p>
    <w:p w:rsidR="00816A47" w:rsidRPr="000122CA" w:rsidRDefault="001F6F70" w:rsidP="00816A47">
      <w:pPr>
        <w:pStyle w:val="Rectitle"/>
        <w:rPr>
          <w:lang w:val="es-ES_tradnl" w:eastAsia="zh-CN"/>
        </w:rPr>
      </w:pPr>
      <w:r w:rsidRPr="00D77171">
        <w:rPr>
          <w:lang w:val="es-ES_tradnl" w:eastAsia="zh-CN"/>
        </w:rPr>
        <w:t>Datos de propagación</w:t>
      </w:r>
      <w:r w:rsidRPr="009D6BE7">
        <w:rPr>
          <w:lang w:val="es-ES_tradnl" w:eastAsia="zh-CN"/>
        </w:rPr>
        <w:t xml:space="preserve"> necesarios para los sistemas de diseño </w:t>
      </w:r>
      <w:r>
        <w:rPr>
          <w:lang w:val="es-ES_tradnl" w:eastAsia="zh-CN"/>
        </w:rPr>
        <w:br/>
      </w:r>
      <w:r w:rsidRPr="009D6BE7">
        <w:rPr>
          <w:lang w:val="es-ES_tradnl" w:eastAsia="zh-CN"/>
        </w:rPr>
        <w:t>del servicio móvil terrestre por satélite</w:t>
      </w:r>
      <w:bookmarkStart w:id="6" w:name="_GoBack"/>
      <w:bookmarkEnd w:id="6"/>
    </w:p>
    <w:p w:rsidR="00C1082E" w:rsidRPr="00816A47" w:rsidRDefault="00C1082E" w:rsidP="00C1082E">
      <w:pPr>
        <w:rPr>
          <w:lang w:val="es-ES_tradnl"/>
        </w:rPr>
      </w:pPr>
    </w:p>
    <w:p w:rsidR="00C1082E" w:rsidRPr="00456F71" w:rsidRDefault="00C1082E" w:rsidP="00C1082E">
      <w:pPr>
        <w:rPr>
          <w:lang w:val="es-ES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F6F70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16A47" w:rsidRDefault="00816A47" w:rsidP="00816A4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F6F7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816A47" w:rsidTr="0012336F">
      <w:tc>
        <w:tcPr>
          <w:tcW w:w="4792" w:type="dxa"/>
          <w:tcMar>
            <w:left w:w="0" w:type="dxa"/>
          </w:tcMar>
        </w:tcPr>
        <w:p w:rsidR="00816A47" w:rsidRDefault="00816A47" w:rsidP="00816A4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0768E8F" wp14:editId="0F48022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816A47" w:rsidRDefault="00816A47" w:rsidP="00816A4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8868155" wp14:editId="3B1C6F7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16A47" w:rsidRDefault="00E915AF" w:rsidP="00816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yNDUzNDY2NTMyNzFR0lEKTi0uzszPAykwqgUAf5R75iwAAAA="/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302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6F70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B4823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746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16A4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176B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5E9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BC0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16A47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816A47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C35C-7A73-471E-9BB5-016ADC8F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</TotalTime>
  <Pages>4</Pages>
  <Words>764</Words>
  <Characters>4745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8</cp:revision>
  <cp:lastPrinted>2019-08-28T14:18:00Z</cp:lastPrinted>
  <dcterms:created xsi:type="dcterms:W3CDTF">2019-08-21T13:38:00Z</dcterms:created>
  <dcterms:modified xsi:type="dcterms:W3CDTF">2019-08-28T14:18:00Z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