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AF70F6" w:rsidRPr="00AF70F6" w14:paraId="5F5F2E14" w14:textId="77777777" w:rsidTr="0029677E">
        <w:tc>
          <w:tcPr>
            <w:tcW w:w="5000" w:type="pct"/>
            <w:gridSpan w:val="3"/>
            <w:shd w:val="clear" w:color="auto" w:fill="auto"/>
          </w:tcPr>
          <w:p w14:paraId="61053DF3" w14:textId="77777777" w:rsidR="00AF70F6" w:rsidRPr="00DF5990" w:rsidRDefault="00AF70F6" w:rsidP="00B31F9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12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  <w:r w:rsidRPr="00DF5990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مكتب</w:t>
            </w:r>
            <w:r w:rsidRPr="00DF5990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DF5990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الاتصالات</w:t>
            </w:r>
            <w:r w:rsidRPr="00DF5990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DF5990"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/>
              </w:rPr>
              <w:t>الراديوية</w:t>
            </w:r>
            <w:r w:rsidRPr="00DF5990">
              <w:rPr>
                <w:rFonts w:eastAsiaTheme="minorEastAsia" w:hint="cs"/>
                <w:b/>
                <w:bCs/>
                <w:color w:val="808080"/>
                <w:sz w:val="28"/>
                <w:szCs w:val="36"/>
                <w:rtl/>
                <w:lang w:eastAsia="zh-CN"/>
              </w:rPr>
              <w:t xml:space="preserve"> </w:t>
            </w:r>
            <w:r w:rsidRPr="00DF5990">
              <w:rPr>
                <w:rFonts w:eastAsiaTheme="minorEastAsia"/>
                <w:b/>
                <w:bCs/>
                <w:color w:val="808080"/>
                <w:sz w:val="28"/>
                <w:szCs w:val="36"/>
                <w:lang w:eastAsia="zh-CN" w:bidi="ar-SY"/>
              </w:rPr>
              <w:t>(BR)</w:t>
            </w:r>
          </w:p>
          <w:p w14:paraId="21268F96" w14:textId="77777777" w:rsidR="008260B2" w:rsidRPr="008260B2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rPr>
                <w:rFonts w:eastAsiaTheme="minorEastAsia"/>
                <w:b/>
                <w:bCs/>
                <w:color w:val="808080"/>
                <w:sz w:val="28"/>
                <w:szCs w:val="36"/>
                <w:rtl/>
                <w:lang w:eastAsia="zh-CN" w:bidi="ar-EG"/>
              </w:rPr>
            </w:pPr>
          </w:p>
        </w:tc>
      </w:tr>
      <w:tr w:rsidR="00AF70F6" w:rsidRPr="00AF70F6" w14:paraId="26353ABE" w14:textId="77777777" w:rsidTr="0029677E">
        <w:tc>
          <w:tcPr>
            <w:tcW w:w="2707" w:type="pct"/>
            <w:gridSpan w:val="2"/>
            <w:shd w:val="clear" w:color="auto" w:fill="auto"/>
          </w:tcPr>
          <w:p w14:paraId="6177A522" w14:textId="01AB5B78" w:rsidR="00AF70F6" w:rsidRPr="00AF70F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lang w:eastAsia="zh-CN" w:bidi="ar-SY"/>
              </w:rPr>
            </w:pPr>
            <w:r w:rsidRPr="00DD76C9">
              <w:rPr>
                <w:rFonts w:eastAsiaTheme="minorEastAsia" w:hint="cs"/>
                <w:rtl/>
                <w:lang w:eastAsia="zh-CN" w:bidi="ar-AE"/>
              </w:rPr>
              <w:t>الرسالة الإدارية المعممة</w:t>
            </w:r>
          </w:p>
          <w:p w14:paraId="4606EA75" w14:textId="040C3B6F" w:rsidR="00AF70F6" w:rsidRPr="00AF70F6" w:rsidRDefault="00B31F9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>
              <w:rPr>
                <w:rFonts w:eastAsiaTheme="minorEastAsia"/>
                <w:b/>
                <w:bCs/>
                <w:lang w:val="en-GB" w:eastAsia="zh-CN" w:bidi="ar-SY"/>
              </w:rPr>
              <w:t>CACE</w:t>
            </w:r>
            <w:r w:rsidR="00AF70F6" w:rsidRPr="00AF70F6">
              <w:rPr>
                <w:rFonts w:eastAsiaTheme="minorEastAsia"/>
                <w:b/>
                <w:bCs/>
                <w:lang w:val="en-GB" w:eastAsia="zh-CN" w:bidi="ar-SY"/>
              </w:rPr>
              <w:t>/</w:t>
            </w:r>
            <w:r w:rsidR="00DD76C9">
              <w:rPr>
                <w:rFonts w:eastAsiaTheme="minorEastAsia"/>
                <w:b/>
                <w:bCs/>
                <w:lang w:eastAsia="zh-CN" w:bidi="ar-SY"/>
              </w:rPr>
              <w:t>916</w:t>
            </w:r>
          </w:p>
        </w:tc>
        <w:tc>
          <w:tcPr>
            <w:tcW w:w="2293" w:type="pct"/>
            <w:shd w:val="clear" w:color="auto" w:fill="auto"/>
          </w:tcPr>
          <w:p w14:paraId="125D73EE" w14:textId="681B88C8" w:rsidR="00AF70F6" w:rsidRPr="00AF70F6" w:rsidRDefault="00DD76C9" w:rsidP="00AB25D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60" w:lineRule="exact"/>
              <w:jc w:val="right"/>
              <w:rPr>
                <w:rFonts w:eastAsiaTheme="minorEastAsia"/>
                <w:rtl/>
                <w:lang w:eastAsia="zh-CN" w:bidi="ar-EG"/>
              </w:rPr>
            </w:pPr>
            <w:r w:rsidRPr="00DD76C9">
              <w:rPr>
                <w:rFonts w:eastAsiaTheme="minorEastAsia"/>
                <w:lang w:val="en-GB" w:eastAsia="zh-CN" w:bidi="ar-SY"/>
              </w:rPr>
              <w:t>2</w:t>
            </w:r>
            <w:r w:rsidR="00AB25D2">
              <w:rPr>
                <w:rFonts w:eastAsiaTheme="minorEastAsia"/>
                <w:lang w:val="en-GB" w:eastAsia="zh-CN" w:bidi="ar-SY"/>
              </w:rPr>
              <w:t>1</w:t>
            </w:r>
            <w:r w:rsidRPr="00DD76C9">
              <w:rPr>
                <w:rFonts w:eastAsiaTheme="minorEastAsia" w:hint="cs"/>
                <w:rtl/>
                <w:lang w:val="fr-FR" w:eastAsia="zh-CN"/>
              </w:rPr>
              <w:t xml:space="preserve"> أغسطس </w:t>
            </w:r>
            <w:r w:rsidRPr="00DD76C9">
              <w:rPr>
                <w:rFonts w:eastAsiaTheme="minorEastAsia"/>
                <w:lang w:val="en-GB" w:eastAsia="zh-CN" w:bidi="ar-SY"/>
              </w:rPr>
              <w:t>2019</w:t>
            </w:r>
          </w:p>
        </w:tc>
      </w:tr>
      <w:tr w:rsidR="00AF70F6" w:rsidRPr="00AF70F6" w14:paraId="2AEE1B7F" w14:textId="77777777" w:rsidTr="0029677E">
        <w:tc>
          <w:tcPr>
            <w:tcW w:w="5000" w:type="pct"/>
            <w:gridSpan w:val="3"/>
            <w:shd w:val="clear" w:color="auto" w:fill="auto"/>
          </w:tcPr>
          <w:p w14:paraId="631B5739" w14:textId="77777777"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14:paraId="5268D703" w14:textId="77777777" w:rsidTr="0029677E">
        <w:tc>
          <w:tcPr>
            <w:tcW w:w="5000" w:type="pct"/>
            <w:gridSpan w:val="3"/>
            <w:shd w:val="clear" w:color="auto" w:fill="auto"/>
          </w:tcPr>
          <w:p w14:paraId="0BA19F4C" w14:textId="77777777" w:rsidR="00AF70F6" w:rsidRPr="00AF70F6" w:rsidRDefault="00AF70F6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14:paraId="6E4D10A1" w14:textId="77777777" w:rsidTr="0029677E">
        <w:tc>
          <w:tcPr>
            <w:tcW w:w="5000" w:type="pct"/>
            <w:gridSpan w:val="3"/>
            <w:shd w:val="clear" w:color="auto" w:fill="auto"/>
          </w:tcPr>
          <w:p w14:paraId="1B0D74F8" w14:textId="0A5E355B" w:rsidR="00AF70F6" w:rsidRPr="00AF70F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after="120"/>
              <w:jc w:val="left"/>
              <w:rPr>
                <w:rFonts w:eastAsiaTheme="minorEastAsia"/>
                <w:b/>
                <w:bCs/>
                <w:lang w:eastAsia="zh-CN" w:bidi="ar-SY"/>
              </w:rPr>
            </w:pPr>
            <w:r w:rsidRPr="00F86650">
              <w:rPr>
                <w:rFonts w:eastAsiaTheme="minorEastAsia"/>
                <w:b/>
                <w:bCs/>
                <w:w w:val="115"/>
                <w:rtl/>
                <w:lang w:eastAsia="zh-CN"/>
              </w:rPr>
              <w:t>إلى إدارات الدول الأعضاء في الاتحاد وأعضاء قطاع الاتصالات الراديوية</w:t>
            </w:r>
            <w:r w:rsidRPr="00F86650">
              <w:rPr>
                <w:rFonts w:eastAsiaTheme="minorEastAsia" w:hint="cs"/>
                <w:b/>
                <w:bCs/>
                <w:w w:val="115"/>
                <w:rtl/>
                <w:lang w:eastAsia="zh-CN"/>
              </w:rPr>
              <w:t xml:space="preserve"> و</w:t>
            </w:r>
            <w:r w:rsidRPr="00F86650">
              <w:rPr>
                <w:rFonts w:eastAsiaTheme="minorEastAsia"/>
                <w:b/>
                <w:bCs/>
                <w:w w:val="115"/>
                <w:rtl/>
                <w:lang w:eastAsia="zh-CN"/>
              </w:rPr>
              <w:t>المن</w:t>
            </w:r>
            <w:bookmarkStart w:id="0" w:name="_GoBack"/>
            <w:bookmarkEnd w:id="0"/>
            <w:r w:rsidRPr="00F86650">
              <w:rPr>
                <w:rFonts w:eastAsiaTheme="minorEastAsia"/>
                <w:b/>
                <w:bCs/>
                <w:w w:val="115"/>
                <w:rtl/>
                <w:lang w:eastAsia="zh-CN"/>
              </w:rPr>
              <w:t>تسبين إليه</w:t>
            </w:r>
            <w:r w:rsidRPr="00AF70F6">
              <w:rPr>
                <w:rFonts w:eastAsiaTheme="minorEastAsia"/>
                <w:b/>
                <w:bCs/>
                <w:rtl/>
                <w:lang w:eastAsia="zh-CN"/>
              </w:rPr>
              <w:br/>
            </w:r>
            <w:r w:rsidRPr="00AF70F6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المشاركين في أعمال لجنة الدراسات </w:t>
            </w:r>
            <w:r w:rsidR="00DD76C9">
              <w:rPr>
                <w:rFonts w:eastAsiaTheme="minorEastAsia"/>
                <w:b/>
                <w:bCs/>
                <w:lang w:val="en-GB" w:eastAsia="zh-CN" w:bidi="ar-SY"/>
              </w:rPr>
              <w:t>3</w:t>
            </w:r>
            <w:r w:rsidRPr="00AF70F6">
              <w:rPr>
                <w:rFonts w:eastAsiaTheme="minorEastAsia"/>
                <w:b/>
                <w:bCs/>
                <w:rtl/>
                <w:lang w:eastAsia="zh-CN" w:bidi="ar-EG"/>
              </w:rPr>
              <w:t xml:space="preserve"> للاتصالات الراديوية</w:t>
            </w:r>
            <w:r w:rsidRPr="00AF70F6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والهيئات الأكاديمية المنضمة إلى الاتحاد</w:t>
            </w:r>
          </w:p>
        </w:tc>
      </w:tr>
      <w:tr w:rsidR="008260B2" w:rsidRPr="00AF70F6" w14:paraId="65AAB69A" w14:textId="77777777" w:rsidTr="001D222D">
        <w:tc>
          <w:tcPr>
            <w:tcW w:w="5000" w:type="pct"/>
            <w:gridSpan w:val="3"/>
            <w:shd w:val="clear" w:color="auto" w:fill="auto"/>
          </w:tcPr>
          <w:p w14:paraId="1D83D5B8" w14:textId="77777777" w:rsidR="008260B2" w:rsidRPr="00AF70F6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8260B2" w:rsidRPr="00AF70F6" w14:paraId="76A3D7F3" w14:textId="77777777" w:rsidTr="001D222D">
        <w:tc>
          <w:tcPr>
            <w:tcW w:w="5000" w:type="pct"/>
            <w:gridSpan w:val="3"/>
            <w:shd w:val="clear" w:color="auto" w:fill="auto"/>
          </w:tcPr>
          <w:p w14:paraId="612C2C14" w14:textId="77777777" w:rsidR="008260B2" w:rsidRPr="00AF70F6" w:rsidRDefault="008260B2" w:rsidP="008260B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rPr>
                <w:rFonts w:eastAsiaTheme="minorEastAsia"/>
                <w:rtl/>
                <w:lang w:eastAsia="zh-CN" w:bidi="ar-SY"/>
              </w:rPr>
            </w:pPr>
          </w:p>
        </w:tc>
      </w:tr>
      <w:tr w:rsidR="00AF70F6" w:rsidRPr="00AF70F6" w14:paraId="76100171" w14:textId="77777777" w:rsidTr="0029677E">
        <w:trPr>
          <w:trHeight w:val="452"/>
        </w:trPr>
        <w:tc>
          <w:tcPr>
            <w:tcW w:w="699" w:type="pct"/>
            <w:shd w:val="clear" w:color="auto" w:fill="auto"/>
          </w:tcPr>
          <w:p w14:paraId="06A07992" w14:textId="77777777" w:rsidR="00AF70F6" w:rsidRPr="00AF70F6" w:rsidRDefault="00AF70F6" w:rsidP="00AF70F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rPr>
                <w:rFonts w:eastAsiaTheme="minorEastAsia"/>
                <w:lang w:val="fr-FR" w:eastAsia="zh-CN" w:bidi="ar-SY"/>
              </w:rPr>
            </w:pPr>
            <w:r w:rsidRPr="00AF70F6">
              <w:rPr>
                <w:rFonts w:eastAsiaTheme="minorEastAsia"/>
                <w:rtl/>
                <w:lang w:eastAsia="zh-CN"/>
              </w:rPr>
              <w:t>الموضوع</w:t>
            </w:r>
            <w:r w:rsidRPr="00AF70F6">
              <w:rPr>
                <w:rFonts w:eastAsiaTheme="minorEastAsia"/>
                <w:lang w:val="en-GB" w:eastAsia="zh-CN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556485EB" w14:textId="433480FD" w:rsidR="00AF70F6" w:rsidRPr="008D3F8E" w:rsidRDefault="00DD76C9" w:rsidP="00DD76C9">
            <w:pPr>
              <w:spacing w:before="60" w:after="60" w:line="340" w:lineRule="exact"/>
              <w:rPr>
                <w:b/>
                <w:bCs/>
                <w:rtl/>
                <w:lang w:bidi="ar-EG"/>
              </w:rPr>
            </w:pPr>
            <w:r w:rsidRPr="00DD76C9">
              <w:rPr>
                <w:b/>
                <w:bCs/>
                <w:rtl/>
                <w:lang w:bidi="ar-EG"/>
              </w:rPr>
              <w:t xml:space="preserve">لجنة الدراسات </w:t>
            </w:r>
            <w:r w:rsidRPr="00DD76C9">
              <w:rPr>
                <w:b/>
                <w:bCs/>
                <w:lang w:bidi="ar-EG"/>
              </w:rPr>
              <w:t>3</w:t>
            </w:r>
            <w:r w:rsidRPr="00DD76C9">
              <w:rPr>
                <w:b/>
                <w:bCs/>
                <w:rtl/>
                <w:lang w:bidi="ar-EG"/>
              </w:rPr>
              <w:t xml:space="preserve"> للاتصالات الراديوي</w:t>
            </w:r>
            <w:r w:rsidRPr="00DD76C9">
              <w:rPr>
                <w:rFonts w:hint="cs"/>
                <w:b/>
                <w:bCs/>
                <w:rtl/>
                <w:lang w:bidi="ar-EG"/>
              </w:rPr>
              <w:t>ة (انتشار الموجات الراديوية)</w:t>
            </w:r>
          </w:p>
          <w:p w14:paraId="1B931EC4" w14:textId="18A1AD7E" w:rsidR="00AF70F6" w:rsidRPr="00AF70F6" w:rsidRDefault="00DD76C9" w:rsidP="00DD76C9">
            <w:pPr>
              <w:tabs>
                <w:tab w:val="clear" w:pos="1134"/>
                <w:tab w:val="left" w:pos="386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86" w:hanging="386"/>
              <w:rPr>
                <w:rFonts w:eastAsiaTheme="minorEastAsia"/>
                <w:b/>
                <w:bCs/>
                <w:highlight w:val="yellow"/>
                <w:lang w:eastAsia="zh-CN" w:bidi="ar-SY"/>
              </w:rPr>
            </w:pPr>
            <w:r w:rsidRPr="00DD76C9">
              <w:rPr>
                <w:rFonts w:hint="cs"/>
                <w:b/>
                <w:bCs/>
                <w:rtl/>
                <w:lang w:bidi="ar-EG"/>
              </w:rPr>
              <w:t>-</w:t>
            </w:r>
            <w:r w:rsidRPr="00DD76C9">
              <w:rPr>
                <w:b/>
                <w:bCs/>
                <w:rtl/>
                <w:lang w:bidi="ar-EG"/>
              </w:rPr>
              <w:tab/>
            </w:r>
            <w:r w:rsidRPr="00DD76C9">
              <w:rPr>
                <w:rFonts w:hint="cs"/>
                <w:b/>
                <w:bCs/>
                <w:rtl/>
                <w:lang w:bidi="ar-EG"/>
              </w:rPr>
              <w:t xml:space="preserve">اقتراح الموافقة على </w:t>
            </w:r>
            <w:r w:rsidR="00977A50">
              <w:rPr>
                <w:rFonts w:hint="cs"/>
                <w:b/>
                <w:bCs/>
                <w:rtl/>
                <w:lang w:bidi="ar-EG"/>
              </w:rPr>
              <w:t xml:space="preserve">مشروع </w:t>
            </w:r>
            <w:r w:rsidRPr="00DD76C9">
              <w:rPr>
                <w:rFonts w:hint="cs"/>
                <w:b/>
                <w:bCs/>
                <w:rtl/>
                <w:lang w:bidi="ar-EG"/>
              </w:rPr>
              <w:t xml:space="preserve">مراجعة </w:t>
            </w:r>
            <w:r w:rsidRPr="00DD76C9">
              <w:rPr>
                <w:rFonts w:hint="cs"/>
                <w:b/>
                <w:bCs/>
                <w:rtl/>
              </w:rPr>
              <w:t>توصية</w:t>
            </w:r>
            <w:r w:rsidRPr="00DD76C9">
              <w:rPr>
                <w:rFonts w:hint="cs"/>
                <w:b/>
                <w:bCs/>
                <w:rtl/>
                <w:lang w:bidi="ar-EG"/>
              </w:rPr>
              <w:t xml:space="preserve"> لقطاع الاتصالات الراديوية</w:t>
            </w:r>
          </w:p>
        </w:tc>
      </w:tr>
    </w:tbl>
    <w:p w14:paraId="4081A32F" w14:textId="4EB79232" w:rsidR="00DD76C9" w:rsidRPr="00DD76C9" w:rsidRDefault="00393A5F" w:rsidP="00DD76C9">
      <w:pPr>
        <w:spacing w:before="600"/>
        <w:rPr>
          <w:rtl/>
        </w:rPr>
      </w:pPr>
      <w:r>
        <w:rPr>
          <w:rFonts w:hint="cs"/>
          <w:rtl/>
        </w:rPr>
        <w:t>تحية</w:t>
      </w:r>
      <w:r w:rsidR="00DD76C9" w:rsidRPr="00DD76C9">
        <w:rPr>
          <w:rFonts w:hint="cs"/>
          <w:rtl/>
        </w:rPr>
        <w:t xml:space="preserve"> طيبة وبعد،</w:t>
      </w:r>
    </w:p>
    <w:p w14:paraId="485E2966" w14:textId="48AE88C4" w:rsidR="00DD76C9" w:rsidRPr="00DD76C9" w:rsidRDefault="00DD76C9" w:rsidP="00DD76C9">
      <w:pPr>
        <w:rPr>
          <w:rtl/>
          <w:lang w:bidi="ar-EG"/>
        </w:rPr>
      </w:pPr>
      <w:r w:rsidRPr="00DD76C9">
        <w:rPr>
          <w:rFonts w:hint="cs"/>
          <w:rtl/>
          <w:lang w:bidi="ar-EG"/>
        </w:rPr>
        <w:t xml:space="preserve">قررت </w:t>
      </w:r>
      <w:r w:rsidR="00B203CF">
        <w:rPr>
          <w:rFonts w:hint="cs"/>
          <w:rtl/>
          <w:lang w:bidi="ar-EG"/>
        </w:rPr>
        <w:t>لجنة</w:t>
      </w:r>
      <w:r w:rsidRPr="00DD76C9">
        <w:rPr>
          <w:rFonts w:hint="cs"/>
          <w:rtl/>
          <w:lang w:bidi="ar-EG"/>
        </w:rPr>
        <w:t xml:space="preserve"> الدراسات </w:t>
      </w:r>
      <w:r w:rsidRPr="00DD76C9">
        <w:t>3</w:t>
      </w:r>
      <w:r w:rsidRPr="00DD76C9">
        <w:rPr>
          <w:rFonts w:hint="cs"/>
          <w:rtl/>
          <w:lang w:bidi="ar-EG"/>
        </w:rPr>
        <w:t xml:space="preserve"> للاتصالات الراديوية في اجتماعها </w:t>
      </w:r>
      <w:r w:rsidR="004C35DF">
        <w:rPr>
          <w:rFonts w:hint="cs"/>
          <w:rtl/>
          <w:lang w:bidi="ar-EG"/>
        </w:rPr>
        <w:t>المنعقد</w:t>
      </w:r>
      <w:r w:rsidRPr="00DD76C9">
        <w:rPr>
          <w:rFonts w:hint="cs"/>
          <w:rtl/>
          <w:lang w:bidi="ar-EG"/>
        </w:rPr>
        <w:t xml:space="preserve"> في </w:t>
      </w:r>
      <w:r w:rsidRPr="00DD76C9">
        <w:t>24</w:t>
      </w:r>
      <w:r w:rsidRPr="00DD76C9">
        <w:rPr>
          <w:rFonts w:hint="cs"/>
          <w:rtl/>
          <w:lang w:bidi="ar-EG"/>
        </w:rPr>
        <w:t xml:space="preserve"> مايو </w:t>
      </w:r>
      <w:r w:rsidRPr="00DD76C9">
        <w:t>2019</w:t>
      </w:r>
      <w:r w:rsidRPr="00DD76C9">
        <w:rPr>
          <w:rFonts w:hint="cs"/>
          <w:rtl/>
          <w:lang w:bidi="ar-EG"/>
        </w:rPr>
        <w:t xml:space="preserve">، أن </w:t>
      </w:r>
      <w:r w:rsidR="004C35DF">
        <w:rPr>
          <w:rFonts w:hint="cs"/>
          <w:rtl/>
          <w:lang w:bidi="ar-EG"/>
        </w:rPr>
        <w:t>تلتمس</w:t>
      </w:r>
      <w:r w:rsidRPr="00DD76C9">
        <w:rPr>
          <w:rFonts w:hint="cs"/>
          <w:rtl/>
          <w:lang w:bidi="ar-EG"/>
        </w:rPr>
        <w:t xml:space="preserve"> </w:t>
      </w:r>
      <w:r w:rsidR="004C35DF">
        <w:rPr>
          <w:rFonts w:hint="cs"/>
          <w:rtl/>
          <w:lang w:bidi="ar-EG"/>
        </w:rPr>
        <w:t>اعتماد</w:t>
      </w:r>
      <w:r w:rsidRPr="00DD76C9">
        <w:rPr>
          <w:rFonts w:hint="cs"/>
          <w:rtl/>
          <w:lang w:bidi="ar-EG"/>
        </w:rPr>
        <w:t xml:space="preserve"> مشروع مراجعة توصية عن طريق </w:t>
      </w:r>
      <w:r w:rsidR="004C35DF">
        <w:rPr>
          <w:rFonts w:hint="cs"/>
          <w:rtl/>
          <w:lang w:bidi="ar-EG"/>
        </w:rPr>
        <w:t>المراسلة</w:t>
      </w:r>
      <w:r w:rsidRPr="00DD76C9">
        <w:rPr>
          <w:rFonts w:hint="cs"/>
          <w:rtl/>
          <w:lang w:bidi="ar-EG"/>
        </w:rPr>
        <w:t xml:space="preserve">، وفقاً للفقرة </w:t>
      </w:r>
      <w:r w:rsidRPr="00DD76C9">
        <w:t>3.2.2.6.A2</w:t>
      </w:r>
      <w:r w:rsidRPr="00DD76C9">
        <w:rPr>
          <w:rFonts w:hint="cs"/>
          <w:rtl/>
          <w:lang w:bidi="ar-SY"/>
        </w:rPr>
        <w:t xml:space="preserve"> من</w:t>
      </w:r>
      <w:r w:rsidRPr="00DD76C9">
        <w:rPr>
          <w:rFonts w:hint="cs"/>
          <w:rtl/>
          <w:lang w:bidi="ar-EG"/>
        </w:rPr>
        <w:t xml:space="preserve"> القرار </w:t>
      </w:r>
      <w:r w:rsidRPr="00DD76C9">
        <w:rPr>
          <w:lang w:val="en-GB"/>
        </w:rPr>
        <w:t>ITU</w:t>
      </w:r>
      <w:r w:rsidRPr="00DD76C9">
        <w:rPr>
          <w:lang w:val="en-GB"/>
        </w:rPr>
        <w:noBreakHyphen/>
        <w:t>R 1</w:t>
      </w:r>
      <w:r w:rsidRPr="00DD76C9">
        <w:rPr>
          <w:lang w:val="en-GB"/>
        </w:rPr>
        <w:noBreakHyphen/>
        <w:t>7</w:t>
      </w:r>
      <w:r w:rsidRPr="00DD76C9">
        <w:rPr>
          <w:rFonts w:hint="cs"/>
          <w:rtl/>
        </w:rPr>
        <w:t>.</w:t>
      </w:r>
      <w:r w:rsidRPr="00DD76C9">
        <w:rPr>
          <w:rFonts w:hint="cs"/>
          <w:rtl/>
          <w:lang w:bidi="ar-EG"/>
        </w:rPr>
        <w:t xml:space="preserve"> </w:t>
      </w:r>
      <w:r w:rsidRPr="00DD76C9">
        <w:rPr>
          <w:rFonts w:hint="cs"/>
          <w:rtl/>
          <w:lang w:bidi="ar-SY"/>
        </w:rPr>
        <w:t xml:space="preserve">ومن ثم اعتمدت </w:t>
      </w:r>
      <w:r w:rsidR="004C35DF">
        <w:rPr>
          <w:rFonts w:hint="cs"/>
          <w:rtl/>
          <w:lang w:bidi="ar-SY"/>
        </w:rPr>
        <w:t>لجنة</w:t>
      </w:r>
      <w:r w:rsidRPr="00DD76C9">
        <w:rPr>
          <w:rFonts w:hint="cs"/>
          <w:rtl/>
          <w:lang w:bidi="ar-SY"/>
        </w:rPr>
        <w:t xml:space="preserve"> الدراسات</w:t>
      </w:r>
      <w:r w:rsidR="00977A50">
        <w:rPr>
          <w:rFonts w:hint="eastAsia"/>
          <w:rtl/>
          <w:lang w:bidi="ar-SY"/>
        </w:rPr>
        <w:t> </w:t>
      </w:r>
      <w:r w:rsidR="00977A50">
        <w:rPr>
          <w:lang w:bidi="ar-SY"/>
        </w:rPr>
        <w:t>3</w:t>
      </w:r>
      <w:r w:rsidRPr="00DD76C9">
        <w:rPr>
          <w:rFonts w:hint="cs"/>
          <w:rtl/>
          <w:lang w:bidi="ar-SY"/>
        </w:rPr>
        <w:t xml:space="preserve"> </w:t>
      </w:r>
      <w:r w:rsidRPr="00DD76C9">
        <w:rPr>
          <w:rFonts w:hint="cs"/>
          <w:rtl/>
        </w:rPr>
        <w:t>التوصية</w:t>
      </w:r>
      <w:r w:rsidRPr="00DD76C9">
        <w:rPr>
          <w:rFonts w:hint="cs"/>
          <w:rtl/>
          <w:lang w:bidi="ar-SY"/>
        </w:rPr>
        <w:t xml:space="preserve"> </w:t>
      </w:r>
      <w:r w:rsidR="004C35DF">
        <w:rPr>
          <w:rFonts w:hint="cs"/>
          <w:rtl/>
          <w:lang w:bidi="ar-SY"/>
        </w:rPr>
        <w:t>المذكورة</w:t>
      </w:r>
      <w:r w:rsidRPr="00DD76C9">
        <w:rPr>
          <w:rFonts w:hint="cs"/>
          <w:rtl/>
          <w:lang w:bidi="ar-SY"/>
        </w:rPr>
        <w:t xml:space="preserve">، ويتعين تطبيق إجراء </w:t>
      </w:r>
      <w:r w:rsidR="004C35DF">
        <w:rPr>
          <w:rFonts w:hint="cs"/>
          <w:rtl/>
          <w:lang w:bidi="ar-SY"/>
        </w:rPr>
        <w:t>الموافقة المنصوص</w:t>
      </w:r>
      <w:r w:rsidRPr="00DD76C9">
        <w:rPr>
          <w:rFonts w:hint="cs"/>
          <w:rtl/>
          <w:lang w:bidi="ar-SY"/>
        </w:rPr>
        <w:t xml:space="preserve"> عليه في الفقرة</w:t>
      </w:r>
      <w:r w:rsidRPr="00DD76C9">
        <w:rPr>
          <w:rFonts w:hint="eastAsia"/>
          <w:rtl/>
          <w:lang w:bidi="ar-SY"/>
        </w:rPr>
        <w:t> </w:t>
      </w:r>
      <w:r w:rsidRPr="00DD76C9">
        <w:t>3.2.6.A2</w:t>
      </w:r>
      <w:r w:rsidRPr="00DD76C9">
        <w:rPr>
          <w:rFonts w:hint="cs"/>
          <w:rtl/>
          <w:lang w:bidi="ar-SY"/>
        </w:rPr>
        <w:t xml:space="preserve"> من القرار</w:t>
      </w:r>
      <w:r w:rsidRPr="00DD76C9">
        <w:rPr>
          <w:rFonts w:hint="eastAsia"/>
          <w:rtl/>
          <w:lang w:bidi="ar-SY"/>
        </w:rPr>
        <w:t> </w:t>
      </w:r>
      <w:r w:rsidRPr="00DD76C9">
        <w:t>ITU</w:t>
      </w:r>
      <w:r w:rsidRPr="00DD76C9">
        <w:noBreakHyphen/>
        <w:t>R 1</w:t>
      </w:r>
      <w:r w:rsidRPr="00DD76C9">
        <w:noBreakHyphen/>
        <w:t>7</w:t>
      </w:r>
      <w:r w:rsidRPr="00DD76C9">
        <w:rPr>
          <w:rFonts w:hint="cs"/>
          <w:rtl/>
          <w:lang w:bidi="ar-SY"/>
        </w:rPr>
        <w:t>.</w:t>
      </w:r>
      <w:r w:rsidRPr="00DD76C9">
        <w:rPr>
          <w:rFonts w:hint="cs"/>
          <w:rtl/>
          <w:lang w:bidi="ar-EG"/>
        </w:rPr>
        <w:t xml:space="preserve"> ويرد عنوان مشروع التوصية </w:t>
      </w:r>
      <w:r w:rsidR="004C35DF">
        <w:rPr>
          <w:rFonts w:hint="cs"/>
          <w:rtl/>
          <w:lang w:bidi="ar-EG"/>
        </w:rPr>
        <w:t>وملخصها</w:t>
      </w:r>
      <w:r w:rsidRPr="00DD76C9">
        <w:rPr>
          <w:rFonts w:hint="cs"/>
          <w:rtl/>
          <w:lang w:bidi="ar-EG"/>
        </w:rPr>
        <w:t xml:space="preserve"> في </w:t>
      </w:r>
      <w:r w:rsidR="004C35DF">
        <w:rPr>
          <w:rFonts w:hint="cs"/>
          <w:rtl/>
          <w:lang w:bidi="ar-EG"/>
        </w:rPr>
        <w:t>الملحق</w:t>
      </w:r>
      <w:r w:rsidRPr="00DD76C9">
        <w:rPr>
          <w:rFonts w:hint="cs"/>
          <w:rtl/>
          <w:lang w:bidi="ar-EG"/>
        </w:rPr>
        <w:t xml:space="preserve"> بهذه الرسالة. ويرجى من أي دولة عضو تعترض على </w:t>
      </w:r>
      <w:r w:rsidR="004C35DF">
        <w:rPr>
          <w:rFonts w:hint="cs"/>
          <w:rtl/>
          <w:lang w:bidi="ar-EG"/>
        </w:rPr>
        <w:t>الموافقة</w:t>
      </w:r>
      <w:r w:rsidRPr="00DD76C9">
        <w:rPr>
          <w:rFonts w:hint="cs"/>
          <w:rtl/>
          <w:lang w:bidi="ar-EG"/>
        </w:rPr>
        <w:t xml:space="preserve"> على مشروع توصية أن </w:t>
      </w:r>
      <w:r w:rsidR="004C35DF">
        <w:rPr>
          <w:rFonts w:hint="cs"/>
          <w:rtl/>
          <w:lang w:bidi="ar-EG"/>
        </w:rPr>
        <w:t>تخبر</w:t>
      </w:r>
      <w:r w:rsidRPr="00DD76C9">
        <w:rPr>
          <w:rFonts w:hint="cs"/>
          <w:rtl/>
          <w:lang w:bidi="ar-EG"/>
        </w:rPr>
        <w:t xml:space="preserve"> </w:t>
      </w:r>
      <w:r w:rsidR="00843C88">
        <w:rPr>
          <w:rFonts w:hint="cs"/>
          <w:rtl/>
          <w:lang w:bidi="ar-EG"/>
        </w:rPr>
        <w:t>المدير</w:t>
      </w:r>
      <w:r w:rsidRPr="00DD76C9">
        <w:rPr>
          <w:rFonts w:hint="cs"/>
          <w:rtl/>
          <w:lang w:bidi="ar-EG"/>
        </w:rPr>
        <w:t xml:space="preserve"> ورئيس </w:t>
      </w:r>
      <w:r w:rsidR="004C35DF">
        <w:rPr>
          <w:rFonts w:hint="cs"/>
          <w:rtl/>
          <w:lang w:bidi="ar-EG"/>
        </w:rPr>
        <w:t>لجنة</w:t>
      </w:r>
      <w:r w:rsidRPr="00DD76C9">
        <w:rPr>
          <w:rFonts w:hint="cs"/>
          <w:rtl/>
          <w:lang w:bidi="ar-EG"/>
        </w:rPr>
        <w:t xml:space="preserve"> الدراسات بأسباب اعتراضها.</w:t>
      </w:r>
    </w:p>
    <w:p w14:paraId="5F671A66" w14:textId="78F48F29" w:rsidR="00DD76C9" w:rsidRPr="00DD76C9" w:rsidRDefault="00DD76C9" w:rsidP="00DD76C9">
      <w:pPr>
        <w:rPr>
          <w:rtl/>
          <w:lang w:bidi="ar-SY"/>
        </w:rPr>
      </w:pPr>
      <w:r w:rsidRPr="00DD76C9">
        <w:rPr>
          <w:rFonts w:hint="cs"/>
          <w:rtl/>
          <w:lang w:bidi="ar-EG"/>
        </w:rPr>
        <w:t xml:space="preserve">وكما ورد في الرسالة الإدارية </w:t>
      </w:r>
      <w:r w:rsidR="00127C89">
        <w:rPr>
          <w:rFonts w:hint="cs"/>
          <w:rtl/>
          <w:lang w:bidi="ar-EG"/>
        </w:rPr>
        <w:t>المعممة</w:t>
      </w:r>
      <w:r w:rsidRPr="00DD76C9">
        <w:rPr>
          <w:rFonts w:hint="cs"/>
          <w:rtl/>
          <w:lang w:bidi="ar-EG"/>
        </w:rPr>
        <w:t xml:space="preserve"> </w:t>
      </w:r>
      <w:r w:rsidRPr="00DD76C9">
        <w:t>CACE/900</w:t>
      </w:r>
      <w:r w:rsidRPr="00DD76C9">
        <w:rPr>
          <w:rFonts w:hint="cs"/>
          <w:rtl/>
          <w:lang w:bidi="ar-SY"/>
        </w:rPr>
        <w:t xml:space="preserve"> </w:t>
      </w:r>
      <w:r w:rsidR="004C35DF">
        <w:rPr>
          <w:rFonts w:hint="cs"/>
          <w:rtl/>
          <w:lang w:bidi="ar-SY"/>
        </w:rPr>
        <w:t>المؤرخة</w:t>
      </w:r>
      <w:r w:rsidRPr="00DD76C9">
        <w:rPr>
          <w:rFonts w:hint="cs"/>
          <w:rtl/>
          <w:lang w:bidi="ar-SY"/>
        </w:rPr>
        <w:t xml:space="preserve"> </w:t>
      </w:r>
      <w:r w:rsidRPr="00DD76C9">
        <w:rPr>
          <w:lang w:bidi="ar-SY"/>
        </w:rPr>
        <w:t>13</w:t>
      </w:r>
      <w:r w:rsidRPr="00DD76C9">
        <w:rPr>
          <w:rFonts w:hint="cs"/>
          <w:rtl/>
          <w:lang w:bidi="ar-SY"/>
        </w:rPr>
        <w:t xml:space="preserve"> يونيو </w:t>
      </w:r>
      <w:r w:rsidRPr="00DD76C9">
        <w:t>2019</w:t>
      </w:r>
      <w:r w:rsidRPr="00DD76C9">
        <w:rPr>
          <w:rFonts w:hint="cs"/>
          <w:rtl/>
          <w:lang w:bidi="ar-SY"/>
        </w:rPr>
        <w:t xml:space="preserve">، انتهت فترة التشاور بشأن اعتماد هذه </w:t>
      </w:r>
      <w:r w:rsidR="00843C88">
        <w:rPr>
          <w:rFonts w:hint="cs"/>
          <w:rtl/>
          <w:lang w:bidi="ar-SY"/>
        </w:rPr>
        <w:t>التوصية</w:t>
      </w:r>
      <w:r w:rsidRPr="00DD76C9">
        <w:rPr>
          <w:rFonts w:hint="cs"/>
          <w:rtl/>
          <w:lang w:bidi="ar-SY"/>
        </w:rPr>
        <w:t xml:space="preserve"> في</w:t>
      </w:r>
      <w:r w:rsidRPr="00DD76C9">
        <w:rPr>
          <w:rFonts w:hint="eastAsia"/>
          <w:rtl/>
          <w:lang w:bidi="ar-SY"/>
        </w:rPr>
        <w:t> </w:t>
      </w:r>
      <w:r w:rsidRPr="00DD76C9">
        <w:rPr>
          <w:lang w:bidi="ar-SY"/>
        </w:rPr>
        <w:t>13</w:t>
      </w:r>
      <w:r w:rsidR="004C35DF">
        <w:rPr>
          <w:rFonts w:hint="eastAsia"/>
          <w:rtl/>
          <w:lang w:bidi="ar-SY"/>
        </w:rPr>
        <w:t> </w:t>
      </w:r>
      <w:r w:rsidRPr="00DD76C9">
        <w:rPr>
          <w:rFonts w:hint="cs"/>
          <w:rtl/>
          <w:lang w:bidi="ar-SY"/>
        </w:rPr>
        <w:t xml:space="preserve">أغسطس </w:t>
      </w:r>
      <w:r w:rsidRPr="00DD76C9">
        <w:t>2019</w:t>
      </w:r>
      <w:r w:rsidRPr="00DD76C9">
        <w:rPr>
          <w:rFonts w:hint="cs"/>
          <w:rtl/>
          <w:lang w:bidi="ar-SY"/>
        </w:rPr>
        <w:t>.</w:t>
      </w:r>
    </w:p>
    <w:p w14:paraId="116CADEC" w14:textId="058A2A3B" w:rsidR="00DD76C9" w:rsidRDefault="00DD76C9" w:rsidP="00DD76C9">
      <w:pPr>
        <w:rPr>
          <w:rtl/>
          <w:lang w:bidi="ar-EG"/>
        </w:rPr>
      </w:pPr>
      <w:r w:rsidRPr="00DD76C9">
        <w:rPr>
          <w:rFonts w:hint="cs"/>
          <w:rtl/>
          <w:lang w:bidi="ar-EG"/>
        </w:rPr>
        <w:t>وبالنظر إلى أحكام الفقرة </w:t>
      </w:r>
      <w:r w:rsidRPr="00DD76C9">
        <w:t>3.2.6.A2</w:t>
      </w:r>
      <w:r w:rsidRPr="00DD76C9">
        <w:rPr>
          <w:rFonts w:hint="cs"/>
          <w:rtl/>
          <w:lang w:bidi="ar-EG"/>
        </w:rPr>
        <w:t xml:space="preserve"> من القرار </w:t>
      </w:r>
      <w:r w:rsidRPr="00DD76C9">
        <w:rPr>
          <w:lang w:val="en-GB"/>
        </w:rPr>
        <w:t>ITU</w:t>
      </w:r>
      <w:r w:rsidRPr="00DD76C9">
        <w:rPr>
          <w:lang w:val="en-GB"/>
        </w:rPr>
        <w:noBreakHyphen/>
        <w:t>R 1</w:t>
      </w:r>
      <w:r w:rsidRPr="00DD76C9">
        <w:rPr>
          <w:lang w:val="en-GB"/>
        </w:rPr>
        <w:noBreakHyphen/>
        <w:t>7</w:t>
      </w:r>
      <w:r w:rsidRPr="00DD76C9">
        <w:rPr>
          <w:rFonts w:hint="cs"/>
          <w:rtl/>
          <w:lang w:bidi="ar-EG"/>
        </w:rPr>
        <w:t>، يرجى من الدول الأعضاء إبلاغ الأمانة </w:t>
      </w:r>
      <w:r w:rsidRPr="00DD76C9">
        <w:t>(</w:t>
      </w:r>
      <w:hyperlink r:id="rId10" w:history="1">
        <w:r w:rsidRPr="00DD76C9">
          <w:rPr>
            <w:rStyle w:val="Hyperlink"/>
            <w:rFonts w:ascii="Calibri" w:hAnsi="Calibri"/>
            <w:lang w:val="en-GB"/>
          </w:rPr>
          <w:t>brsgd@itu.int</w:t>
        </w:r>
      </w:hyperlink>
      <w:r w:rsidRPr="00DD76C9">
        <w:t>)</w:t>
      </w:r>
      <w:r w:rsidRPr="00DD76C9">
        <w:rPr>
          <w:rFonts w:hint="cs"/>
          <w:rtl/>
          <w:lang w:bidi="ar-EG"/>
        </w:rPr>
        <w:t xml:space="preserve"> في</w:t>
      </w:r>
      <w:r w:rsidRPr="00DD76C9">
        <w:rPr>
          <w:rFonts w:hint="eastAsia"/>
          <w:rtl/>
          <w:lang w:bidi="ar-EG"/>
        </w:rPr>
        <w:t> </w:t>
      </w:r>
      <w:r w:rsidRPr="00DD76C9">
        <w:rPr>
          <w:rFonts w:hint="cs"/>
          <w:rtl/>
          <w:lang w:bidi="ar-EG"/>
        </w:rPr>
        <w:t xml:space="preserve">موعد أقصاه </w:t>
      </w:r>
      <w:r w:rsidRPr="00DD76C9">
        <w:rPr>
          <w:u w:val="single"/>
          <w:lang w:bidi="ar-EG"/>
        </w:rPr>
        <w:t>21</w:t>
      </w:r>
      <w:r w:rsidRPr="00DD76C9">
        <w:rPr>
          <w:rFonts w:hint="cs"/>
          <w:u w:val="single"/>
          <w:rtl/>
          <w:lang w:bidi="ar-EG"/>
        </w:rPr>
        <w:t xml:space="preserve"> أكتوبر</w:t>
      </w:r>
      <w:r w:rsidRPr="00DD76C9">
        <w:rPr>
          <w:rFonts w:hint="eastAsia"/>
          <w:u w:val="single"/>
          <w:rtl/>
          <w:lang w:bidi="ar-EG"/>
        </w:rPr>
        <w:t> </w:t>
      </w:r>
      <w:r w:rsidRPr="00DD76C9">
        <w:rPr>
          <w:u w:val="single"/>
        </w:rPr>
        <w:t>2019</w:t>
      </w:r>
      <w:r w:rsidRPr="00DD76C9">
        <w:rPr>
          <w:rFonts w:hint="cs"/>
          <w:rtl/>
          <w:lang w:bidi="ar-EG"/>
        </w:rPr>
        <w:t xml:space="preserve"> بما إذا كانت توافق أم لا توافق على المقترح </w:t>
      </w:r>
      <w:r w:rsidR="004C35DF">
        <w:rPr>
          <w:rFonts w:hint="cs"/>
          <w:rtl/>
          <w:lang w:bidi="ar-EG"/>
        </w:rPr>
        <w:t>المذكور</w:t>
      </w:r>
      <w:r w:rsidRPr="00DD76C9">
        <w:rPr>
          <w:rFonts w:hint="cs"/>
          <w:rtl/>
          <w:lang w:bidi="ar-EG"/>
        </w:rPr>
        <w:t xml:space="preserve"> أعلاه.</w:t>
      </w:r>
    </w:p>
    <w:p w14:paraId="2082DE38" w14:textId="0E90574E" w:rsidR="00250C0A" w:rsidRPr="00DD76C9" w:rsidRDefault="00250C0A" w:rsidP="00DD76C9">
      <w:pPr>
        <w:rPr>
          <w:rtl/>
          <w:lang w:bidi="ar-EG"/>
        </w:rPr>
      </w:pPr>
      <w:r>
        <w:rPr>
          <w:rFonts w:hint="cs"/>
          <w:rtl/>
          <w:lang w:bidi="ar-EG"/>
        </w:rPr>
        <w:t>وبعد الموعد النهائي المحدد أعلاه، ستعلن نتائج هذا التشاور في رسالة إدارية معممة ثم تُنشر التوصية الموافَق عليها في</w:t>
      </w:r>
      <w:r w:rsidR="00EE5A0E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أقرب وقت</w:t>
      </w:r>
      <w:r w:rsidR="00EE5A0E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ممكن (انظر </w:t>
      </w:r>
      <w:hyperlink r:id="rId11" w:history="1">
        <w:r w:rsidRPr="00250C0A">
          <w:rPr>
            <w:rFonts w:cs="Calibri"/>
            <w:color w:val="0000FF"/>
            <w:sz w:val="24"/>
            <w:szCs w:val="22"/>
            <w:u w:val="single"/>
          </w:rPr>
          <w:t>http://www.itu.int/pub/R-REC</w:t>
        </w:r>
      </w:hyperlink>
      <w:r w:rsidRPr="00250C0A">
        <w:rPr>
          <w:rFonts w:cs="Calibri" w:hint="cs"/>
          <w:sz w:val="24"/>
          <w:szCs w:val="22"/>
          <w:rtl/>
          <w:lang w:bidi="ar-EG"/>
        </w:rPr>
        <w:t>)</w:t>
      </w:r>
      <w:r>
        <w:rPr>
          <w:rFonts w:cs="Calibri" w:hint="cs"/>
          <w:sz w:val="24"/>
          <w:szCs w:val="22"/>
          <w:rtl/>
          <w:lang w:bidi="ar-EG"/>
        </w:rPr>
        <w:t>.</w:t>
      </w:r>
    </w:p>
    <w:p w14:paraId="75C11E42" w14:textId="2F33F2F5" w:rsidR="00DD76C9" w:rsidRPr="00DD76C9" w:rsidRDefault="00DD76C9" w:rsidP="00DD76C9">
      <w:pPr>
        <w:pageBreakBefore/>
        <w:rPr>
          <w:rtl/>
        </w:rPr>
      </w:pPr>
      <w:r w:rsidRPr="00DD76C9">
        <w:rPr>
          <w:rtl/>
          <w:lang w:bidi="ar-EG"/>
        </w:rPr>
        <w:lastRenderedPageBreak/>
        <w:t xml:space="preserve">ويرجى من أي منظمة عضو في </w:t>
      </w:r>
      <w:r w:rsidR="00775A6F">
        <w:rPr>
          <w:rFonts w:hint="cs"/>
          <w:rtl/>
          <w:lang w:bidi="ar-EG"/>
        </w:rPr>
        <w:t>الاتحاد</w:t>
      </w:r>
      <w:r w:rsidRPr="00DD76C9">
        <w:rPr>
          <w:rtl/>
          <w:lang w:bidi="ar-EG"/>
        </w:rPr>
        <w:t xml:space="preserve"> تعلم بوجود براءة اختراع لديها أو لدى غيرها تغطي كلياً أو جزئياً عناصر </w:t>
      </w:r>
      <w:r w:rsidRPr="00DD76C9">
        <w:rPr>
          <w:rFonts w:hint="cs"/>
          <w:rtl/>
          <w:lang w:bidi="ar-EG"/>
        </w:rPr>
        <w:t>مشروع التوصية</w:t>
      </w:r>
      <w:r w:rsidRPr="00DD76C9">
        <w:rPr>
          <w:rtl/>
          <w:lang w:bidi="ar-EG"/>
        </w:rPr>
        <w:t xml:space="preserve"> </w:t>
      </w:r>
      <w:r w:rsidR="000910C2">
        <w:rPr>
          <w:rFonts w:hint="cs"/>
          <w:rtl/>
          <w:lang w:bidi="ar-EG"/>
        </w:rPr>
        <w:t>المذكورة</w:t>
      </w:r>
      <w:r w:rsidRPr="00DD76C9">
        <w:rPr>
          <w:rtl/>
          <w:lang w:bidi="ar-EG"/>
        </w:rPr>
        <w:t xml:space="preserve"> في هذه الرسالة أن تبلغ الأمانة بهذه </w:t>
      </w:r>
      <w:r w:rsidR="00775A6F">
        <w:rPr>
          <w:rFonts w:hint="cs"/>
          <w:rtl/>
          <w:lang w:bidi="ar-EG"/>
        </w:rPr>
        <w:t>المعلومات</w:t>
      </w:r>
      <w:r w:rsidRPr="00DD76C9">
        <w:rPr>
          <w:rtl/>
          <w:lang w:bidi="ar-EG"/>
        </w:rPr>
        <w:t xml:space="preserve"> بأسرع ما </w:t>
      </w:r>
      <w:r w:rsidR="00775A6F">
        <w:rPr>
          <w:rFonts w:hint="cs"/>
          <w:rtl/>
          <w:lang w:bidi="ar-EG"/>
        </w:rPr>
        <w:t>يمكن</w:t>
      </w:r>
      <w:r w:rsidRPr="00DD76C9">
        <w:rPr>
          <w:rtl/>
          <w:lang w:bidi="ar-EG"/>
        </w:rPr>
        <w:t xml:space="preserve">. </w:t>
      </w:r>
      <w:r w:rsidR="00775A6F">
        <w:rPr>
          <w:rFonts w:hint="cs"/>
          <w:rtl/>
          <w:lang w:bidi="ar-EG"/>
        </w:rPr>
        <w:t>ويمكن</w:t>
      </w:r>
      <w:r w:rsidRPr="00DD76C9">
        <w:rPr>
          <w:rtl/>
          <w:lang w:bidi="ar-EG"/>
        </w:rPr>
        <w:t xml:space="preserve"> الاطلاع على السياسة </w:t>
      </w:r>
      <w:r w:rsidR="000910C2">
        <w:rPr>
          <w:rFonts w:hint="cs"/>
          <w:rtl/>
          <w:lang w:bidi="ar-EG"/>
        </w:rPr>
        <w:t>المشتركة</w:t>
      </w:r>
      <w:r w:rsidRPr="00DD76C9">
        <w:rPr>
          <w:rtl/>
          <w:lang w:bidi="ar-EG"/>
        </w:rPr>
        <w:t xml:space="preserve"> للبراءات </w:t>
      </w:r>
      <w:r w:rsidRPr="00DD76C9">
        <w:rPr>
          <w:lang w:bidi="ar-EG"/>
        </w:rPr>
        <w:t>"ITU</w:t>
      </w:r>
      <w:r w:rsidRPr="00DD76C9">
        <w:rPr>
          <w:lang w:bidi="ar-EG"/>
        </w:rPr>
        <w:noBreakHyphen/>
        <w:t>T/ITU</w:t>
      </w:r>
      <w:r w:rsidRPr="00DD76C9">
        <w:rPr>
          <w:lang w:bidi="ar-EG"/>
        </w:rPr>
        <w:noBreakHyphen/>
        <w:t>R/ISO/IEC"</w:t>
      </w:r>
      <w:r w:rsidRPr="00DD76C9">
        <w:rPr>
          <w:rtl/>
          <w:lang w:bidi="ar-EG"/>
        </w:rPr>
        <w:t xml:space="preserve"> في </w:t>
      </w:r>
      <w:r w:rsidR="00775A6F">
        <w:rPr>
          <w:rFonts w:hint="cs"/>
          <w:rtl/>
          <w:lang w:bidi="ar-EG"/>
        </w:rPr>
        <w:t>الموقع</w:t>
      </w:r>
      <w:r w:rsidRPr="00DD76C9">
        <w:rPr>
          <w:rtl/>
          <w:lang w:bidi="ar-EG"/>
        </w:rPr>
        <w:t xml:space="preserve"> الإلكتروني</w:t>
      </w:r>
      <w:r w:rsidRPr="00DD76C9">
        <w:rPr>
          <w:rFonts w:hint="cs"/>
          <w:rtl/>
          <w:lang w:bidi="ar-EG"/>
        </w:rPr>
        <w:t xml:space="preserve">: </w:t>
      </w:r>
      <w:hyperlink r:id="rId12" w:history="1">
        <w:r w:rsidRPr="00DD76C9">
          <w:rPr>
            <w:rStyle w:val="Hyperlink"/>
            <w:rFonts w:ascii="Calibri" w:hAnsi="Calibri"/>
            <w:lang w:bidi="ar-EG"/>
          </w:rPr>
          <w:t>http://www.itu.int/en/ITU-T/ipr/Pages/policy.aspx</w:t>
        </w:r>
      </w:hyperlink>
      <w:r w:rsidRPr="00DD76C9">
        <w:rPr>
          <w:rtl/>
          <w:lang w:bidi="ar-EG"/>
        </w:rPr>
        <w:t>.</w:t>
      </w:r>
    </w:p>
    <w:p w14:paraId="0CB2C95C" w14:textId="77777777" w:rsidR="00DD76C9" w:rsidRPr="00DD76C9" w:rsidRDefault="00DD76C9" w:rsidP="00DD76C9">
      <w:pPr>
        <w:spacing w:before="240"/>
        <w:rPr>
          <w:rtl/>
        </w:rPr>
      </w:pPr>
      <w:r w:rsidRPr="00DD76C9">
        <w:rPr>
          <w:rFonts w:hint="cs"/>
          <w:rtl/>
          <w:lang w:bidi="ar-EG"/>
        </w:rPr>
        <w:t>وتفضلوا بقبول فائق التقدير والاحترام.</w:t>
      </w:r>
    </w:p>
    <w:p w14:paraId="41E379CE" w14:textId="00A8949B" w:rsidR="00DD76C9" w:rsidRPr="00DD76C9" w:rsidRDefault="00DD76C9" w:rsidP="00DD76C9">
      <w:pPr>
        <w:spacing w:before="1440"/>
        <w:jc w:val="left"/>
        <w:rPr>
          <w:rtl/>
        </w:rPr>
      </w:pPr>
      <w:r w:rsidRPr="00DD76C9">
        <w:rPr>
          <w:rFonts w:hint="cs"/>
          <w:rtl/>
        </w:rPr>
        <w:t>ماريو</w:t>
      </w:r>
      <w:r w:rsidR="00677238">
        <w:rPr>
          <w:rFonts w:hint="eastAsia"/>
          <w:rtl/>
        </w:rPr>
        <w:t> </w:t>
      </w:r>
      <w:r w:rsidRPr="00DD76C9">
        <w:rPr>
          <w:rFonts w:hint="cs"/>
          <w:rtl/>
        </w:rPr>
        <w:t>مانيفيتش</w:t>
      </w:r>
      <w:r w:rsidRPr="00DD76C9">
        <w:rPr>
          <w:rtl/>
        </w:rPr>
        <w:br/>
      </w:r>
      <w:r w:rsidR="000910C2">
        <w:rPr>
          <w:rFonts w:hint="cs"/>
          <w:rtl/>
        </w:rPr>
        <w:t>المدير</w:t>
      </w:r>
    </w:p>
    <w:p w14:paraId="4EC4B431" w14:textId="5C6C10D9" w:rsidR="00DD76C9" w:rsidRPr="00DD76C9" w:rsidRDefault="00DD76C9" w:rsidP="00DD76C9">
      <w:pPr>
        <w:spacing w:before="600"/>
        <w:jc w:val="left"/>
        <w:rPr>
          <w:rtl/>
        </w:rPr>
      </w:pPr>
      <w:r w:rsidRPr="00DD76C9">
        <w:rPr>
          <w:rFonts w:hint="cs"/>
          <w:b/>
          <w:bCs/>
          <w:rtl/>
          <w:lang w:bidi="ar-EG"/>
        </w:rPr>
        <w:t>الملحقات</w:t>
      </w:r>
      <w:r w:rsidRPr="00DD76C9">
        <w:rPr>
          <w:b/>
          <w:bCs/>
          <w:rtl/>
          <w:lang w:bidi="ar-EG"/>
        </w:rPr>
        <w:t>:</w:t>
      </w:r>
      <w:r w:rsidRPr="00DD76C9">
        <w:rPr>
          <w:rFonts w:hint="cs"/>
          <w:b/>
          <w:bCs/>
          <w:rtl/>
          <w:lang w:bidi="ar-EG"/>
        </w:rPr>
        <w:tab/>
      </w:r>
      <w:r w:rsidRPr="00DD76C9">
        <w:rPr>
          <w:rFonts w:hint="cs"/>
          <w:rtl/>
          <w:lang w:bidi="ar-EG"/>
        </w:rPr>
        <w:t>-</w:t>
      </w:r>
      <w:r w:rsidRPr="00DD76C9">
        <w:rPr>
          <w:rFonts w:hint="cs"/>
          <w:rtl/>
          <w:lang w:bidi="ar-EG"/>
        </w:rPr>
        <w:tab/>
        <w:t>عنوان مشروع التوصية وملخصها</w:t>
      </w:r>
      <w:r w:rsidRPr="00DD76C9">
        <w:rPr>
          <w:rtl/>
          <w:lang w:bidi="ar-EG"/>
        </w:rPr>
        <w:br/>
      </w:r>
      <w:r w:rsidRPr="00DD76C9">
        <w:rPr>
          <w:rtl/>
          <w:lang w:bidi="ar-EG"/>
        </w:rPr>
        <w:tab/>
      </w:r>
      <w:r w:rsidR="00F37655">
        <w:rPr>
          <w:rFonts w:hint="cs"/>
          <w:rtl/>
          <w:lang w:bidi="ar-EG"/>
        </w:rPr>
        <w:t>-</w:t>
      </w:r>
      <w:r w:rsidRPr="00DD76C9">
        <w:rPr>
          <w:rFonts w:hint="cs"/>
          <w:rtl/>
          <w:lang w:bidi="ar-EG"/>
        </w:rPr>
        <w:tab/>
        <w:t xml:space="preserve">الوثيقة </w:t>
      </w:r>
      <w:r w:rsidRPr="00DD76C9">
        <w:rPr>
          <w:lang w:bidi="ar-EG"/>
        </w:rPr>
        <w:t>3/108(Rev.1)</w:t>
      </w:r>
    </w:p>
    <w:p w14:paraId="6B41AC44" w14:textId="38CF490C" w:rsidR="00DD76C9" w:rsidRPr="00DD76C9" w:rsidRDefault="00DD76C9" w:rsidP="00DD76C9">
      <w:pPr>
        <w:spacing w:before="360"/>
        <w:jc w:val="left"/>
        <w:rPr>
          <w:rtl/>
        </w:rPr>
      </w:pPr>
      <w:r w:rsidRPr="00DD76C9">
        <w:rPr>
          <w:rFonts w:hint="cs"/>
          <w:rtl/>
        </w:rPr>
        <w:t>وتتاح نسخ</w:t>
      </w:r>
      <w:r w:rsidR="00843C88">
        <w:rPr>
          <w:rFonts w:hint="cs"/>
          <w:rtl/>
        </w:rPr>
        <w:t>ة</w:t>
      </w:r>
      <w:r w:rsidRPr="00DD76C9">
        <w:rPr>
          <w:rFonts w:hint="cs"/>
          <w:rtl/>
        </w:rPr>
        <w:t xml:space="preserve"> إلكترونية من هذه الوث</w:t>
      </w:r>
      <w:r w:rsidR="00843C88">
        <w:rPr>
          <w:rFonts w:hint="cs"/>
          <w:rtl/>
        </w:rPr>
        <w:t>يقة</w:t>
      </w:r>
      <w:r w:rsidRPr="00DD76C9">
        <w:rPr>
          <w:rFonts w:hint="cs"/>
          <w:rtl/>
        </w:rPr>
        <w:t xml:space="preserve"> في الموقع: </w:t>
      </w:r>
      <w:hyperlink r:id="rId13" w:history="1">
        <w:r w:rsidRPr="00DD76C9">
          <w:rPr>
            <w:rStyle w:val="Hyperlink"/>
            <w:rFonts w:ascii="Calibri" w:hAnsi="Calibri"/>
            <w:szCs w:val="24"/>
          </w:rPr>
          <w:t>https://www.itu.int/md/R15-SG03-C/en</w:t>
        </w:r>
      </w:hyperlink>
    </w:p>
    <w:p w14:paraId="517A9F31" w14:textId="77777777" w:rsidR="00DD76C9" w:rsidRPr="00DD76C9" w:rsidRDefault="00DD76C9" w:rsidP="00DD76C9">
      <w:pPr>
        <w:tabs>
          <w:tab w:val="left" w:pos="283"/>
        </w:tabs>
        <w:spacing w:before="4440"/>
        <w:jc w:val="left"/>
        <w:rPr>
          <w:sz w:val="16"/>
          <w:szCs w:val="22"/>
          <w:rtl/>
        </w:rPr>
      </w:pPr>
      <w:r w:rsidRPr="00DD76C9">
        <w:rPr>
          <w:b/>
          <w:bCs/>
          <w:sz w:val="16"/>
          <w:szCs w:val="22"/>
          <w:rtl/>
          <w:lang w:bidi="ar-EG"/>
        </w:rPr>
        <w:t>التوزيع</w:t>
      </w:r>
      <w:r w:rsidRPr="00DD76C9">
        <w:rPr>
          <w:sz w:val="16"/>
          <w:szCs w:val="22"/>
          <w:rtl/>
          <w:lang w:bidi="ar-EG"/>
        </w:rPr>
        <w:t>:</w:t>
      </w:r>
    </w:p>
    <w:p w14:paraId="683A099E" w14:textId="73847517" w:rsidR="00DD76C9" w:rsidRPr="00DD76C9" w:rsidRDefault="00DD76C9" w:rsidP="00DD76C9">
      <w:pPr>
        <w:tabs>
          <w:tab w:val="left" w:pos="425"/>
        </w:tabs>
        <w:spacing w:before="60" w:line="180" w:lineRule="auto"/>
        <w:rPr>
          <w:sz w:val="18"/>
          <w:szCs w:val="24"/>
          <w:rtl/>
          <w:lang w:val="fr-CH" w:bidi="ar-EG"/>
        </w:rPr>
      </w:pPr>
      <w:r w:rsidRPr="00DD76C9">
        <w:rPr>
          <w:rFonts w:hint="cs"/>
          <w:sz w:val="18"/>
          <w:szCs w:val="24"/>
          <w:rtl/>
          <w:lang w:bidi="ar-EG"/>
        </w:rPr>
        <w:t>-</w:t>
      </w:r>
      <w:r w:rsidRPr="00DD76C9">
        <w:rPr>
          <w:rFonts w:hint="cs"/>
          <w:sz w:val="18"/>
          <w:szCs w:val="24"/>
          <w:rtl/>
          <w:lang w:bidi="ar-EG"/>
        </w:rPr>
        <w:tab/>
      </w:r>
      <w:r w:rsidRPr="00DD76C9">
        <w:rPr>
          <w:sz w:val="18"/>
          <w:szCs w:val="24"/>
          <w:rtl/>
          <w:lang w:bidi="ar-EG"/>
        </w:rPr>
        <w:t>إدارات الدول الأعضاء</w:t>
      </w:r>
      <w:r w:rsidRPr="00DD76C9">
        <w:rPr>
          <w:rFonts w:hint="cs"/>
          <w:sz w:val="18"/>
          <w:szCs w:val="24"/>
          <w:rtl/>
          <w:lang w:bidi="ar-EG"/>
        </w:rPr>
        <w:t xml:space="preserve"> في </w:t>
      </w:r>
      <w:r w:rsidR="006145E8">
        <w:rPr>
          <w:rFonts w:hint="cs"/>
          <w:sz w:val="18"/>
          <w:szCs w:val="24"/>
          <w:rtl/>
          <w:lang w:bidi="ar-EG"/>
        </w:rPr>
        <w:t>الاتحاد</w:t>
      </w:r>
      <w:r w:rsidRPr="00DD76C9">
        <w:rPr>
          <w:sz w:val="18"/>
          <w:szCs w:val="24"/>
          <w:rtl/>
          <w:lang w:bidi="ar-EG"/>
        </w:rPr>
        <w:t xml:space="preserve"> وأعضاء قطاع الاتصالات الراديوية</w:t>
      </w:r>
      <w:r w:rsidRPr="00DD76C9">
        <w:rPr>
          <w:rFonts w:hint="cs"/>
          <w:sz w:val="18"/>
          <w:szCs w:val="24"/>
          <w:rtl/>
          <w:lang w:bidi="ar-EG"/>
        </w:rPr>
        <w:t xml:space="preserve"> </w:t>
      </w:r>
      <w:r w:rsidR="006145E8">
        <w:rPr>
          <w:rFonts w:hint="cs"/>
          <w:sz w:val="18"/>
          <w:szCs w:val="24"/>
          <w:rtl/>
          <w:lang w:bidi="ar-EG"/>
        </w:rPr>
        <w:t>المشاركون</w:t>
      </w:r>
      <w:r w:rsidRPr="00DD76C9">
        <w:rPr>
          <w:rFonts w:hint="cs"/>
          <w:sz w:val="18"/>
          <w:szCs w:val="24"/>
          <w:rtl/>
          <w:lang w:bidi="ar-EG"/>
        </w:rPr>
        <w:t xml:space="preserve"> في أعمال </w:t>
      </w:r>
      <w:r w:rsidR="006145E8">
        <w:rPr>
          <w:rFonts w:hint="cs"/>
          <w:sz w:val="18"/>
          <w:szCs w:val="24"/>
          <w:rtl/>
          <w:lang w:bidi="ar-EG"/>
        </w:rPr>
        <w:t>لجنة</w:t>
      </w:r>
      <w:r w:rsidRPr="00DD76C9">
        <w:rPr>
          <w:rFonts w:hint="cs"/>
          <w:sz w:val="18"/>
          <w:szCs w:val="24"/>
          <w:rtl/>
          <w:lang w:bidi="ar-EG"/>
        </w:rPr>
        <w:t xml:space="preserve"> الدراسات </w:t>
      </w:r>
      <w:r w:rsidRPr="00DD76C9">
        <w:rPr>
          <w:sz w:val="18"/>
          <w:szCs w:val="24"/>
          <w:lang w:val="fr-CH" w:bidi="ar-EG"/>
        </w:rPr>
        <w:t>3</w:t>
      </w:r>
      <w:r w:rsidRPr="00DD76C9">
        <w:rPr>
          <w:rFonts w:hint="cs"/>
          <w:sz w:val="18"/>
          <w:szCs w:val="24"/>
          <w:rtl/>
          <w:lang w:bidi="ar-EG"/>
        </w:rPr>
        <w:t xml:space="preserve"> للاتصالات الراديوية</w:t>
      </w:r>
    </w:p>
    <w:p w14:paraId="158FE50B" w14:textId="47B97646" w:rsidR="00DD76C9" w:rsidRPr="00DD76C9" w:rsidRDefault="00DD76C9" w:rsidP="00DD76C9">
      <w:pPr>
        <w:tabs>
          <w:tab w:val="left" w:pos="425"/>
        </w:tabs>
        <w:spacing w:before="20" w:line="180" w:lineRule="auto"/>
        <w:rPr>
          <w:sz w:val="18"/>
          <w:szCs w:val="24"/>
          <w:rtl/>
          <w:lang w:bidi="ar-EG"/>
        </w:rPr>
      </w:pPr>
      <w:r w:rsidRPr="00DD76C9">
        <w:rPr>
          <w:sz w:val="18"/>
          <w:szCs w:val="24"/>
          <w:rtl/>
          <w:lang w:bidi="ar-EG"/>
        </w:rPr>
        <w:t>-</w:t>
      </w:r>
      <w:r w:rsidRPr="00DD76C9">
        <w:rPr>
          <w:sz w:val="18"/>
          <w:szCs w:val="24"/>
          <w:rtl/>
          <w:lang w:bidi="ar-EG"/>
        </w:rPr>
        <w:tab/>
      </w:r>
      <w:r w:rsidR="006145E8">
        <w:rPr>
          <w:rFonts w:hint="cs"/>
          <w:sz w:val="18"/>
          <w:szCs w:val="24"/>
          <w:rtl/>
          <w:lang w:bidi="ar-EG"/>
        </w:rPr>
        <w:t>المنتسبون</w:t>
      </w:r>
      <w:r w:rsidRPr="00DD76C9">
        <w:rPr>
          <w:sz w:val="18"/>
          <w:szCs w:val="24"/>
          <w:rtl/>
          <w:lang w:bidi="ar-EG"/>
        </w:rPr>
        <w:t xml:space="preserve"> إلى قطاع الاتصالات الراديوية </w:t>
      </w:r>
      <w:r w:rsidR="00FC0BA9">
        <w:rPr>
          <w:rFonts w:hint="cs"/>
          <w:sz w:val="18"/>
          <w:szCs w:val="24"/>
          <w:rtl/>
          <w:lang w:bidi="ar-EG"/>
        </w:rPr>
        <w:t>المشاركون</w:t>
      </w:r>
      <w:r w:rsidRPr="00DD76C9">
        <w:rPr>
          <w:sz w:val="18"/>
          <w:szCs w:val="24"/>
          <w:rtl/>
          <w:lang w:bidi="ar-EG"/>
        </w:rPr>
        <w:t xml:space="preserve"> في أعمال </w:t>
      </w:r>
      <w:r w:rsidR="006145E8">
        <w:rPr>
          <w:rFonts w:hint="cs"/>
          <w:sz w:val="18"/>
          <w:szCs w:val="24"/>
          <w:rtl/>
          <w:lang w:bidi="ar-EG"/>
        </w:rPr>
        <w:t>لجنة</w:t>
      </w:r>
      <w:r w:rsidRPr="00DD76C9">
        <w:rPr>
          <w:sz w:val="18"/>
          <w:szCs w:val="24"/>
          <w:rtl/>
          <w:lang w:bidi="ar-EG"/>
        </w:rPr>
        <w:t xml:space="preserve"> الدراسات </w:t>
      </w:r>
      <w:r w:rsidRPr="00DD76C9">
        <w:rPr>
          <w:sz w:val="18"/>
          <w:szCs w:val="24"/>
          <w:lang w:bidi="ar-EG"/>
        </w:rPr>
        <w:t>3</w:t>
      </w:r>
      <w:r w:rsidRPr="00DD76C9">
        <w:rPr>
          <w:sz w:val="18"/>
          <w:szCs w:val="24"/>
          <w:rtl/>
          <w:lang w:bidi="ar-EG"/>
        </w:rPr>
        <w:t xml:space="preserve"> للاتصالات الراديوية</w:t>
      </w:r>
    </w:p>
    <w:p w14:paraId="4C528706" w14:textId="6B375E89" w:rsidR="00DD76C9" w:rsidRPr="00DD76C9" w:rsidRDefault="00DD76C9" w:rsidP="00DD76C9">
      <w:pPr>
        <w:tabs>
          <w:tab w:val="left" w:pos="425"/>
        </w:tabs>
        <w:spacing w:before="20" w:line="180" w:lineRule="auto"/>
        <w:rPr>
          <w:sz w:val="18"/>
          <w:szCs w:val="24"/>
          <w:rtl/>
          <w:lang w:bidi="ar-EG"/>
        </w:rPr>
      </w:pPr>
      <w:r w:rsidRPr="00DD76C9">
        <w:rPr>
          <w:rFonts w:hint="cs"/>
          <w:sz w:val="18"/>
          <w:szCs w:val="24"/>
          <w:rtl/>
          <w:lang w:bidi="ar-EG"/>
        </w:rPr>
        <w:t>-</w:t>
      </w:r>
      <w:r w:rsidRPr="00DD76C9">
        <w:rPr>
          <w:rFonts w:hint="cs"/>
          <w:sz w:val="18"/>
          <w:szCs w:val="24"/>
          <w:rtl/>
          <w:lang w:bidi="ar-EG"/>
        </w:rPr>
        <w:tab/>
      </w:r>
      <w:r w:rsidRPr="00DD76C9">
        <w:rPr>
          <w:rFonts w:hint="cs"/>
          <w:sz w:val="18"/>
          <w:szCs w:val="24"/>
          <w:rtl/>
        </w:rPr>
        <w:t xml:space="preserve">الهيئات </w:t>
      </w:r>
      <w:r w:rsidR="006145E8">
        <w:rPr>
          <w:rFonts w:hint="cs"/>
          <w:sz w:val="18"/>
          <w:szCs w:val="24"/>
          <w:rtl/>
        </w:rPr>
        <w:t>الأكاديمية المنضمة</w:t>
      </w:r>
      <w:r w:rsidRPr="00DD76C9">
        <w:rPr>
          <w:rFonts w:hint="cs"/>
          <w:sz w:val="18"/>
          <w:szCs w:val="24"/>
          <w:rtl/>
        </w:rPr>
        <w:t xml:space="preserve"> إلى </w:t>
      </w:r>
      <w:r w:rsidR="006145E8">
        <w:rPr>
          <w:rFonts w:hint="cs"/>
          <w:sz w:val="18"/>
          <w:szCs w:val="24"/>
          <w:rtl/>
        </w:rPr>
        <w:t>الاتحاد</w:t>
      </w:r>
    </w:p>
    <w:p w14:paraId="1512DB95" w14:textId="40A6D0F7" w:rsidR="00DD76C9" w:rsidRPr="00DD76C9" w:rsidRDefault="00DD76C9" w:rsidP="00DD76C9">
      <w:pPr>
        <w:tabs>
          <w:tab w:val="left" w:pos="425"/>
        </w:tabs>
        <w:spacing w:before="20" w:line="180" w:lineRule="auto"/>
        <w:rPr>
          <w:sz w:val="18"/>
          <w:szCs w:val="24"/>
          <w:rtl/>
          <w:lang w:bidi="ar-EG"/>
        </w:rPr>
      </w:pPr>
      <w:r w:rsidRPr="00DD76C9">
        <w:rPr>
          <w:sz w:val="18"/>
          <w:szCs w:val="24"/>
          <w:rtl/>
          <w:lang w:bidi="ar-EG"/>
        </w:rPr>
        <w:t>-</w:t>
      </w:r>
      <w:r w:rsidRPr="00DD76C9">
        <w:rPr>
          <w:sz w:val="18"/>
          <w:szCs w:val="24"/>
          <w:rtl/>
          <w:lang w:bidi="ar-EG"/>
        </w:rPr>
        <w:tab/>
        <w:t xml:space="preserve">رؤساء </w:t>
      </w:r>
      <w:r w:rsidR="006145E8">
        <w:rPr>
          <w:rFonts w:hint="cs"/>
          <w:sz w:val="18"/>
          <w:szCs w:val="24"/>
          <w:rtl/>
          <w:lang w:bidi="ar-EG"/>
        </w:rPr>
        <w:t>لجان</w:t>
      </w:r>
      <w:r w:rsidRPr="00DD76C9">
        <w:rPr>
          <w:sz w:val="18"/>
          <w:szCs w:val="24"/>
          <w:rtl/>
          <w:lang w:bidi="ar-EG"/>
        </w:rPr>
        <w:t xml:space="preserve"> دراسات الاتصالات الراديوية ونوابهم</w:t>
      </w:r>
    </w:p>
    <w:p w14:paraId="0F7E93E9" w14:textId="03BEF236" w:rsidR="00DD76C9" w:rsidRPr="00DD76C9" w:rsidRDefault="00DD76C9" w:rsidP="00DD76C9">
      <w:pPr>
        <w:tabs>
          <w:tab w:val="left" w:pos="425"/>
        </w:tabs>
        <w:spacing w:before="20" w:line="180" w:lineRule="auto"/>
        <w:rPr>
          <w:sz w:val="18"/>
          <w:szCs w:val="24"/>
          <w:rtl/>
          <w:lang w:bidi="ar-EG"/>
        </w:rPr>
      </w:pPr>
      <w:r w:rsidRPr="00DD76C9">
        <w:rPr>
          <w:sz w:val="18"/>
          <w:szCs w:val="24"/>
          <w:rtl/>
          <w:lang w:bidi="ar-EG"/>
        </w:rPr>
        <w:t>-</w:t>
      </w:r>
      <w:r w:rsidRPr="00DD76C9">
        <w:rPr>
          <w:sz w:val="18"/>
          <w:szCs w:val="24"/>
          <w:rtl/>
          <w:lang w:bidi="ar-EG"/>
        </w:rPr>
        <w:tab/>
        <w:t xml:space="preserve">رئيس الاجتماع التحضيري </w:t>
      </w:r>
      <w:r w:rsidR="006145E8">
        <w:rPr>
          <w:rFonts w:hint="cs"/>
          <w:sz w:val="18"/>
          <w:szCs w:val="24"/>
          <w:rtl/>
          <w:lang w:bidi="ar-EG"/>
        </w:rPr>
        <w:t>للمؤتمر</w:t>
      </w:r>
      <w:r w:rsidRPr="00DD76C9">
        <w:rPr>
          <w:sz w:val="18"/>
          <w:szCs w:val="24"/>
          <w:rtl/>
          <w:lang w:bidi="ar-EG"/>
        </w:rPr>
        <w:t xml:space="preserve"> ونوابه</w:t>
      </w:r>
    </w:p>
    <w:p w14:paraId="05FD0EA4" w14:textId="0F4D965D" w:rsidR="00DD76C9" w:rsidRPr="00DD76C9" w:rsidRDefault="00DD76C9" w:rsidP="00DD76C9">
      <w:pPr>
        <w:tabs>
          <w:tab w:val="left" w:pos="425"/>
        </w:tabs>
        <w:spacing w:before="20" w:line="180" w:lineRule="auto"/>
        <w:rPr>
          <w:sz w:val="18"/>
          <w:szCs w:val="24"/>
          <w:rtl/>
          <w:lang w:bidi="ar-EG"/>
        </w:rPr>
      </w:pPr>
      <w:r w:rsidRPr="00DD76C9">
        <w:rPr>
          <w:sz w:val="18"/>
          <w:szCs w:val="24"/>
          <w:rtl/>
          <w:lang w:bidi="ar-EG"/>
        </w:rPr>
        <w:t>-</w:t>
      </w:r>
      <w:r w:rsidRPr="00DD76C9">
        <w:rPr>
          <w:sz w:val="18"/>
          <w:szCs w:val="24"/>
          <w:rtl/>
          <w:lang w:bidi="ar-EG"/>
        </w:rPr>
        <w:tab/>
        <w:t xml:space="preserve">أعضاء </w:t>
      </w:r>
      <w:r w:rsidR="006145E8">
        <w:rPr>
          <w:rFonts w:hint="cs"/>
          <w:sz w:val="18"/>
          <w:szCs w:val="24"/>
          <w:rtl/>
          <w:lang w:bidi="ar-EG"/>
        </w:rPr>
        <w:t>لجنة</w:t>
      </w:r>
      <w:r w:rsidRPr="00DD76C9">
        <w:rPr>
          <w:sz w:val="18"/>
          <w:szCs w:val="24"/>
          <w:rtl/>
          <w:lang w:bidi="ar-EG"/>
        </w:rPr>
        <w:t xml:space="preserve"> لوائح الراديو</w:t>
      </w:r>
    </w:p>
    <w:p w14:paraId="79E49867" w14:textId="6E98655D" w:rsidR="00AF70F6" w:rsidRPr="00DD76C9" w:rsidRDefault="00DD76C9" w:rsidP="00DD76C9">
      <w:pPr>
        <w:tabs>
          <w:tab w:val="left" w:pos="425"/>
        </w:tabs>
        <w:spacing w:before="20" w:line="180" w:lineRule="auto"/>
        <w:rPr>
          <w:sz w:val="16"/>
          <w:szCs w:val="22"/>
          <w:rtl/>
          <w:lang w:bidi="ar-EG"/>
        </w:rPr>
      </w:pPr>
      <w:r w:rsidRPr="00DD76C9">
        <w:rPr>
          <w:sz w:val="18"/>
          <w:szCs w:val="24"/>
          <w:rtl/>
          <w:lang w:bidi="ar-EG"/>
        </w:rPr>
        <w:t>-</w:t>
      </w:r>
      <w:r w:rsidRPr="00DD76C9">
        <w:rPr>
          <w:sz w:val="18"/>
          <w:szCs w:val="24"/>
          <w:rtl/>
          <w:lang w:bidi="ar-EG"/>
        </w:rPr>
        <w:tab/>
        <w:t xml:space="preserve">الأمين العام </w:t>
      </w:r>
      <w:r w:rsidR="006145E8">
        <w:rPr>
          <w:rFonts w:hint="cs"/>
          <w:sz w:val="18"/>
          <w:szCs w:val="24"/>
          <w:rtl/>
          <w:lang w:bidi="ar-EG"/>
        </w:rPr>
        <w:t>للاتحاد</w:t>
      </w:r>
      <w:r w:rsidRPr="00DD76C9">
        <w:rPr>
          <w:sz w:val="18"/>
          <w:szCs w:val="24"/>
          <w:rtl/>
          <w:lang w:bidi="ar-EG"/>
        </w:rPr>
        <w:t xml:space="preserve"> ومدير مكتب تقييس الاتصالات ومدير</w:t>
      </w:r>
      <w:r w:rsidR="006145E8">
        <w:rPr>
          <w:rFonts w:hint="cs"/>
          <w:sz w:val="18"/>
          <w:szCs w:val="24"/>
          <w:rtl/>
          <w:lang w:bidi="ar-EG"/>
        </w:rPr>
        <w:t>ة</w:t>
      </w:r>
      <w:r w:rsidRPr="00DD76C9">
        <w:rPr>
          <w:sz w:val="18"/>
          <w:szCs w:val="24"/>
          <w:rtl/>
          <w:lang w:bidi="ar-EG"/>
        </w:rPr>
        <w:t xml:space="preserve"> مكتب تنمية الاتصالات</w:t>
      </w:r>
    </w:p>
    <w:p w14:paraId="51B7AC31" w14:textId="77777777" w:rsidR="00AF70F6" w:rsidRDefault="00AF70F6">
      <w:pPr>
        <w:tabs>
          <w:tab w:val="clear" w:pos="1134"/>
        </w:tabs>
        <w:bidi w:val="0"/>
        <w:spacing w:before="0" w:after="160" w:line="259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14:paraId="09648E20" w14:textId="6103F54C" w:rsidR="00DD76C9" w:rsidRPr="00EC2577" w:rsidRDefault="007045CA" w:rsidP="00DD76C9">
      <w:pPr>
        <w:pStyle w:val="AnnexNo0"/>
        <w:rPr>
          <w:lang w:bidi="ar-EG"/>
        </w:rPr>
      </w:pPr>
      <w:r>
        <w:rPr>
          <w:rFonts w:hint="cs"/>
          <w:rtl/>
        </w:rPr>
        <w:lastRenderedPageBreak/>
        <w:t>الملحق</w:t>
      </w:r>
    </w:p>
    <w:p w14:paraId="71AD249C" w14:textId="37A6C955" w:rsidR="00DD76C9" w:rsidRPr="00EC2577" w:rsidRDefault="002765A2" w:rsidP="00DD76C9">
      <w:pPr>
        <w:pStyle w:val="Annextitle0"/>
        <w:rPr>
          <w:rtl/>
        </w:rPr>
      </w:pPr>
      <w:r>
        <w:rPr>
          <w:rFonts w:hint="cs"/>
          <w:rtl/>
        </w:rPr>
        <w:t>عنوان</w:t>
      </w:r>
      <w:r w:rsidR="00DD76C9" w:rsidRPr="00EC2577">
        <w:rPr>
          <w:rFonts w:hint="cs"/>
          <w:rtl/>
        </w:rPr>
        <w:t xml:space="preserve"> </w:t>
      </w:r>
      <w:r w:rsidR="00DD76C9">
        <w:rPr>
          <w:rFonts w:hint="cs"/>
          <w:rtl/>
        </w:rPr>
        <w:t>مشروع التوصية</w:t>
      </w:r>
      <w:r w:rsidR="00DD76C9" w:rsidRPr="00EC2577">
        <w:rPr>
          <w:rFonts w:hint="cs"/>
          <w:rtl/>
        </w:rPr>
        <w:t xml:space="preserve"> التي اعتمدتها لجنة الدراسات </w:t>
      </w:r>
      <w:r w:rsidR="00DD76C9">
        <w:rPr>
          <w:lang w:val="en-GB"/>
        </w:rPr>
        <w:t>3</w:t>
      </w:r>
      <w:r w:rsidR="00DD76C9" w:rsidRPr="00EC2577">
        <w:rPr>
          <w:rtl/>
          <w:lang w:bidi="ar-EG"/>
        </w:rPr>
        <w:br/>
      </w:r>
      <w:r w:rsidR="00DD76C9" w:rsidRPr="00EC2577">
        <w:rPr>
          <w:rFonts w:hint="cs"/>
          <w:rtl/>
          <w:lang w:bidi="ar-EG"/>
        </w:rPr>
        <w:t xml:space="preserve">للاتصالات الراديوية </w:t>
      </w:r>
      <w:r w:rsidR="00DD76C9" w:rsidRPr="00EC2577">
        <w:rPr>
          <w:rFonts w:hint="cs"/>
          <w:rtl/>
        </w:rPr>
        <w:t>وملخص</w:t>
      </w:r>
      <w:r w:rsidR="00DD76C9">
        <w:rPr>
          <w:rFonts w:hint="cs"/>
          <w:rtl/>
        </w:rPr>
        <w:t>ه</w:t>
      </w:r>
      <w:r w:rsidR="00DD76C9" w:rsidRPr="00EC2577">
        <w:rPr>
          <w:rFonts w:hint="cs"/>
          <w:rtl/>
        </w:rPr>
        <w:t>ا</w:t>
      </w:r>
    </w:p>
    <w:p w14:paraId="1A625D59" w14:textId="3D90D971" w:rsidR="00DD76C9" w:rsidRPr="00AF5EE1" w:rsidRDefault="00DD76C9" w:rsidP="00DD76C9">
      <w:pPr>
        <w:tabs>
          <w:tab w:val="right" w:pos="9639"/>
        </w:tabs>
      </w:pPr>
      <w:r w:rsidRPr="00AF5EE1">
        <w:rPr>
          <w:rFonts w:hint="cs"/>
          <w:u w:val="single"/>
          <w:rtl/>
        </w:rPr>
        <w:t>مشروع</w:t>
      </w:r>
      <w:r w:rsidRPr="00AF5EE1">
        <w:rPr>
          <w:rFonts w:hint="cs"/>
          <w:u w:val="single"/>
          <w:rtl/>
          <w:lang w:bidi="ar-SY"/>
        </w:rPr>
        <w:t xml:space="preserve"> مراجعة التوصية </w:t>
      </w:r>
      <w:r w:rsidRPr="00AF5EE1">
        <w:rPr>
          <w:u w:val="single"/>
        </w:rPr>
        <w:t>ITU-R P.526-14</w:t>
      </w:r>
      <w:r w:rsidRPr="00AF5EE1">
        <w:rPr>
          <w:rFonts w:hint="cs"/>
          <w:rtl/>
          <w:lang w:bidi="ar-EG"/>
        </w:rPr>
        <w:tab/>
        <w:t xml:space="preserve">الوثيقة </w:t>
      </w:r>
      <w:hyperlink r:id="rId14" w:history="1">
        <w:r w:rsidRPr="00AF5EE1">
          <w:rPr>
            <w:rStyle w:val="Hyperlink"/>
            <w:rFonts w:ascii="Calibri" w:hAnsi="Calibri"/>
          </w:rPr>
          <w:t>3/108(Rev.1)</w:t>
        </w:r>
      </w:hyperlink>
    </w:p>
    <w:p w14:paraId="4AA3EFBB" w14:textId="77777777" w:rsidR="00DD76C9" w:rsidRDefault="00DD76C9" w:rsidP="00063D53">
      <w:pPr>
        <w:pStyle w:val="Rectitle"/>
        <w:spacing w:before="240" w:after="240"/>
        <w:rPr>
          <w:rtl/>
          <w:lang w:bidi="ar-EG"/>
        </w:rPr>
      </w:pPr>
      <w:r>
        <w:rPr>
          <w:rFonts w:hint="cs"/>
          <w:rtl/>
        </w:rPr>
        <w:t>الانتشار بالانعراج</w:t>
      </w:r>
    </w:p>
    <w:p w14:paraId="7CB48E32" w14:textId="36709968" w:rsidR="00DD76C9" w:rsidRDefault="00DD76C9" w:rsidP="00063D53">
      <w:pPr>
        <w:spacing w:before="240"/>
        <w:rPr>
          <w:rtl/>
          <w:lang w:bidi="ar-EG"/>
        </w:rPr>
      </w:pPr>
      <w:r>
        <w:rPr>
          <w:rFonts w:hint="cs"/>
          <w:rtl/>
          <w:lang w:bidi="ar-EG"/>
        </w:rPr>
        <w:t xml:space="preserve">يرد في الشكل </w:t>
      </w:r>
      <w:r>
        <w:rPr>
          <w:lang w:bidi="ar-EG"/>
        </w:rPr>
        <w:t>9</w:t>
      </w:r>
      <w:r>
        <w:rPr>
          <w:rFonts w:hint="cs"/>
          <w:rtl/>
          <w:lang w:bidi="ar-EG"/>
        </w:rPr>
        <w:t xml:space="preserve"> من التوصية </w:t>
      </w:r>
      <w:r>
        <w:rPr>
          <w:lang w:bidi="ar-EG"/>
        </w:rPr>
        <w:t>ITU-R P.526-14</w:t>
      </w:r>
      <w:r>
        <w:rPr>
          <w:rFonts w:hint="cs"/>
          <w:rtl/>
          <w:lang w:bidi="ar-EG"/>
        </w:rPr>
        <w:t xml:space="preserve"> </w:t>
      </w:r>
      <w:r w:rsidRPr="00C43E6C">
        <w:rPr>
          <w:rtl/>
          <w:lang w:bidi="ar-EG"/>
        </w:rPr>
        <w:t xml:space="preserve">مخطط </w:t>
      </w:r>
      <w:r w:rsidR="002765A2">
        <w:rPr>
          <w:rFonts w:hint="cs"/>
          <w:rtl/>
          <w:lang w:bidi="ar-EG"/>
        </w:rPr>
        <w:t>الخسارة على حافة كحد</w:t>
      </w:r>
      <w:r w:rsidRPr="00C43E6C">
        <w:rPr>
          <w:rtl/>
          <w:lang w:bidi="ar-EG"/>
        </w:rPr>
        <w:t xml:space="preserve"> </w:t>
      </w:r>
      <w:r>
        <w:rPr>
          <w:rtl/>
          <w:lang w:bidi="ar-EG"/>
        </w:rPr>
        <w:t>السكين كدالة لمعلمة الانعراج</w:t>
      </w:r>
      <w:r w:rsidRPr="00C43E6C">
        <w:rPr>
          <w:rtl/>
          <w:lang w:bidi="ar-EG"/>
        </w:rPr>
        <w:t>، لكن دقة المخطط في</w:t>
      </w:r>
      <w:r>
        <w:rPr>
          <w:rFonts w:hint="cs"/>
          <w:rtl/>
          <w:lang w:bidi="ar-EG"/>
        </w:rPr>
        <w:t> </w:t>
      </w:r>
      <w:r w:rsidRPr="00C43E6C">
        <w:rPr>
          <w:rtl/>
          <w:lang w:bidi="ar-EG"/>
        </w:rPr>
        <w:t>التوصية الحالية رديئة للغاية.</w:t>
      </w:r>
      <w:r>
        <w:rPr>
          <w:rFonts w:hint="cs"/>
          <w:rtl/>
          <w:lang w:bidi="ar-EG"/>
        </w:rPr>
        <w:t xml:space="preserve"> وتُقترح مراجَعة هذا الشكل توخياً لتحسين الدقة</w:t>
      </w:r>
      <w:r w:rsidRPr="00952B7A">
        <w:rPr>
          <w:rtl/>
          <w:lang w:bidi="ar-EG"/>
        </w:rPr>
        <w:t>.</w:t>
      </w:r>
    </w:p>
    <w:p w14:paraId="35BFFFE9" w14:textId="77777777" w:rsidR="00DD76C9" w:rsidRPr="008D3F8E" w:rsidRDefault="00DD76C9" w:rsidP="00DD76C9">
      <w:pPr>
        <w:spacing w:before="600"/>
        <w:jc w:val="center"/>
        <w:rPr>
          <w:rtl/>
        </w:rPr>
      </w:pPr>
      <w:r>
        <w:rPr>
          <w:rtl/>
        </w:rPr>
        <w:t>___________</w:t>
      </w:r>
    </w:p>
    <w:sectPr w:rsidR="00DD76C9" w:rsidRPr="008D3F8E" w:rsidSect="008B5B5D">
      <w:headerReference w:type="default" r:id="rId15"/>
      <w:headerReference w:type="first" r:id="rId16"/>
      <w:footerReference w:type="first" r:id="rId1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85A235" w14:textId="77777777" w:rsidR="003B5883" w:rsidRDefault="003B5883" w:rsidP="00E07379">
      <w:pPr>
        <w:spacing w:before="0" w:line="240" w:lineRule="auto"/>
      </w:pPr>
      <w:r>
        <w:separator/>
      </w:r>
    </w:p>
  </w:endnote>
  <w:endnote w:type="continuationSeparator" w:id="0">
    <w:p w14:paraId="4E8C0654" w14:textId="77777777" w:rsidR="003B5883" w:rsidRDefault="003B5883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35D70" w14:textId="77777777" w:rsidR="00783A16" w:rsidRPr="00783A16" w:rsidRDefault="00783A16" w:rsidP="009D6BA4">
    <w:pPr>
      <w:tabs>
        <w:tab w:val="clear" w:pos="1134"/>
      </w:tabs>
      <w:bidi w:val="0"/>
      <w:spacing w:before="40" w:line="240" w:lineRule="auto"/>
      <w:ind w:left="-397" w:right="-397"/>
      <w:jc w:val="center"/>
      <w:rPr>
        <w:rFonts w:cs="Calibri"/>
        <w:sz w:val="18"/>
        <w:szCs w:val="18"/>
      </w:rPr>
    </w:pPr>
    <w:r w:rsidRPr="00783A16">
      <w:rPr>
        <w:rFonts w:cs="Calibri"/>
        <w:sz w:val="18"/>
        <w:szCs w:val="18"/>
      </w:rPr>
      <w:t>International Telecommunication Union • Place des Nations • CH</w:t>
    </w:r>
    <w:r w:rsidRPr="00783A16">
      <w:rPr>
        <w:rFonts w:cs="Calibri"/>
        <w:sz w:val="18"/>
        <w:szCs w:val="18"/>
      </w:rPr>
      <w:noBreakHyphen/>
      <w:t xml:space="preserve">1211 Geneva 20 • Switzerland </w:t>
    </w:r>
    <w:r w:rsidRPr="00783A16">
      <w:rPr>
        <w:rFonts w:cs="Calibri"/>
        <w:sz w:val="18"/>
        <w:szCs w:val="18"/>
      </w:rPr>
      <w:br/>
      <w:t xml:space="preserve">Tel: +41 22 730 5111 • Fax: +41 22 733 7256 • E-mail: </w:t>
    </w:r>
    <w:hyperlink r:id="rId1" w:history="1">
      <w:r w:rsidRPr="00783A16">
        <w:rPr>
          <w:rFonts w:cs="Calibri"/>
          <w:color w:val="0000FF"/>
          <w:sz w:val="18"/>
          <w:szCs w:val="18"/>
          <w:u w:val="single"/>
        </w:rPr>
        <w:t>itumail@itu.int</w:t>
      </w:r>
    </w:hyperlink>
    <w:r w:rsidRPr="00783A16">
      <w:rPr>
        <w:rFonts w:cs="Calibri"/>
        <w:sz w:val="18"/>
        <w:szCs w:val="18"/>
      </w:rPr>
      <w:t xml:space="preserve"> • </w:t>
    </w:r>
    <w:hyperlink r:id="rId2" w:history="1">
      <w:r w:rsidRPr="00783A16">
        <w:rPr>
          <w:rFonts w:cs="Calibri"/>
          <w:color w:val="0000FF"/>
          <w:sz w:val="18"/>
          <w:szCs w:val="18"/>
          <w:u w:val="single"/>
        </w:rPr>
        <w:t>www.itu.int</w:t>
      </w:r>
    </w:hyperlink>
    <w:r w:rsidRPr="00783A16">
      <w:rPr>
        <w:rFonts w:cs="Calibri"/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98AA12" w14:textId="77777777" w:rsidR="003B5883" w:rsidRDefault="003B5883" w:rsidP="00E07379">
      <w:pPr>
        <w:spacing w:before="0" w:line="240" w:lineRule="auto"/>
      </w:pPr>
      <w:r>
        <w:separator/>
      </w:r>
    </w:p>
  </w:footnote>
  <w:footnote w:type="continuationSeparator" w:id="0">
    <w:p w14:paraId="392AA26D" w14:textId="77777777" w:rsidR="003B5883" w:rsidRDefault="003B5883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731C0" w14:textId="77777777" w:rsidR="0022345D" w:rsidRPr="008B5B5D" w:rsidRDefault="00AF70F6" w:rsidP="002D4DD1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="0022345D" w:rsidRPr="008B5B5D">
      <w:rPr>
        <w:rStyle w:val="PageNumber"/>
      </w:rPr>
      <w:fldChar w:fldCharType="begin"/>
    </w:r>
    <w:r w:rsidR="0022345D" w:rsidRPr="008B5B5D">
      <w:rPr>
        <w:rStyle w:val="PageNumber"/>
      </w:rPr>
      <w:instrText xml:space="preserve"> PAGE </w:instrText>
    </w:r>
    <w:r w:rsidR="0022345D" w:rsidRPr="008B5B5D">
      <w:rPr>
        <w:rStyle w:val="PageNumber"/>
      </w:rPr>
      <w:fldChar w:fldCharType="separate"/>
    </w:r>
    <w:r w:rsidR="00AB25D2">
      <w:rPr>
        <w:rStyle w:val="PageNumber"/>
        <w:noProof/>
      </w:rPr>
      <w:t>2</w:t>
    </w:r>
    <w:r w:rsidR="0022345D"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BD72FA" w:rsidRPr="00F36590" w14:paraId="53D15BCA" w14:textId="77777777" w:rsidTr="001E3739">
      <w:trPr>
        <w:jc w:val="center"/>
      </w:trPr>
      <w:tc>
        <w:tcPr>
          <w:tcW w:w="2472" w:type="pct"/>
          <w:vAlign w:val="center"/>
        </w:tcPr>
        <w:p w14:paraId="52B7DDE7" w14:textId="77777777" w:rsidR="00BD72FA" w:rsidRDefault="00BD72FA" w:rsidP="00BD72FA">
          <w:pPr>
            <w:pStyle w:val="Header"/>
            <w:jc w:val="left"/>
            <w:rPr>
              <w:rtl/>
              <w:lang w:val="en-GB" w:bidi="ar-EG"/>
            </w:rPr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73FD63F1" wp14:editId="5AF004CB">
                <wp:extent cx="838200" cy="838200"/>
                <wp:effectExtent l="0" t="0" r="0" b="0"/>
                <wp:docPr id="2" name="Picture 2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2C8D3A3" w14:textId="77777777" w:rsidR="00C31F7F" w:rsidRPr="00F36590" w:rsidRDefault="00C31F7F" w:rsidP="00BD72FA">
          <w:pPr>
            <w:pStyle w:val="Header"/>
            <w:jc w:val="left"/>
            <w:rPr>
              <w:lang w:val="en-GB" w:bidi="ar-EG"/>
            </w:rPr>
          </w:pPr>
        </w:p>
      </w:tc>
      <w:tc>
        <w:tcPr>
          <w:tcW w:w="2528" w:type="pct"/>
          <w:vAlign w:val="center"/>
        </w:tcPr>
        <w:p w14:paraId="1D6C0390" w14:textId="77777777" w:rsidR="00BD72FA" w:rsidRPr="00F36590" w:rsidRDefault="00BD72FA" w:rsidP="00BD72FA">
          <w:pPr>
            <w:pStyle w:val="Header"/>
            <w:jc w:val="right"/>
            <w:rPr>
              <w:lang w:val="en-GB"/>
            </w:rPr>
          </w:pPr>
          <w:r>
            <w:rPr>
              <w:noProof/>
              <w:lang w:val="en-GB" w:eastAsia="zh-CN"/>
            </w:rPr>
            <w:drawing>
              <wp:inline distT="0" distB="0" distL="0" distR="0" wp14:anchorId="44F4BD7B" wp14:editId="7C15FA70">
                <wp:extent cx="1919387" cy="654889"/>
                <wp:effectExtent l="0" t="0" r="5080" b="0"/>
                <wp:docPr id="3" name="Picture 3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1BB423B" w14:textId="77777777" w:rsidR="00AF70F6" w:rsidRPr="00933E83" w:rsidRDefault="00AF70F6" w:rsidP="00933E83">
    <w:pPr>
      <w:spacing w:before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883"/>
    <w:rsid w:val="000124CC"/>
    <w:rsid w:val="00041F8B"/>
    <w:rsid w:val="00046444"/>
    <w:rsid w:val="0006023B"/>
    <w:rsid w:val="00063D53"/>
    <w:rsid w:val="0008638B"/>
    <w:rsid w:val="00090574"/>
    <w:rsid w:val="000910C2"/>
    <w:rsid w:val="00092FC2"/>
    <w:rsid w:val="000A1677"/>
    <w:rsid w:val="000B407F"/>
    <w:rsid w:val="000C13C2"/>
    <w:rsid w:val="000F0B1C"/>
    <w:rsid w:val="000F1D42"/>
    <w:rsid w:val="000F4D07"/>
    <w:rsid w:val="00102A03"/>
    <w:rsid w:val="001040A3"/>
    <w:rsid w:val="00127C89"/>
    <w:rsid w:val="00173915"/>
    <w:rsid w:val="001F2ED3"/>
    <w:rsid w:val="0021544D"/>
    <w:rsid w:val="0022345D"/>
    <w:rsid w:val="00225854"/>
    <w:rsid w:val="0023283D"/>
    <w:rsid w:val="00250C0A"/>
    <w:rsid w:val="00252E0C"/>
    <w:rsid w:val="002765A2"/>
    <w:rsid w:val="00276881"/>
    <w:rsid w:val="002916BE"/>
    <w:rsid w:val="002978F4"/>
    <w:rsid w:val="002B028D"/>
    <w:rsid w:val="002B435E"/>
    <w:rsid w:val="002B477C"/>
    <w:rsid w:val="002C4DAE"/>
    <w:rsid w:val="002D4DD1"/>
    <w:rsid w:val="002D6669"/>
    <w:rsid w:val="002E6541"/>
    <w:rsid w:val="002E7A05"/>
    <w:rsid w:val="002F5560"/>
    <w:rsid w:val="002F7232"/>
    <w:rsid w:val="0030486B"/>
    <w:rsid w:val="003231B9"/>
    <w:rsid w:val="003275AC"/>
    <w:rsid w:val="00333D29"/>
    <w:rsid w:val="003409F4"/>
    <w:rsid w:val="00357185"/>
    <w:rsid w:val="00393A5F"/>
    <w:rsid w:val="003B5883"/>
    <w:rsid w:val="003C475F"/>
    <w:rsid w:val="003E4132"/>
    <w:rsid w:val="003F678F"/>
    <w:rsid w:val="0042686F"/>
    <w:rsid w:val="004367CE"/>
    <w:rsid w:val="00443869"/>
    <w:rsid w:val="004712C6"/>
    <w:rsid w:val="0047298B"/>
    <w:rsid w:val="00497703"/>
    <w:rsid w:val="004C35DF"/>
    <w:rsid w:val="004F0F06"/>
    <w:rsid w:val="00501E0E"/>
    <w:rsid w:val="005204D7"/>
    <w:rsid w:val="00530420"/>
    <w:rsid w:val="0054168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5283"/>
    <w:rsid w:val="005E58F5"/>
    <w:rsid w:val="00606660"/>
    <w:rsid w:val="006145E8"/>
    <w:rsid w:val="006157A3"/>
    <w:rsid w:val="00620E60"/>
    <w:rsid w:val="0063315A"/>
    <w:rsid w:val="0065591D"/>
    <w:rsid w:val="00662C5A"/>
    <w:rsid w:val="00670AF5"/>
    <w:rsid w:val="00677238"/>
    <w:rsid w:val="006C1556"/>
    <w:rsid w:val="006F267F"/>
    <w:rsid w:val="006F63F7"/>
    <w:rsid w:val="006F6F03"/>
    <w:rsid w:val="007045CA"/>
    <w:rsid w:val="00706529"/>
    <w:rsid w:val="00706D7A"/>
    <w:rsid w:val="00726AEC"/>
    <w:rsid w:val="007530CA"/>
    <w:rsid w:val="00775A6F"/>
    <w:rsid w:val="00783A16"/>
    <w:rsid w:val="0079553D"/>
    <w:rsid w:val="007B01CC"/>
    <w:rsid w:val="007E7C6C"/>
    <w:rsid w:val="007F6238"/>
    <w:rsid w:val="007F646C"/>
    <w:rsid w:val="00801FCD"/>
    <w:rsid w:val="00803D7E"/>
    <w:rsid w:val="00803F08"/>
    <w:rsid w:val="008235CD"/>
    <w:rsid w:val="00823A07"/>
    <w:rsid w:val="008260B2"/>
    <w:rsid w:val="00835FEC"/>
    <w:rsid w:val="00843C88"/>
    <w:rsid w:val="008513CB"/>
    <w:rsid w:val="00874D9C"/>
    <w:rsid w:val="008A1810"/>
    <w:rsid w:val="008B0945"/>
    <w:rsid w:val="008B5B5D"/>
    <w:rsid w:val="00917694"/>
    <w:rsid w:val="00923199"/>
    <w:rsid w:val="009263CD"/>
    <w:rsid w:val="00930E6D"/>
    <w:rsid w:val="00933E83"/>
    <w:rsid w:val="00972CA2"/>
    <w:rsid w:val="009734C8"/>
    <w:rsid w:val="00977A50"/>
    <w:rsid w:val="00982B28"/>
    <w:rsid w:val="00984EA5"/>
    <w:rsid w:val="00992593"/>
    <w:rsid w:val="009C17E1"/>
    <w:rsid w:val="009C35ED"/>
    <w:rsid w:val="009D6BA4"/>
    <w:rsid w:val="009F1C12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1C2C"/>
    <w:rsid w:val="00A97F94"/>
    <w:rsid w:val="00AB1309"/>
    <w:rsid w:val="00AB25D2"/>
    <w:rsid w:val="00AC2C52"/>
    <w:rsid w:val="00AD1503"/>
    <w:rsid w:val="00AE7244"/>
    <w:rsid w:val="00AF3FEE"/>
    <w:rsid w:val="00AF5EE1"/>
    <w:rsid w:val="00AF70F6"/>
    <w:rsid w:val="00B02F46"/>
    <w:rsid w:val="00B2000C"/>
    <w:rsid w:val="00B203CF"/>
    <w:rsid w:val="00B20ADE"/>
    <w:rsid w:val="00B31F96"/>
    <w:rsid w:val="00B66B9A"/>
    <w:rsid w:val="00B82089"/>
    <w:rsid w:val="00B970AE"/>
    <w:rsid w:val="00BA1427"/>
    <w:rsid w:val="00BD72FA"/>
    <w:rsid w:val="00BE49D0"/>
    <w:rsid w:val="00BE773F"/>
    <w:rsid w:val="00BF2C38"/>
    <w:rsid w:val="00C23331"/>
    <w:rsid w:val="00C25157"/>
    <w:rsid w:val="00C265DA"/>
    <w:rsid w:val="00C31F7F"/>
    <w:rsid w:val="00C442F2"/>
    <w:rsid w:val="00C674FE"/>
    <w:rsid w:val="00C7297D"/>
    <w:rsid w:val="00C75633"/>
    <w:rsid w:val="00C8242E"/>
    <w:rsid w:val="00C82615"/>
    <w:rsid w:val="00C867DB"/>
    <w:rsid w:val="00C938A9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34647"/>
    <w:rsid w:val="00D37B45"/>
    <w:rsid w:val="00D45542"/>
    <w:rsid w:val="00D77D0F"/>
    <w:rsid w:val="00DA1CF0"/>
    <w:rsid w:val="00DB2271"/>
    <w:rsid w:val="00DB5659"/>
    <w:rsid w:val="00DC24B4"/>
    <w:rsid w:val="00DC5E81"/>
    <w:rsid w:val="00DD76C9"/>
    <w:rsid w:val="00DD7A05"/>
    <w:rsid w:val="00DF16DC"/>
    <w:rsid w:val="00DF5361"/>
    <w:rsid w:val="00DF5990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EE5A0E"/>
    <w:rsid w:val="00F126F1"/>
    <w:rsid w:val="00F2106A"/>
    <w:rsid w:val="00F36D8B"/>
    <w:rsid w:val="00F37655"/>
    <w:rsid w:val="00F401D0"/>
    <w:rsid w:val="00F45F2B"/>
    <w:rsid w:val="00F57AE4"/>
    <w:rsid w:val="00F66688"/>
    <w:rsid w:val="00F67150"/>
    <w:rsid w:val="00F84366"/>
    <w:rsid w:val="00F85089"/>
    <w:rsid w:val="00F85564"/>
    <w:rsid w:val="00F86650"/>
    <w:rsid w:val="00F86CFA"/>
    <w:rsid w:val="00F90919"/>
    <w:rsid w:val="00FC0BA9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A145627"/>
  <w15:chartTrackingRefBased/>
  <w15:docId w15:val="{5E03E9E5-26D8-4193-BD41-3BECF21D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232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uiPriority w:val="99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39"/>
    <w:rsid w:val="00AF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0">
    <w:name w:val="Annex No"/>
    <w:basedOn w:val="Normal"/>
    <w:qFormat/>
    <w:rsid w:val="00DD76C9"/>
    <w:pPr>
      <w:tabs>
        <w:tab w:val="clear" w:pos="1134"/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rFonts w:eastAsiaTheme="minorEastAsia"/>
      <w:sz w:val="26"/>
      <w:szCs w:val="36"/>
      <w:lang w:eastAsia="zh-CN" w:bidi="ar-SY"/>
    </w:rPr>
  </w:style>
  <w:style w:type="paragraph" w:customStyle="1" w:styleId="Annextitle0">
    <w:name w:val="Annex title"/>
    <w:basedOn w:val="AnnexNo0"/>
    <w:qFormat/>
    <w:rsid w:val="00DD76C9"/>
    <w:pPr>
      <w:keepNext/>
      <w:keepLines/>
      <w:spacing w:before="120" w:after="360"/>
    </w:pPr>
    <w:rPr>
      <w:b/>
      <w:bCs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R15-SG03-C/e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en/ITU-T/ipr/Pages/policy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tu.int/pub/R-REC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brsgd@itu.int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R15-SG03-C-0108/e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9\ITU-R%20(BR)\PA_Letter_CA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de10a323-94a9-4e93-88b4-ea964576960d"/>
    <ds:schemaRef ds:uri="996b2e75-67fd-4955-a3b0-5ab9934cb50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1202BF-E9AA-442B-B4C2-A6DE93F6D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PA_Letter_CACE.dotx</Template>
  <TotalTime>46</TotalTime>
  <Pages>3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Awad, Samy</dc:creator>
  <cp:keywords>DPM_v2016.12.12.1_prod</cp:keywords>
  <dc:description>Template used by DPM and CPI for the WTSA-16</dc:description>
  <cp:lastModifiedBy>Fernandez Jimenez, Virginia</cp:lastModifiedBy>
  <cp:revision>29</cp:revision>
  <cp:lastPrinted>2019-08-21T09:01:00Z</cp:lastPrinted>
  <dcterms:created xsi:type="dcterms:W3CDTF">2019-08-14T11:58:00Z</dcterms:created>
  <dcterms:modified xsi:type="dcterms:W3CDTF">2019-08-21T09:01:00Z</dcterms:modified>
  <cp:category>Conference document</cp:category>
</cp:coreProperties>
</file>