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6513EC" w:rsidRPr="00AF70F6" w:rsidTr="004C6F9D">
        <w:tc>
          <w:tcPr>
            <w:tcW w:w="5000" w:type="pct"/>
            <w:gridSpan w:val="3"/>
            <w:shd w:val="clear" w:color="auto" w:fill="auto"/>
          </w:tcPr>
          <w:p w:rsidR="006513EC" w:rsidRPr="00DF5990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6513EC" w:rsidRPr="008260B2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6513EC" w:rsidRPr="00AF70F6" w:rsidTr="004C6F9D">
        <w:tc>
          <w:tcPr>
            <w:tcW w:w="2707" w:type="pct"/>
            <w:gridSpan w:val="2"/>
            <w:shd w:val="clear" w:color="auto" w:fill="auto"/>
          </w:tcPr>
          <w:p w:rsidR="006513EC" w:rsidRPr="008D58A4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D58A4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6513EC" w:rsidRPr="00AF70F6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8D58A4">
              <w:rPr>
                <w:rFonts w:eastAsiaTheme="minorEastAsia"/>
                <w:b/>
                <w:bCs/>
                <w:lang w:val="en-GB" w:eastAsia="zh-CN" w:bidi="ar-SY"/>
              </w:rPr>
              <w:t>CACE/</w:t>
            </w:r>
            <w:r>
              <w:rPr>
                <w:rFonts w:eastAsiaTheme="minorEastAsia"/>
                <w:b/>
                <w:bCs/>
                <w:lang w:eastAsia="zh-CN" w:bidi="ar-SY"/>
              </w:rPr>
              <w:t>915</w:t>
            </w:r>
          </w:p>
        </w:tc>
        <w:tc>
          <w:tcPr>
            <w:tcW w:w="2293" w:type="pct"/>
            <w:shd w:val="clear" w:color="auto" w:fill="auto"/>
          </w:tcPr>
          <w:p w:rsidR="006513EC" w:rsidRPr="00AF70F6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9</w:t>
            </w:r>
            <w:r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AF70F6">
              <w:rPr>
                <w:rFonts w:eastAsiaTheme="minorEastAsia"/>
                <w:lang w:eastAsia="zh-CN" w:bidi="ar-SY"/>
              </w:rPr>
              <w:t>201</w:t>
            </w:r>
            <w:r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6513EC" w:rsidRPr="00AF70F6" w:rsidTr="004C6F9D">
        <w:tc>
          <w:tcPr>
            <w:tcW w:w="5000" w:type="pct"/>
            <w:gridSpan w:val="3"/>
            <w:shd w:val="clear" w:color="auto" w:fill="auto"/>
          </w:tcPr>
          <w:p w:rsidR="006513EC" w:rsidRPr="00AF70F6" w:rsidRDefault="006513EC" w:rsidP="002A33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6513EC" w:rsidRPr="00AF70F6" w:rsidTr="004C6F9D">
        <w:tc>
          <w:tcPr>
            <w:tcW w:w="5000" w:type="pct"/>
            <w:gridSpan w:val="3"/>
            <w:shd w:val="clear" w:color="auto" w:fill="auto"/>
          </w:tcPr>
          <w:p w:rsidR="006513EC" w:rsidRPr="00AF70F6" w:rsidRDefault="006513EC" w:rsidP="004C6F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2185C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B2185C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B2185C">
              <w:rPr>
                <w:b/>
                <w:bCs/>
                <w:w w:val="115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6513EC" w:rsidRPr="00AF70F6" w:rsidTr="004C6F9D">
        <w:tc>
          <w:tcPr>
            <w:tcW w:w="5000" w:type="pct"/>
            <w:gridSpan w:val="3"/>
            <w:shd w:val="clear" w:color="auto" w:fill="auto"/>
          </w:tcPr>
          <w:p w:rsidR="006513EC" w:rsidRPr="00AF70F6" w:rsidRDefault="006513EC" w:rsidP="002A33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6513EC" w:rsidRPr="00AF70F6" w:rsidTr="004C6F9D">
        <w:trPr>
          <w:trHeight w:val="452"/>
        </w:trPr>
        <w:tc>
          <w:tcPr>
            <w:tcW w:w="699" w:type="pct"/>
            <w:shd w:val="clear" w:color="auto" w:fill="auto"/>
          </w:tcPr>
          <w:p w:rsidR="006513EC" w:rsidRPr="00AF70F6" w:rsidRDefault="006513EC" w:rsidP="002A33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513EC" w:rsidRPr="00AB2B23" w:rsidRDefault="006513EC" w:rsidP="002A33E5">
            <w:pPr>
              <w:spacing w:before="0"/>
              <w:rPr>
                <w:b/>
                <w:bCs/>
                <w:rtl/>
                <w:lang w:bidi="ar-EG"/>
              </w:rPr>
            </w:pPr>
            <w:r w:rsidRPr="00AB2B23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8D3810">
              <w:rPr>
                <w:b/>
                <w:bCs/>
                <w:lang w:val="fr-FR" w:bidi="ar-SY"/>
              </w:rPr>
              <w:t>6</w:t>
            </w:r>
            <w:r w:rsidRPr="00AB2B23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AB2B23">
              <w:rPr>
                <w:rFonts w:hint="cs"/>
                <w:b/>
                <w:bCs/>
                <w:rtl/>
                <w:lang w:bidi="ar-EG"/>
              </w:rPr>
              <w:t>ة (</w:t>
            </w:r>
            <w:r w:rsidRPr="00AB2B23">
              <w:rPr>
                <w:b/>
                <w:bCs/>
                <w:rtl/>
              </w:rPr>
              <w:t>الخدمة الإذاعية</w:t>
            </w:r>
            <w:r w:rsidRPr="00AB2B23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6513EC" w:rsidRPr="00AF70F6" w:rsidRDefault="006513EC" w:rsidP="002A33E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AB2B23">
              <w:rPr>
                <w:rFonts w:hint="cs"/>
                <w:b/>
                <w:bCs/>
                <w:rtl/>
                <w:lang w:bidi="ar-EG"/>
              </w:rPr>
              <w:t>-</w:t>
            </w:r>
            <w:r w:rsidRPr="00AB2B23">
              <w:rPr>
                <w:b/>
                <w:bCs/>
                <w:rtl/>
                <w:lang w:bidi="ar-EG"/>
              </w:rPr>
              <w:tab/>
            </w:r>
            <w:r w:rsidRPr="00AB2B23"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Pr="00AB2B23">
              <w:rPr>
                <w:rFonts w:hint="cs"/>
                <w:b/>
                <w:bCs/>
                <w:rtl/>
                <w:lang w:val="en-GB" w:bidi="ar-EG"/>
              </w:rPr>
              <w:t>مشروع</w:t>
            </w:r>
            <w:r w:rsidRPr="00AB2B23">
              <w:rPr>
                <w:rFonts w:hint="cs"/>
                <w:b/>
                <w:bCs/>
                <w:rtl/>
                <w:lang w:bidi="ar-EG"/>
              </w:rPr>
              <w:t xml:space="preserve"> مراجعة توصية واحدة لقطاع الاتصالات الراديوية عن طريق المراسلة</w:t>
            </w:r>
          </w:p>
        </w:tc>
      </w:tr>
    </w:tbl>
    <w:p w:rsidR="006513EC" w:rsidRPr="00AB2B23" w:rsidRDefault="006513EC" w:rsidP="002A33E5">
      <w:pPr>
        <w:spacing w:before="240"/>
        <w:rPr>
          <w:rtl/>
          <w:lang w:bidi="ar-EG"/>
        </w:rPr>
      </w:pPr>
      <w:r w:rsidRPr="00AB2B23">
        <w:rPr>
          <w:rtl/>
          <w:lang w:bidi="ar-EG"/>
        </w:rPr>
        <w:t>قررت لجنة الدراسات</w:t>
      </w:r>
      <w:r w:rsidRPr="00AB2B23">
        <w:rPr>
          <w:rFonts w:hint="cs"/>
          <w:rtl/>
          <w:lang w:bidi="ar-EG"/>
        </w:rPr>
        <w:t> </w:t>
      </w:r>
      <w:r w:rsidRPr="00AB2B23">
        <w:rPr>
          <w:lang w:val="en-GB"/>
        </w:rPr>
        <w:t>6</w:t>
      </w:r>
      <w:r w:rsidRPr="00AB2B23">
        <w:rPr>
          <w:rtl/>
          <w:lang w:bidi="ar-EG"/>
        </w:rPr>
        <w:t xml:space="preserve"> للاتصالات الراديوية في اجتماعها المنعقد </w:t>
      </w:r>
      <w:r w:rsidRPr="00AB2B23">
        <w:rPr>
          <w:rFonts w:hint="cs"/>
          <w:rtl/>
          <w:lang w:bidi="ar-EG"/>
        </w:rPr>
        <w:t xml:space="preserve">في </w:t>
      </w:r>
      <w:r w:rsidRPr="00AB2B23">
        <w:rPr>
          <w:lang w:bidi="ar-EG"/>
        </w:rPr>
        <w:t>26</w:t>
      </w:r>
      <w:r w:rsidRPr="00AB2B23">
        <w:rPr>
          <w:rFonts w:hint="cs"/>
          <w:rtl/>
          <w:lang w:bidi="ar-EG"/>
        </w:rPr>
        <w:t xml:space="preserve"> يوليو </w:t>
      </w:r>
      <w:r w:rsidRPr="00AB2B23">
        <w:t>2019</w:t>
      </w:r>
      <w:r w:rsidRPr="00AB2B23">
        <w:rPr>
          <w:rtl/>
          <w:lang w:bidi="ar-EG"/>
        </w:rPr>
        <w:t xml:space="preserve"> أن تلتمس اعتماد </w:t>
      </w:r>
      <w:r w:rsidRPr="00AB2B23">
        <w:rPr>
          <w:rFonts w:hint="cs"/>
          <w:rtl/>
          <w:lang w:bidi="ar-EG"/>
        </w:rPr>
        <w:t>مشروع مراجعة توصية واحدة لقطاع الاتصالات الراديوية وفقاً ل</w:t>
      </w:r>
      <w:r w:rsidRPr="00AB2B23">
        <w:rPr>
          <w:rtl/>
          <w:lang w:bidi="ar-EG"/>
        </w:rPr>
        <w:t>لفقرة</w:t>
      </w:r>
      <w:r w:rsidRPr="00AB2B23">
        <w:rPr>
          <w:rFonts w:hint="eastAsia"/>
          <w:rtl/>
          <w:lang w:bidi="ar-EG"/>
        </w:rPr>
        <w:t> </w:t>
      </w:r>
      <w:r w:rsidRPr="00AB2B23">
        <w:t>3.2.2.6.2.A</w:t>
      </w:r>
      <w:r w:rsidRPr="00AB2B23">
        <w:rPr>
          <w:rtl/>
          <w:lang w:bidi="ar-EG"/>
        </w:rPr>
        <w:t xml:space="preserve"> من القرار</w:t>
      </w:r>
      <w:r w:rsidRPr="00AB2B23">
        <w:rPr>
          <w:rFonts w:hint="eastAsia"/>
          <w:rtl/>
          <w:lang w:bidi="ar-EG"/>
        </w:rPr>
        <w:t> </w:t>
      </w:r>
      <w:r w:rsidRPr="00AB2B23">
        <w:t>ITU</w:t>
      </w:r>
      <w:r w:rsidRPr="00AB2B23">
        <w:noBreakHyphen/>
        <w:t>R 1</w:t>
      </w:r>
      <w:r w:rsidRPr="00AB2B23">
        <w:noBreakHyphen/>
        <w:t>7</w:t>
      </w:r>
      <w:r w:rsidRPr="00AB2B23">
        <w:rPr>
          <w:rtl/>
          <w:lang w:bidi="ar-EG"/>
        </w:rPr>
        <w:t xml:space="preserve"> </w:t>
      </w:r>
      <w:r w:rsidRPr="00AB2B23">
        <w:rPr>
          <w:rFonts w:hint="cs"/>
          <w:rtl/>
          <w:lang w:bidi="ar-EG"/>
        </w:rPr>
        <w:t xml:space="preserve">(اعتماد عن طريق المراسلة من جانب لجنة الدراسات). ويرد في الملحق </w:t>
      </w:r>
      <w:r w:rsidRPr="00AB2B23">
        <w:t>1</w:t>
      </w:r>
      <w:r w:rsidRPr="00AB2B23">
        <w:rPr>
          <w:rFonts w:hint="cs"/>
          <w:rtl/>
          <w:lang w:bidi="ar-EG"/>
        </w:rPr>
        <w:t xml:space="preserve"> </w:t>
      </w:r>
      <w:r w:rsidR="009C0BB7">
        <w:rPr>
          <w:rFonts w:hint="cs"/>
          <w:rtl/>
          <w:lang w:bidi="ar-EG"/>
        </w:rPr>
        <w:t xml:space="preserve">بهذه الرسالة </w:t>
      </w:r>
      <w:r w:rsidRPr="00AB2B23">
        <w:rPr>
          <w:rFonts w:hint="cs"/>
          <w:rtl/>
          <w:lang w:bidi="ar-EG"/>
        </w:rPr>
        <w:t>عنوان مشروع التوصية وملخصها.</w:t>
      </w:r>
    </w:p>
    <w:p w:rsidR="006513EC" w:rsidRPr="00AB2B23" w:rsidRDefault="006513EC" w:rsidP="006513EC">
      <w:pPr>
        <w:rPr>
          <w:rtl/>
          <w:lang w:bidi="ar-EG"/>
        </w:rPr>
      </w:pPr>
      <w:r w:rsidRPr="00AB2B23">
        <w:rPr>
          <w:rtl/>
          <w:lang w:bidi="ar-EG"/>
        </w:rPr>
        <w:t xml:space="preserve">وتمتد فترة النظر </w:t>
      </w:r>
      <w:r w:rsidRPr="00AB2B23">
        <w:rPr>
          <w:rFonts w:hint="cs"/>
          <w:rtl/>
          <w:lang w:bidi="ar-EG"/>
        </w:rPr>
        <w:t xml:space="preserve">لمدة شهرين </w:t>
      </w:r>
      <w:r w:rsidRPr="00AB2B23">
        <w:rPr>
          <w:rtl/>
          <w:lang w:bidi="ar-EG"/>
        </w:rPr>
        <w:t>تنتهي في</w:t>
      </w:r>
      <w:r w:rsidRPr="00AB2B23">
        <w:rPr>
          <w:rFonts w:hint="cs"/>
          <w:rtl/>
          <w:lang w:bidi="ar-EG"/>
        </w:rPr>
        <w:t xml:space="preserve"> </w:t>
      </w:r>
      <w:r w:rsidRPr="00AB2B23">
        <w:rPr>
          <w:u w:val="single"/>
          <w:lang w:bidi="ar-EG"/>
        </w:rPr>
        <w:t>9</w:t>
      </w:r>
      <w:r w:rsidRPr="00AB2B23">
        <w:rPr>
          <w:rFonts w:hint="cs"/>
          <w:u w:val="single"/>
          <w:rtl/>
          <w:lang w:bidi="ar-EG"/>
        </w:rPr>
        <w:t xml:space="preserve"> أكتوبر </w:t>
      </w:r>
      <w:r w:rsidRPr="00AB2B23">
        <w:rPr>
          <w:u w:val="single"/>
          <w:lang w:bidi="ar-EG"/>
        </w:rPr>
        <w:t>2019</w:t>
      </w:r>
      <w:r w:rsidRPr="00AB2B23">
        <w:rPr>
          <w:rtl/>
          <w:lang w:bidi="ar-EG"/>
        </w:rPr>
        <w:t>. وإذا لم ترد أي اعتراضات من الدول الأعضاء خلال هذه الفترة</w:t>
      </w:r>
      <w:r w:rsidRPr="00AB2B23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AB2B23">
        <w:t>3.2.6.A2</w:t>
      </w:r>
      <w:r w:rsidRPr="00AB2B23">
        <w:rPr>
          <w:rFonts w:hint="cs"/>
          <w:rtl/>
          <w:lang w:bidi="ar-EG"/>
        </w:rPr>
        <w:t xml:space="preserve"> من القرار </w:t>
      </w:r>
      <w:r w:rsidRPr="00AB2B23">
        <w:t>ITU-R 1-7</w:t>
      </w:r>
      <w:r w:rsidRPr="00AB2B23">
        <w:rPr>
          <w:rFonts w:hint="cs"/>
          <w:rtl/>
          <w:lang w:bidi="ar-EG"/>
        </w:rPr>
        <w:t>.</w:t>
      </w:r>
    </w:p>
    <w:p w:rsidR="008D3810" w:rsidRDefault="006513EC" w:rsidP="006513EC">
      <w:pPr>
        <w:rPr>
          <w:rtl/>
          <w:lang w:bidi="ar-EG"/>
        </w:rPr>
      </w:pPr>
      <w:r w:rsidRPr="00AB2B23">
        <w:rPr>
          <w:rFonts w:hint="cs"/>
          <w:rtl/>
          <w:lang w:bidi="ar-EG"/>
        </w:rPr>
        <w:t>ويرجى من أي دولة عضو تعترض على اعتماد مشروع التوصية أن تخبر المدير ورئيس لجنة الدراسات بأسباب</w:t>
      </w:r>
      <w:r w:rsidRPr="00AB2B23">
        <w:rPr>
          <w:rFonts w:hint="eastAsia"/>
          <w:rtl/>
          <w:lang w:bidi="ar-EG"/>
        </w:rPr>
        <w:t> </w:t>
      </w:r>
      <w:r w:rsidRPr="00AB2B23">
        <w:rPr>
          <w:rFonts w:hint="cs"/>
          <w:rtl/>
          <w:lang w:bidi="ar-EG"/>
        </w:rPr>
        <w:t>اعتراضها.</w:t>
      </w:r>
    </w:p>
    <w:p w:rsidR="008D3810" w:rsidRDefault="008D3810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6513EC" w:rsidRDefault="006513EC" w:rsidP="006513EC">
      <w:pPr>
        <w:rPr>
          <w:rtl/>
          <w:lang w:bidi="ar-EG"/>
        </w:rPr>
      </w:pPr>
    </w:p>
    <w:p w:rsidR="006513EC" w:rsidRPr="00557EA1" w:rsidRDefault="006513EC" w:rsidP="009C0BB7">
      <w:pPr>
        <w:rPr>
          <w:rtl/>
          <w:lang w:bidi="ar-EG"/>
        </w:rPr>
      </w:pPr>
      <w:r w:rsidRPr="00557EA1">
        <w:rPr>
          <w:rtl/>
          <w:lang w:bidi="ar-EG"/>
        </w:rPr>
        <w:t xml:space="preserve">ويرجى من أي منظمة عضو في الاتحاد تعلم بوجود براءة اختراع لديها أو لدى غيرها تغطي كلياً أو جزئياً عناصر </w:t>
      </w:r>
      <w:r>
        <w:rPr>
          <w:rFonts w:hint="cs"/>
          <w:rtl/>
          <w:lang w:bidi="ar-EG"/>
        </w:rPr>
        <w:t>مشروع التوصية</w:t>
      </w:r>
      <w:r w:rsidRPr="00557EA1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557EA1">
        <w:t>"ITU</w:t>
      </w:r>
      <w:r w:rsidRPr="00557EA1">
        <w:noBreakHyphen/>
        <w:t>T/ITU</w:t>
      </w:r>
      <w:r w:rsidRPr="00557EA1">
        <w:noBreakHyphen/>
        <w:t>R/ISO/IEC"</w:t>
      </w:r>
      <w:r w:rsidRPr="00557EA1">
        <w:rPr>
          <w:rtl/>
          <w:lang w:bidi="ar-EG"/>
        </w:rPr>
        <w:t xml:space="preserve"> في الموقع الإلكتروني</w:t>
      </w:r>
      <w:r w:rsidRPr="00557EA1">
        <w:rPr>
          <w:rFonts w:hint="cs"/>
          <w:rtl/>
          <w:lang w:bidi="ar-EG"/>
        </w:rPr>
        <w:t xml:space="preserve">: </w:t>
      </w:r>
      <w:hyperlink r:id="rId10" w:history="1">
        <w:r w:rsidRPr="00557EA1">
          <w:rPr>
            <w:rStyle w:val="Hyperlink"/>
            <w:rFonts w:ascii="Calibri" w:hAnsi="Calibri"/>
            <w:szCs w:val="24"/>
          </w:rPr>
          <w:t>http://www.itu.int/en/ITU-T/ipr/Pages/policy.aspx</w:t>
        </w:r>
      </w:hyperlink>
      <w:r w:rsidRPr="00557EA1">
        <w:rPr>
          <w:rtl/>
          <w:lang w:bidi="ar-EG"/>
        </w:rPr>
        <w:t>.</w:t>
      </w:r>
    </w:p>
    <w:p w:rsidR="006513EC" w:rsidRDefault="006513EC" w:rsidP="002A33E5">
      <w:pPr>
        <w:spacing w:before="18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6513EC" w:rsidRDefault="006513EC" w:rsidP="008D3810">
      <w:pPr>
        <w:spacing w:before="1800"/>
        <w:jc w:val="left"/>
        <w:rPr>
          <w:rtl/>
        </w:rPr>
      </w:pPr>
      <w:r>
        <w:rPr>
          <w:rFonts w:hint="cs"/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6513EC" w:rsidRPr="00AB2B23" w:rsidRDefault="00444D56" w:rsidP="008D3810">
      <w:pPr>
        <w:spacing w:before="60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6513EC" w:rsidRPr="00AB2B23">
        <w:rPr>
          <w:b/>
          <w:bCs/>
          <w:rtl/>
          <w:lang w:bidi="ar-EG"/>
        </w:rPr>
        <w:t>:</w:t>
      </w:r>
      <w:r w:rsidR="006513EC" w:rsidRPr="00AB2B23">
        <w:rPr>
          <w:rFonts w:hint="cs"/>
          <w:rtl/>
          <w:lang w:bidi="ar-EG"/>
        </w:rPr>
        <w:t xml:space="preserve"> </w:t>
      </w:r>
      <w:r w:rsidR="006513EC" w:rsidRPr="00AB2B23">
        <w:rPr>
          <w:rFonts w:hint="cs"/>
          <w:rtl/>
          <w:lang w:bidi="ar-EG"/>
        </w:rPr>
        <w:tab/>
        <w:t xml:space="preserve">عنوان </w:t>
      </w:r>
      <w:r w:rsidR="0027616E">
        <w:rPr>
          <w:rFonts w:hint="cs"/>
          <w:rtl/>
          <w:lang w:bidi="ar-EG"/>
        </w:rPr>
        <w:t>وملخص مشروع التوصية</w:t>
      </w:r>
    </w:p>
    <w:p w:rsidR="006513EC" w:rsidRPr="00AB2B23" w:rsidRDefault="008437AD" w:rsidP="008D3810">
      <w:pPr>
        <w:spacing w:before="600"/>
      </w:pPr>
      <w:r>
        <w:rPr>
          <w:rFonts w:hint="cs"/>
          <w:b/>
          <w:bCs/>
          <w:rtl/>
          <w:lang w:bidi="ar-EG"/>
        </w:rPr>
        <w:t>الوثيقة</w:t>
      </w:r>
      <w:r w:rsidR="006513EC" w:rsidRPr="00AB2B23">
        <w:rPr>
          <w:rFonts w:hint="cs"/>
          <w:b/>
          <w:bCs/>
          <w:rtl/>
          <w:lang w:bidi="ar-EG"/>
        </w:rPr>
        <w:t>:</w:t>
      </w:r>
      <w:r w:rsidR="006513EC" w:rsidRPr="00AB2B23">
        <w:rPr>
          <w:rtl/>
          <w:lang w:bidi="ar-EG"/>
        </w:rPr>
        <w:tab/>
      </w:r>
      <w:r w:rsidR="006513EC" w:rsidRPr="00AB2B23">
        <w:rPr>
          <w:rFonts w:hint="cs"/>
          <w:rtl/>
        </w:rPr>
        <w:t xml:space="preserve">الوثيقة </w:t>
      </w:r>
      <w:hyperlink r:id="rId11" w:history="1">
        <w:r w:rsidR="006513EC" w:rsidRPr="00AB2B23">
          <w:rPr>
            <w:rStyle w:val="Hyperlink"/>
            <w:rFonts w:ascii="Calibri" w:hAnsi="Calibri"/>
          </w:rPr>
          <w:t>6/373</w:t>
        </w:r>
      </w:hyperlink>
    </w:p>
    <w:p w:rsidR="006513EC" w:rsidRDefault="009D42E2" w:rsidP="009D42E2">
      <w:pPr>
        <w:jc w:val="left"/>
        <w:rPr>
          <w:rtl/>
        </w:rPr>
      </w:pPr>
      <w:r w:rsidRPr="004D56EA">
        <w:rPr>
          <w:rFonts w:hint="cs"/>
          <w:rtl/>
        </w:rPr>
        <w:t>وتتاح نسخ</w:t>
      </w:r>
      <w:r>
        <w:rPr>
          <w:rFonts w:hint="cs"/>
          <w:rtl/>
        </w:rPr>
        <w:t>ة</w:t>
      </w:r>
      <w:r w:rsidRPr="004D56EA">
        <w:rPr>
          <w:rFonts w:hint="cs"/>
          <w:rtl/>
        </w:rPr>
        <w:t xml:space="preserve"> إلكترونية من هذه </w:t>
      </w:r>
      <w:r>
        <w:rPr>
          <w:rFonts w:hint="cs"/>
          <w:rtl/>
        </w:rPr>
        <w:t xml:space="preserve">الوثيقة </w:t>
      </w:r>
      <w:r w:rsidRPr="004D56EA">
        <w:rPr>
          <w:rFonts w:hint="cs"/>
          <w:rtl/>
        </w:rPr>
        <w:t>في</w:t>
      </w:r>
      <w:r w:rsidR="006513EC" w:rsidRPr="00AB2B23">
        <w:rPr>
          <w:rFonts w:hint="cs"/>
          <w:rtl/>
        </w:rPr>
        <w:t>:</w:t>
      </w:r>
      <w:r>
        <w:rPr>
          <w:rtl/>
        </w:rPr>
        <w:br/>
      </w:r>
      <w:hyperlink r:id="rId12" w:history="1">
        <w:r w:rsidR="00AB2B23" w:rsidRPr="00822CDB">
          <w:rPr>
            <w:rStyle w:val="Hyperlink"/>
            <w:rFonts w:ascii="Calibri" w:hAnsi="Calibri"/>
          </w:rPr>
          <w:t>https://www.itu.int/md/R15-SG06-C/en</w:t>
        </w:r>
      </w:hyperlink>
    </w:p>
    <w:p w:rsidR="006513EC" w:rsidRPr="00E45690" w:rsidRDefault="006513EC" w:rsidP="008D3810">
      <w:pPr>
        <w:tabs>
          <w:tab w:val="left" w:pos="283"/>
        </w:tabs>
        <w:spacing w:before="57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6513EC" w:rsidRPr="002F45BB" w:rsidRDefault="006513EC" w:rsidP="00325CA4">
      <w:pPr>
        <w:tabs>
          <w:tab w:val="left" w:pos="425"/>
        </w:tabs>
        <w:spacing w:before="60" w:line="168" w:lineRule="auto"/>
        <w:ind w:left="425" w:hanging="425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6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6513EC" w:rsidRDefault="006513EC" w:rsidP="006513EC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6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6513EC" w:rsidRPr="002F45BB" w:rsidRDefault="006513EC" w:rsidP="006513EC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6513EC" w:rsidRDefault="006513EC" w:rsidP="00270301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رؤساء لجان دراسات الاتصالات الراديوية ونوابهم</w:t>
      </w:r>
    </w:p>
    <w:p w:rsidR="006513EC" w:rsidRDefault="006513EC" w:rsidP="006513EC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رئيس الاجتماع التحضيري للمؤتمر ونوابه</w:t>
      </w:r>
    </w:p>
    <w:p w:rsidR="006513EC" w:rsidRDefault="006513EC" w:rsidP="006513EC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rFonts w:hint="cs"/>
          <w:sz w:val="18"/>
          <w:szCs w:val="24"/>
          <w:rtl/>
          <w:lang w:bidi="ar-EG"/>
        </w:rPr>
        <w:tab/>
        <w:t>أعضاء لجنة لوائح الراديو</w:t>
      </w:r>
    </w:p>
    <w:p w:rsidR="006513EC" w:rsidRDefault="006513EC" w:rsidP="002A33E5">
      <w:pPr>
        <w:tabs>
          <w:tab w:val="left" w:pos="425"/>
        </w:tabs>
        <w:spacing w:before="0" w:line="168" w:lineRule="auto"/>
        <w:rPr>
          <w:rtl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</w:t>
      </w:r>
      <w:r w:rsidR="006B30E3">
        <w:rPr>
          <w:rFonts w:hint="cs"/>
          <w:sz w:val="18"/>
          <w:szCs w:val="24"/>
          <w:rtl/>
          <w:lang w:bidi="ar-EG"/>
        </w:rPr>
        <w:t>ة</w:t>
      </w:r>
      <w:r>
        <w:rPr>
          <w:sz w:val="18"/>
          <w:szCs w:val="24"/>
          <w:rtl/>
          <w:lang w:bidi="ar-EG"/>
        </w:rPr>
        <w:t xml:space="preserve"> مكتب تنمية الاتصالات</w:t>
      </w:r>
      <w:r>
        <w:rPr>
          <w:rtl/>
        </w:rPr>
        <w:br w:type="page"/>
      </w:r>
    </w:p>
    <w:p w:rsidR="006513EC" w:rsidRPr="004D56EA" w:rsidRDefault="006513EC" w:rsidP="006513EC">
      <w:pPr>
        <w:pStyle w:val="AnnexNo0"/>
        <w:rPr>
          <w:rtl/>
        </w:rPr>
      </w:pPr>
      <w:r>
        <w:rPr>
          <w:rFonts w:hint="cs"/>
          <w:rtl/>
        </w:rPr>
        <w:lastRenderedPageBreak/>
        <w:t>الملحـق</w:t>
      </w:r>
    </w:p>
    <w:p w:rsidR="006513EC" w:rsidRPr="004D56EA" w:rsidRDefault="006513EC" w:rsidP="009C0BB7">
      <w:pPr>
        <w:pStyle w:val="Annextitle0"/>
        <w:rPr>
          <w:rtl/>
          <w:lang w:bidi="ar-EG"/>
        </w:rPr>
      </w:pPr>
      <w:r>
        <w:rPr>
          <w:rFonts w:hint="cs"/>
          <w:rtl/>
        </w:rPr>
        <w:t xml:space="preserve">عنوان </w:t>
      </w:r>
      <w:r w:rsidR="009C0BB7">
        <w:rPr>
          <w:rFonts w:hint="cs"/>
          <w:rtl/>
        </w:rPr>
        <w:t>وملخص مشروع التوصية</w:t>
      </w:r>
    </w:p>
    <w:p w:rsidR="006513EC" w:rsidRPr="004D56EA" w:rsidRDefault="006513EC" w:rsidP="00655737">
      <w:pPr>
        <w:tabs>
          <w:tab w:val="right" w:pos="9639"/>
        </w:tabs>
        <w:spacing w:before="360"/>
        <w:rPr>
          <w:rtl/>
          <w:lang w:bidi="ar-EG"/>
        </w:rPr>
      </w:pPr>
      <w:r w:rsidRPr="004D56EA">
        <w:rPr>
          <w:rFonts w:hint="cs"/>
          <w:u w:val="single"/>
          <w:rtl/>
        </w:rPr>
        <w:t>مشروع</w:t>
      </w:r>
      <w:r w:rsidRPr="004D56EA">
        <w:rPr>
          <w:rFonts w:hint="cs"/>
          <w:u w:val="single"/>
          <w:rtl/>
          <w:lang w:bidi="ar-SY"/>
        </w:rPr>
        <w:t xml:space="preserve"> مراجعة التوصية</w:t>
      </w:r>
      <w:r>
        <w:rPr>
          <w:rFonts w:hint="cs"/>
          <w:u w:val="single"/>
          <w:rtl/>
          <w:lang w:bidi="ar-EG"/>
        </w:rPr>
        <w:t xml:space="preserve"> </w:t>
      </w:r>
      <w:r w:rsidRPr="0035674D">
        <w:rPr>
          <w:u w:val="single"/>
        </w:rPr>
        <w:t>ITU-R</w:t>
      </w:r>
      <w:r>
        <w:rPr>
          <w:u w:val="single"/>
        </w:rPr>
        <w:t xml:space="preserve"> </w:t>
      </w:r>
      <w:r w:rsidRPr="00FA5ECF">
        <w:rPr>
          <w:u w:val="single"/>
        </w:rPr>
        <w:t>BT.1877-1</w:t>
      </w:r>
      <w:r w:rsidRPr="004D56EA">
        <w:rPr>
          <w:rFonts w:hint="cs"/>
          <w:rtl/>
          <w:lang w:bidi="ar-EG"/>
        </w:rPr>
        <w:tab/>
        <w:t xml:space="preserve">الوثيقة </w:t>
      </w:r>
      <w:r>
        <w:t>6/373</w:t>
      </w:r>
    </w:p>
    <w:p w:rsidR="006513EC" w:rsidRPr="00557EA1" w:rsidRDefault="006513EC" w:rsidP="008173B5">
      <w:pPr>
        <w:pStyle w:val="Rectitle"/>
        <w:rPr>
          <w:rtl/>
        </w:rPr>
      </w:pPr>
      <w:r w:rsidRPr="00557EA1">
        <w:rPr>
          <w:rtl/>
        </w:rPr>
        <w:t>طرائق تصحيح الأخطاء</w:t>
      </w:r>
      <w:r w:rsidRPr="00557EA1">
        <w:rPr>
          <w:rFonts w:hint="cs"/>
          <w:rtl/>
        </w:rPr>
        <w:t xml:space="preserve"> </w:t>
      </w:r>
      <w:r w:rsidRPr="00557EA1">
        <w:rPr>
          <w:rtl/>
        </w:rPr>
        <w:t xml:space="preserve">وترتيل البيانات والتشكيل </w:t>
      </w:r>
      <w:r w:rsidRPr="00557EA1">
        <w:rPr>
          <w:rFonts w:hint="cs"/>
          <w:rtl/>
        </w:rPr>
        <w:t xml:space="preserve">والبث </w:t>
      </w:r>
      <w:r w:rsidRPr="00557EA1">
        <w:rPr>
          <w:rtl/>
        </w:rPr>
        <w:t>المتعلقة بالجيل الثاني</w:t>
      </w:r>
      <w:r w:rsidRPr="00557EA1">
        <w:rPr>
          <w:rFonts w:hint="cs"/>
          <w:rtl/>
        </w:rPr>
        <w:t xml:space="preserve"> </w:t>
      </w:r>
      <w:r>
        <w:rPr>
          <w:rtl/>
        </w:rPr>
        <w:br/>
      </w:r>
      <w:r w:rsidRPr="00557EA1">
        <w:rPr>
          <w:rtl/>
        </w:rPr>
        <w:t>من أنظمة الإذاعة التلفزيونية الرقمية للأرض</w:t>
      </w:r>
    </w:p>
    <w:p w:rsidR="006513EC" w:rsidRDefault="00AB2B23" w:rsidP="00AC5664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تتضمن التعديلات المقترحة ما يلي:</w:t>
      </w:r>
    </w:p>
    <w:p w:rsidR="006513EC" w:rsidRDefault="006513EC" w:rsidP="00AB2B23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AB2B23">
        <w:rPr>
          <w:rFonts w:hint="cs"/>
          <w:rtl/>
          <w:lang w:bidi="ar-EG"/>
        </w:rPr>
        <w:t xml:space="preserve">تعديلات على الجزأين </w:t>
      </w:r>
      <w:r w:rsidR="00AB2B23" w:rsidRPr="00AB2B23">
        <w:rPr>
          <w:rFonts w:hint="cs"/>
          <w:rtl/>
          <w:lang w:bidi="ar-EG"/>
        </w:rPr>
        <w:t>"</w:t>
      </w:r>
      <w:r w:rsidR="008437AD">
        <w:rPr>
          <w:rFonts w:hint="eastAsia"/>
          <w:rtl/>
          <w:lang w:bidi="ar-EG"/>
        </w:rPr>
        <w:t> </w:t>
      </w:r>
      <w:r w:rsidR="00AB2B23" w:rsidRPr="008437AD">
        <w:rPr>
          <w:rFonts w:hint="cs"/>
          <w:i/>
          <w:iCs/>
          <w:rtl/>
          <w:lang w:bidi="ar-EG"/>
        </w:rPr>
        <w:t>إذ تضع في اعتبارها</w:t>
      </w:r>
      <w:r w:rsidR="00AB2B23" w:rsidRPr="00AB2B23">
        <w:rPr>
          <w:rFonts w:hint="cs"/>
          <w:rtl/>
          <w:lang w:bidi="ar-EG"/>
        </w:rPr>
        <w:t>"</w:t>
      </w:r>
      <w:r w:rsidR="00AB2B23">
        <w:rPr>
          <w:rFonts w:hint="cs"/>
          <w:rtl/>
          <w:lang w:bidi="ar-EG"/>
        </w:rPr>
        <w:t xml:space="preserve"> و</w:t>
      </w:r>
      <w:r w:rsidR="00AB2B23" w:rsidRPr="00AB2B23">
        <w:rPr>
          <w:rFonts w:hint="cs"/>
          <w:rtl/>
          <w:lang w:bidi="ar-EG"/>
        </w:rPr>
        <w:t>"</w:t>
      </w:r>
      <w:r w:rsidR="008437AD">
        <w:rPr>
          <w:rFonts w:hint="eastAsia"/>
          <w:rtl/>
          <w:lang w:bidi="ar-EG"/>
        </w:rPr>
        <w:t> </w:t>
      </w:r>
      <w:r w:rsidR="00AB2B23" w:rsidRPr="008437AD">
        <w:rPr>
          <w:rFonts w:hint="cs"/>
          <w:i/>
          <w:iCs/>
          <w:rtl/>
          <w:lang w:bidi="ar-EG"/>
        </w:rPr>
        <w:t>توصي</w:t>
      </w:r>
      <w:r w:rsidR="00AB2B23" w:rsidRPr="00AB2B23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؛</w:t>
      </w:r>
    </w:p>
    <w:p w:rsidR="006513EC" w:rsidRDefault="006513EC" w:rsidP="009D163D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AB2B23">
        <w:rPr>
          <w:rFonts w:hint="cs"/>
          <w:rtl/>
          <w:lang w:bidi="ar-EG"/>
        </w:rPr>
        <w:t>إضافة الملحق</w:t>
      </w:r>
      <w:r w:rsidR="00AB2B23">
        <w:rPr>
          <w:rFonts w:hint="eastAsia"/>
          <w:rtl/>
          <w:lang w:bidi="ar-EG"/>
        </w:rPr>
        <w:t> </w:t>
      </w:r>
      <w:r w:rsidR="00AB2B23">
        <w:rPr>
          <w:lang w:bidi="ar-EG"/>
        </w:rPr>
        <w:t>2</w:t>
      </w:r>
      <w:r w:rsidR="00AB2B23">
        <w:rPr>
          <w:rFonts w:hint="cs"/>
          <w:rtl/>
          <w:lang w:bidi="ar-EG"/>
        </w:rPr>
        <w:t xml:space="preserve"> لوصف معلمات نظام الإرسال</w:t>
      </w:r>
      <w:r w:rsidR="00AB2B23">
        <w:rPr>
          <w:rFonts w:hint="eastAsia"/>
          <w:rtl/>
          <w:lang w:bidi="ar-EG"/>
        </w:rPr>
        <w:t> </w:t>
      </w:r>
      <w:r w:rsidR="00AB2B23">
        <w:t>ATSC 3.0 DTTB</w:t>
      </w:r>
      <w:r w:rsidR="00AB2B23">
        <w:rPr>
          <w:rFonts w:hint="cs"/>
          <w:rtl/>
        </w:rPr>
        <w:t>، مع مرفقات تقدم المزيد من المعلومات بشأن المعيار</w:t>
      </w:r>
      <w:r w:rsidR="00AB2B23">
        <w:rPr>
          <w:rFonts w:hint="eastAsia"/>
          <w:rtl/>
        </w:rPr>
        <w:t> </w:t>
      </w:r>
      <w:r w:rsidR="00AB2B23" w:rsidRPr="00AB2B23">
        <w:t>ATSC</w:t>
      </w:r>
      <w:r w:rsidR="009D163D">
        <w:t> </w:t>
      </w:r>
      <w:r w:rsidR="00AB2B23" w:rsidRPr="00AB2B23">
        <w:t>3.0</w:t>
      </w:r>
      <w:r>
        <w:rPr>
          <w:rFonts w:hint="cs"/>
          <w:rtl/>
          <w:lang w:bidi="ar-EG"/>
        </w:rPr>
        <w:t>؛</w:t>
      </w:r>
    </w:p>
    <w:p w:rsidR="006513EC" w:rsidRPr="00AB2B23" w:rsidRDefault="006513EC" w:rsidP="00AB2B23">
      <w:pPr>
        <w:pStyle w:val="enumlev1"/>
        <w:rPr>
          <w:spacing w:val="-2"/>
          <w:rtl/>
          <w:lang w:bidi="ar-EG"/>
        </w:rPr>
      </w:pPr>
      <w:r w:rsidRPr="00AB2B23">
        <w:rPr>
          <w:spacing w:val="-2"/>
          <w:lang w:bidi="ar-EG"/>
        </w:rPr>
        <w:t>3</w:t>
      </w:r>
      <w:r w:rsidRPr="00AB2B23">
        <w:rPr>
          <w:spacing w:val="-2"/>
          <w:lang w:bidi="ar-EG"/>
        </w:rPr>
        <w:tab/>
      </w:r>
      <w:r w:rsidR="00AB2B23" w:rsidRPr="00AB2B23">
        <w:rPr>
          <w:rFonts w:hint="cs"/>
          <w:spacing w:val="-2"/>
          <w:rtl/>
          <w:lang w:bidi="ar-EG"/>
        </w:rPr>
        <w:t>إضافة الملحق</w:t>
      </w:r>
      <w:r w:rsidR="00AB2B23" w:rsidRPr="00AB2B23">
        <w:rPr>
          <w:rFonts w:hint="eastAsia"/>
          <w:spacing w:val="-2"/>
          <w:rtl/>
          <w:lang w:bidi="ar-EG"/>
        </w:rPr>
        <w:t> </w:t>
      </w:r>
      <w:r w:rsidR="00AB2B23" w:rsidRPr="00AB2B23">
        <w:rPr>
          <w:spacing w:val="-2"/>
          <w:lang w:bidi="ar-EG"/>
        </w:rPr>
        <w:t>3</w:t>
      </w:r>
      <w:r w:rsidR="00AB2B23" w:rsidRPr="00AB2B23">
        <w:rPr>
          <w:rFonts w:hint="cs"/>
          <w:spacing w:val="-2"/>
          <w:rtl/>
          <w:lang w:bidi="ar-EG"/>
        </w:rPr>
        <w:t xml:space="preserve"> لوصف معلمات نظام الإرسال</w:t>
      </w:r>
      <w:r w:rsidR="00AB2B23" w:rsidRPr="00AB2B23">
        <w:rPr>
          <w:rFonts w:hint="eastAsia"/>
          <w:spacing w:val="-2"/>
          <w:rtl/>
          <w:lang w:bidi="ar-EG"/>
        </w:rPr>
        <w:t> </w:t>
      </w:r>
      <w:r w:rsidR="00AB2B23" w:rsidRPr="00AB2B23">
        <w:rPr>
          <w:spacing w:val="-2"/>
        </w:rPr>
        <w:t>DTMB-A</w:t>
      </w:r>
      <w:r w:rsidR="00AB2B23" w:rsidRPr="00AB2B23">
        <w:rPr>
          <w:rFonts w:hint="cs"/>
          <w:spacing w:val="-2"/>
          <w:rtl/>
          <w:lang w:bidi="ar-EG"/>
        </w:rPr>
        <w:t>، مع مرفق يقدم المزيد من المعلومات عن المعيار</w:t>
      </w:r>
      <w:r w:rsidR="00AB2B23">
        <w:rPr>
          <w:rFonts w:hint="eastAsia"/>
          <w:spacing w:val="-2"/>
          <w:rtl/>
          <w:lang w:bidi="ar-EG"/>
        </w:rPr>
        <w:t> </w:t>
      </w:r>
      <w:r w:rsidR="00AB2B23" w:rsidRPr="00AB2B23">
        <w:rPr>
          <w:spacing w:val="-2"/>
          <w:lang w:bidi="ar-EG"/>
        </w:rPr>
        <w:t>DTMB-A</w:t>
      </w:r>
      <w:r w:rsidR="00AB2B23" w:rsidRPr="00AB2B23">
        <w:rPr>
          <w:rFonts w:hint="cs"/>
          <w:spacing w:val="-2"/>
          <w:rtl/>
          <w:lang w:bidi="ar-EG"/>
        </w:rPr>
        <w:t xml:space="preserve"> (المحتوى منقول من التوصية </w:t>
      </w:r>
      <w:r w:rsidR="00AB2B23" w:rsidRPr="00AB2B23">
        <w:rPr>
          <w:spacing w:val="-2"/>
          <w:lang w:bidi="ar-EG"/>
        </w:rPr>
        <w:t>ITU-R BT.1306</w:t>
      </w:r>
      <w:r w:rsidR="00AB2B23" w:rsidRPr="00AB2B23">
        <w:rPr>
          <w:rFonts w:hint="cs"/>
          <w:spacing w:val="-2"/>
          <w:rtl/>
          <w:lang w:bidi="ar-EG"/>
        </w:rPr>
        <w:t>)</w:t>
      </w:r>
      <w:r w:rsidRPr="00AB2B23">
        <w:rPr>
          <w:rFonts w:hint="cs"/>
          <w:spacing w:val="-2"/>
          <w:rtl/>
          <w:lang w:bidi="ar-EG"/>
        </w:rPr>
        <w:t>؛</w:t>
      </w:r>
    </w:p>
    <w:p w:rsidR="006513EC" w:rsidRDefault="006513EC" w:rsidP="00AB2B23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AB2B23">
        <w:rPr>
          <w:rFonts w:hint="cs"/>
          <w:rtl/>
          <w:lang w:bidi="ar-EG"/>
        </w:rPr>
        <w:t xml:space="preserve">إضافة الملحق </w:t>
      </w:r>
      <w:r w:rsidR="00AB2B23">
        <w:rPr>
          <w:lang w:bidi="ar-EG"/>
        </w:rPr>
        <w:t>4</w:t>
      </w:r>
      <w:r w:rsidR="00AB2B23">
        <w:rPr>
          <w:rFonts w:hint="cs"/>
          <w:rtl/>
          <w:lang w:bidi="ar-EG"/>
        </w:rPr>
        <w:t xml:space="preserve"> الذي يقدم مبادئ توجيهية بشأن انتقاء النظام.</w:t>
      </w:r>
    </w:p>
    <w:p w:rsidR="006513EC" w:rsidRPr="008D3F8E" w:rsidRDefault="006513EC" w:rsidP="006513EC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6513EC" w:rsidRPr="008D3F8E" w:rsidSect="008B5B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EC" w:rsidRDefault="006513EC" w:rsidP="00E07379">
      <w:pPr>
        <w:spacing w:before="0" w:line="240" w:lineRule="auto"/>
      </w:pPr>
      <w:r>
        <w:separator/>
      </w:r>
    </w:p>
  </w:endnote>
  <w:endnote w:type="continuationSeparator" w:id="0">
    <w:p w:rsidR="006513EC" w:rsidRDefault="006513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EC" w:rsidRDefault="006513EC" w:rsidP="00E07379">
      <w:pPr>
        <w:spacing w:before="0" w:line="240" w:lineRule="auto"/>
      </w:pPr>
      <w:r>
        <w:separator/>
      </w:r>
    </w:p>
  </w:footnote>
  <w:footnote w:type="continuationSeparator" w:id="0">
    <w:p w:rsidR="006513EC" w:rsidRDefault="006513E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52C90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E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0301"/>
    <w:rsid w:val="0027616E"/>
    <w:rsid w:val="00276881"/>
    <w:rsid w:val="002916BE"/>
    <w:rsid w:val="002978F4"/>
    <w:rsid w:val="002A33E5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5CA4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44D56"/>
    <w:rsid w:val="004712C6"/>
    <w:rsid w:val="00497703"/>
    <w:rsid w:val="004F0F06"/>
    <w:rsid w:val="00501E0E"/>
    <w:rsid w:val="00512B2B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13EC"/>
    <w:rsid w:val="00655737"/>
    <w:rsid w:val="0065591D"/>
    <w:rsid w:val="00662C5A"/>
    <w:rsid w:val="00670AF5"/>
    <w:rsid w:val="006B30E3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173B5"/>
    <w:rsid w:val="008235CD"/>
    <w:rsid w:val="00823A07"/>
    <w:rsid w:val="008260B2"/>
    <w:rsid w:val="00835FEC"/>
    <w:rsid w:val="008437AD"/>
    <w:rsid w:val="008513CB"/>
    <w:rsid w:val="00874D9C"/>
    <w:rsid w:val="008A1810"/>
    <w:rsid w:val="008B0945"/>
    <w:rsid w:val="008B5B5D"/>
    <w:rsid w:val="008D3810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0BB7"/>
    <w:rsid w:val="009C17E1"/>
    <w:rsid w:val="009C35ED"/>
    <w:rsid w:val="009D163D"/>
    <w:rsid w:val="009D42E2"/>
    <w:rsid w:val="009D6BA4"/>
    <w:rsid w:val="009F1C12"/>
    <w:rsid w:val="00A124CB"/>
    <w:rsid w:val="00A2167A"/>
    <w:rsid w:val="00A25A43"/>
    <w:rsid w:val="00A3295B"/>
    <w:rsid w:val="00A42AE5"/>
    <w:rsid w:val="00A52B61"/>
    <w:rsid w:val="00A52C90"/>
    <w:rsid w:val="00A64820"/>
    <w:rsid w:val="00A71DD6"/>
    <w:rsid w:val="00A723C7"/>
    <w:rsid w:val="00A80E11"/>
    <w:rsid w:val="00A97F94"/>
    <w:rsid w:val="00AB1309"/>
    <w:rsid w:val="00AB2B23"/>
    <w:rsid w:val="00AC2C52"/>
    <w:rsid w:val="00AC5664"/>
    <w:rsid w:val="00AD1503"/>
    <w:rsid w:val="00AE7244"/>
    <w:rsid w:val="00AF3FEE"/>
    <w:rsid w:val="00AF70F6"/>
    <w:rsid w:val="00B02F46"/>
    <w:rsid w:val="00B2000C"/>
    <w:rsid w:val="00B20ADE"/>
    <w:rsid w:val="00B2185C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202D"/>
    <w:rsid w:val="00E86CC9"/>
    <w:rsid w:val="00E96624"/>
    <w:rsid w:val="00EF5DF9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7BED248-0067-47D3-97DC-4F0D452A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F5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Normal"/>
    <w:qFormat/>
    <w:rsid w:val="008173B5"/>
    <w:pPr>
      <w:spacing w:before="240" w:after="240"/>
      <w:jc w:val="center"/>
    </w:pPr>
    <w:rPr>
      <w:b/>
      <w:bCs/>
      <w:sz w:val="28"/>
      <w:szCs w:val="40"/>
      <w:lang w:bidi="ar-EG"/>
    </w:r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6513E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6513EC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6-C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6-C-0373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F5536-3B40-485F-AF2E-48894A10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3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Panoussopoulos, Sonia</cp:lastModifiedBy>
  <cp:revision>2</cp:revision>
  <cp:lastPrinted>2016-06-07T13:25:00Z</cp:lastPrinted>
  <dcterms:created xsi:type="dcterms:W3CDTF">2019-08-09T08:20:00Z</dcterms:created>
  <dcterms:modified xsi:type="dcterms:W3CDTF">2019-08-09T08:20:00Z</dcterms:modified>
  <cp:category>Conference document</cp:category>
</cp:coreProperties>
</file>