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BF40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844FF6">
              <w:rPr>
                <w:rFonts w:eastAsiaTheme="minorEastAsia" w:hint="cs"/>
                <w:rtl/>
                <w:lang w:eastAsia="zh-CN" w:bidi="ar-AE"/>
              </w:rPr>
              <w:t>الرسالة الإدارية المعممة</w:t>
            </w:r>
          </w:p>
          <w:p w:rsidR="00AF70F6" w:rsidRPr="00AF70F6" w:rsidRDefault="00B31F96" w:rsidP="006B39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BF40E0">
              <w:rPr>
                <w:rFonts w:eastAsiaTheme="minorEastAsia"/>
                <w:b/>
                <w:bCs/>
                <w:lang w:eastAsia="zh-CN" w:bidi="ar-SY"/>
              </w:rPr>
              <w:t>9</w:t>
            </w:r>
            <w:r w:rsidR="006B39EF">
              <w:rPr>
                <w:rFonts w:eastAsiaTheme="minorEastAsia"/>
                <w:b/>
                <w:bCs/>
                <w:lang w:eastAsia="zh-CN" w:bidi="ar-SY"/>
              </w:rPr>
              <w:t>11</w:t>
            </w:r>
          </w:p>
        </w:tc>
        <w:tc>
          <w:tcPr>
            <w:tcW w:w="2293" w:type="pct"/>
            <w:shd w:val="clear" w:color="auto" w:fill="auto"/>
          </w:tcPr>
          <w:p w:rsidR="00AF70F6" w:rsidRPr="00AF70F6" w:rsidRDefault="00BF40E0" w:rsidP="00BF40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6B39EF" w:rsidP="006B39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356F37">
              <w:rPr>
                <w:b/>
                <w:bCs/>
                <w:w w:val="115"/>
                <w:rtl/>
              </w:rPr>
              <w:t xml:space="preserve">إلى إدارات الدول الأعضاء في </w:t>
            </w:r>
            <w:r w:rsidR="004706B3" w:rsidRPr="00356F37">
              <w:rPr>
                <w:rFonts w:hint="cs"/>
                <w:b/>
                <w:bCs/>
                <w:w w:val="115"/>
                <w:rtl/>
              </w:rPr>
              <w:t>الاتحاد</w:t>
            </w:r>
            <w:r w:rsidRPr="00356F37">
              <w:rPr>
                <w:b/>
                <w:bCs/>
                <w:w w:val="115"/>
                <w:rtl/>
              </w:rPr>
              <w:t xml:space="preserve"> وأعضاء قطاع الاتصالات الراديوية</w:t>
            </w:r>
            <w:r w:rsidRPr="00356F37">
              <w:rPr>
                <w:rFonts w:hint="cs"/>
                <w:b/>
                <w:bCs/>
                <w:w w:val="115"/>
                <w:rtl/>
              </w:rPr>
              <w:t xml:space="preserve"> </w:t>
            </w:r>
            <w:r w:rsidR="004706B3" w:rsidRPr="00356F37">
              <w:rPr>
                <w:rFonts w:hint="cs"/>
                <w:b/>
                <w:bCs/>
                <w:w w:val="115"/>
                <w:rtl/>
              </w:rPr>
              <w:t>والمنتسبين</w:t>
            </w:r>
            <w:r w:rsidRPr="00356F37">
              <w:rPr>
                <w:b/>
                <w:bCs/>
                <w:w w:val="115"/>
                <w:rtl/>
              </w:rPr>
              <w:t xml:space="preserve"> إليه</w:t>
            </w:r>
            <w:r w:rsidRPr="00F36590">
              <w:rPr>
                <w:b/>
                <w:bCs/>
                <w:rtl/>
              </w:rPr>
              <w:br/>
            </w:r>
            <w:r w:rsidRPr="00F36590">
              <w:rPr>
                <w:b/>
                <w:bCs/>
                <w:rtl/>
                <w:lang w:bidi="ar-EG"/>
              </w:rPr>
              <w:t xml:space="preserve">المشاركين في أعمال لجنة الدراسات </w:t>
            </w:r>
            <w:r>
              <w:rPr>
                <w:b/>
                <w:bCs/>
                <w:lang w:val="en-GB" w:bidi="ar-SY"/>
              </w:rPr>
              <w:t>4</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6B39EF" w:rsidP="00804186">
            <w:pPr>
              <w:spacing w:before="60" w:after="60"/>
              <w:rPr>
                <w:b/>
                <w:bCs/>
                <w:rtl/>
                <w:lang w:bidi="ar-EG"/>
              </w:rPr>
            </w:pPr>
            <w:r w:rsidRPr="008D3F8E">
              <w:rPr>
                <w:b/>
                <w:bCs/>
                <w:rtl/>
                <w:lang w:bidi="ar-EG"/>
              </w:rPr>
              <w:t xml:space="preserve">لجنة الدراسات </w:t>
            </w:r>
            <w:r>
              <w:rPr>
                <w:b/>
                <w:bCs/>
                <w:lang w:bidi="ar-SY"/>
              </w:rPr>
              <w:t>4</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(الخدمات الساتلية)</w:t>
            </w:r>
          </w:p>
          <w:p w:rsidR="00AF70F6" w:rsidRPr="00BF40E0" w:rsidRDefault="00D37B45" w:rsidP="00804186">
            <w:pPr>
              <w:tabs>
                <w:tab w:val="left" w:pos="386"/>
              </w:tabs>
              <w:spacing w:before="60" w:after="60"/>
              <w:ind w:left="386" w:hanging="386"/>
              <w:rPr>
                <w:b/>
                <w:bCs/>
                <w:lang w:bidi="ar-EG"/>
              </w:rPr>
            </w:pPr>
            <w:r w:rsidRPr="008D3F8E">
              <w:rPr>
                <w:rFonts w:hint="cs"/>
                <w:b/>
                <w:bCs/>
                <w:rtl/>
                <w:lang w:bidi="ar-EG"/>
              </w:rPr>
              <w:t>-</w:t>
            </w:r>
            <w:r w:rsidRPr="008D3F8E">
              <w:rPr>
                <w:b/>
                <w:bCs/>
                <w:rtl/>
                <w:lang w:bidi="ar-EG"/>
              </w:rPr>
              <w:tab/>
            </w:r>
            <w:r w:rsidR="006B39EF" w:rsidRPr="008D3F8E">
              <w:rPr>
                <w:rFonts w:hint="cs"/>
                <w:b/>
                <w:bCs/>
                <w:rtl/>
                <w:lang w:bidi="ar-EG"/>
              </w:rPr>
              <w:t xml:space="preserve">اقتراح </w:t>
            </w:r>
            <w:r w:rsidR="006B39EF" w:rsidRPr="008D3F8E">
              <w:rPr>
                <w:b/>
                <w:bCs/>
                <w:rtl/>
                <w:lang w:bidi="ar-EG"/>
              </w:rPr>
              <w:t>اعتماد</w:t>
            </w:r>
            <w:r w:rsidR="006B39EF" w:rsidRPr="008D3F8E">
              <w:rPr>
                <w:rFonts w:hint="cs"/>
                <w:b/>
                <w:bCs/>
                <w:rtl/>
                <w:lang w:bidi="ar-EG"/>
              </w:rPr>
              <w:t xml:space="preserve"> مشروع </w:t>
            </w:r>
            <w:r w:rsidR="006B39EF" w:rsidRPr="008D3F8E">
              <w:rPr>
                <w:rFonts w:hint="cs"/>
                <w:b/>
                <w:bCs/>
                <w:rtl/>
              </w:rPr>
              <w:t xml:space="preserve">توصية جديدة ومشروع مراجعة توصية </w:t>
            </w:r>
            <w:r w:rsidR="006B39EF" w:rsidRPr="00C76653">
              <w:rPr>
                <w:rFonts w:hint="cs"/>
                <w:b/>
                <w:bCs/>
                <w:rtl/>
              </w:rPr>
              <w:t>لقطاع الاتصالات الراديوية</w:t>
            </w:r>
            <w:r w:rsidR="006B39EF" w:rsidRPr="008D3F8E">
              <w:rPr>
                <w:b/>
                <w:bCs/>
                <w:rtl/>
                <w:lang w:bidi="ar-EG"/>
              </w:rPr>
              <w:t xml:space="preserve"> والموافقة عليه</w:t>
            </w:r>
            <w:r w:rsidR="006B39EF">
              <w:rPr>
                <w:rFonts w:hint="cs"/>
                <w:b/>
                <w:bCs/>
                <w:rtl/>
                <w:lang w:bidi="ar-EG"/>
              </w:rPr>
              <w:t>م</w:t>
            </w:r>
            <w:r w:rsidR="006B39EF" w:rsidRPr="008D3F8E">
              <w:rPr>
                <w:b/>
                <w:bCs/>
                <w:rtl/>
                <w:lang w:bidi="ar-EG"/>
              </w:rPr>
              <w:t>ا في</w:t>
            </w:r>
            <w:r w:rsidR="006B39EF" w:rsidRPr="008D3F8E">
              <w:rPr>
                <w:rFonts w:hint="eastAsia"/>
                <w:b/>
                <w:bCs/>
                <w:rtl/>
                <w:lang w:bidi="ar-EG"/>
              </w:rPr>
              <w:t> </w:t>
            </w:r>
            <w:r w:rsidR="006B39EF" w:rsidRPr="008D3F8E">
              <w:rPr>
                <w:b/>
                <w:bCs/>
                <w:rtl/>
                <w:lang w:bidi="ar-EG"/>
              </w:rPr>
              <w:t>نفس الوقت</w:t>
            </w:r>
            <w:r w:rsidR="006B39EF" w:rsidRPr="008D3F8E">
              <w:rPr>
                <w:rFonts w:hint="cs"/>
                <w:b/>
                <w:bCs/>
                <w:rtl/>
                <w:lang w:bidi="ar-EG"/>
              </w:rPr>
              <w:t xml:space="preserve"> بالمراسلة</w:t>
            </w:r>
            <w:r w:rsidR="006B39EF" w:rsidRPr="008D3F8E">
              <w:rPr>
                <w:b/>
                <w:bCs/>
                <w:rtl/>
                <w:lang w:bidi="ar-EG"/>
              </w:rPr>
              <w:t xml:space="preserve"> وفقاً للفقرة</w:t>
            </w:r>
            <w:r w:rsidR="006B39EF" w:rsidRPr="008D3F8E">
              <w:rPr>
                <w:rFonts w:hint="cs"/>
                <w:b/>
                <w:bCs/>
                <w:rtl/>
                <w:lang w:bidi="ar-EG"/>
              </w:rPr>
              <w:t> </w:t>
            </w:r>
            <w:r w:rsidR="006B39EF">
              <w:rPr>
                <w:b/>
                <w:bCs/>
                <w:lang w:val="fr-FR" w:bidi="ar-SY"/>
              </w:rPr>
              <w:t>4.2.6.A2</w:t>
            </w:r>
            <w:r w:rsidR="006B39EF" w:rsidRPr="008D3F8E">
              <w:rPr>
                <w:b/>
                <w:bCs/>
                <w:rtl/>
                <w:lang w:bidi="ar-EG"/>
              </w:rPr>
              <w:t xml:space="preserve"> من القرار </w:t>
            </w:r>
            <w:r w:rsidR="006B39EF" w:rsidRPr="008D3F8E">
              <w:rPr>
                <w:b/>
                <w:bCs/>
                <w:lang w:val="fr-FR" w:bidi="ar-SY"/>
              </w:rPr>
              <w:t>ITU-R 1-</w:t>
            </w:r>
            <w:r w:rsidR="006B39EF">
              <w:rPr>
                <w:b/>
                <w:bCs/>
                <w:lang w:val="fr-FR" w:bidi="ar-SY"/>
              </w:rPr>
              <w:t>7</w:t>
            </w:r>
            <w:r w:rsidR="006B39EF" w:rsidRPr="008D3F8E">
              <w:rPr>
                <w:b/>
                <w:bCs/>
                <w:rtl/>
                <w:lang w:bidi="ar-EG"/>
              </w:rPr>
              <w:t xml:space="preserve"> (إجراء الاعتماد والموافقة في</w:t>
            </w:r>
            <w:r w:rsidR="006B39EF" w:rsidRPr="008D3F8E">
              <w:rPr>
                <w:rFonts w:hint="eastAsia"/>
                <w:b/>
                <w:bCs/>
                <w:rtl/>
                <w:lang w:bidi="ar-EG"/>
              </w:rPr>
              <w:t> </w:t>
            </w:r>
            <w:r w:rsidR="006B39EF" w:rsidRPr="008D3F8E">
              <w:rPr>
                <w:b/>
                <w:bCs/>
                <w:rtl/>
                <w:lang w:bidi="ar-EG"/>
              </w:rPr>
              <w:t xml:space="preserve">نفس الوقت </w:t>
            </w:r>
            <w:r w:rsidR="006B39EF">
              <w:rPr>
                <w:rFonts w:hint="cs"/>
                <w:b/>
                <w:bCs/>
                <w:rtl/>
                <w:lang w:bidi="ar-EG"/>
              </w:rPr>
              <w:t>عن طريق المراسلة</w:t>
            </w:r>
            <w:r w:rsidR="006B39EF" w:rsidRPr="008D3F8E">
              <w:rPr>
                <w:b/>
                <w:bCs/>
                <w:rtl/>
                <w:lang w:bidi="ar-EG"/>
              </w:rPr>
              <w:t>)</w:t>
            </w:r>
          </w:p>
        </w:tc>
      </w:tr>
    </w:tbl>
    <w:p w:rsidR="00BF40E0" w:rsidRDefault="006B39EF" w:rsidP="00AA3BE3">
      <w:pPr>
        <w:spacing w:before="840"/>
        <w:rPr>
          <w:rtl/>
        </w:rPr>
      </w:pPr>
      <w:r w:rsidRPr="008D3F8E">
        <w:rPr>
          <w:rtl/>
          <w:lang w:bidi="ar-EG"/>
        </w:rPr>
        <w:t xml:space="preserve">قررت </w:t>
      </w:r>
      <w:r w:rsidR="004706B3" w:rsidRPr="008D3F8E">
        <w:rPr>
          <w:rFonts w:hint="cs"/>
          <w:rtl/>
          <w:lang w:bidi="ar-EG"/>
        </w:rPr>
        <w:t>ل</w:t>
      </w:r>
      <w:r w:rsidR="004706B3">
        <w:rPr>
          <w:rFonts w:hint="cs"/>
          <w:rtl/>
          <w:lang w:bidi="ar-EG"/>
        </w:rPr>
        <w:t>ج</w:t>
      </w:r>
      <w:r w:rsidR="004706B3" w:rsidRPr="008D3F8E">
        <w:rPr>
          <w:rFonts w:hint="cs"/>
          <w:rtl/>
          <w:lang w:bidi="ar-EG"/>
        </w:rPr>
        <w:t>نة</w:t>
      </w:r>
      <w:r w:rsidRPr="008D3F8E">
        <w:rPr>
          <w:rtl/>
          <w:lang w:bidi="ar-EG"/>
        </w:rPr>
        <w:t xml:space="preserve"> الدراسات</w:t>
      </w:r>
      <w:r w:rsidRPr="008D3F8E">
        <w:rPr>
          <w:rFonts w:hint="cs"/>
          <w:rtl/>
          <w:lang w:bidi="ar-EG"/>
        </w:rPr>
        <w:t> </w:t>
      </w:r>
      <w:r>
        <w:rPr>
          <w:lang w:val="en-GB"/>
        </w:rPr>
        <w:t>4</w:t>
      </w:r>
      <w:r w:rsidRPr="008D3F8E">
        <w:rPr>
          <w:rtl/>
          <w:lang w:bidi="ar-EG"/>
        </w:rPr>
        <w:t xml:space="preserve"> للاتصالات الراديوية في اجتماعها </w:t>
      </w:r>
      <w:r w:rsidR="004706B3" w:rsidRPr="008D3F8E">
        <w:rPr>
          <w:rFonts w:hint="cs"/>
          <w:rtl/>
          <w:lang w:bidi="ar-EG"/>
        </w:rPr>
        <w:t>ال</w:t>
      </w:r>
      <w:r w:rsidR="004706B3">
        <w:rPr>
          <w:rFonts w:hint="cs"/>
          <w:rtl/>
          <w:lang w:bidi="ar-EG"/>
        </w:rPr>
        <w:t>م</w:t>
      </w:r>
      <w:r w:rsidR="004706B3" w:rsidRPr="008D3F8E">
        <w:rPr>
          <w:rFonts w:hint="cs"/>
          <w:rtl/>
          <w:lang w:bidi="ar-EG"/>
        </w:rPr>
        <w:t>نعقد</w:t>
      </w:r>
      <w:r w:rsidRPr="008D3F8E">
        <w:rPr>
          <w:rtl/>
          <w:lang w:bidi="ar-EG"/>
        </w:rPr>
        <w:t xml:space="preserve"> </w:t>
      </w:r>
      <w:r w:rsidRPr="008D3F8E">
        <w:rPr>
          <w:rFonts w:hint="cs"/>
          <w:rtl/>
          <w:lang w:bidi="ar-EG"/>
        </w:rPr>
        <w:t xml:space="preserve">في </w:t>
      </w:r>
      <w:r>
        <w:t>5</w:t>
      </w:r>
      <w:r w:rsidRPr="008D3F8E">
        <w:rPr>
          <w:rFonts w:hint="eastAsia"/>
          <w:rtl/>
          <w:lang w:bidi="ar-EG"/>
        </w:rPr>
        <w:t> </w:t>
      </w:r>
      <w:r>
        <w:rPr>
          <w:rFonts w:hint="cs"/>
          <w:rtl/>
          <w:lang w:bidi="ar-EG"/>
        </w:rPr>
        <w:t>يوليو</w:t>
      </w:r>
      <w:r w:rsidRPr="008D3F8E">
        <w:rPr>
          <w:rFonts w:hint="eastAsia"/>
          <w:rtl/>
          <w:lang w:bidi="ar-EG"/>
        </w:rPr>
        <w:t> </w:t>
      </w:r>
      <w:r>
        <w:t>2019</w:t>
      </w:r>
      <w:r w:rsidRPr="008D3F8E">
        <w:rPr>
          <w:rtl/>
          <w:lang w:bidi="ar-EG"/>
        </w:rPr>
        <w:t xml:space="preserve"> أن تلتمس اعتماد </w:t>
      </w:r>
      <w:r w:rsidRPr="008D3F8E">
        <w:rPr>
          <w:rFonts w:hint="cs"/>
          <w:rtl/>
          <w:lang w:bidi="ar-EG"/>
        </w:rPr>
        <w:t>مشروع توصية جديدة ومشروع مراج</w:t>
      </w:r>
      <w:r>
        <w:rPr>
          <w:rFonts w:hint="cs"/>
          <w:rtl/>
          <w:lang w:bidi="ar-EG"/>
        </w:rPr>
        <w:t>َ</w:t>
      </w:r>
      <w:r w:rsidRPr="008D3F8E">
        <w:rPr>
          <w:rFonts w:hint="cs"/>
          <w:rtl/>
          <w:lang w:bidi="ar-EG"/>
        </w:rPr>
        <w:t xml:space="preserve">عة توصية </w:t>
      </w:r>
      <w:r>
        <w:rPr>
          <w:rFonts w:hint="cs"/>
          <w:rtl/>
          <w:lang w:bidi="ar-EG"/>
        </w:rPr>
        <w:t xml:space="preserve">لقطاع الاتصالات الراديوية </w:t>
      </w:r>
      <w:r w:rsidRPr="008D3F8E">
        <w:rPr>
          <w:rFonts w:hint="cs"/>
          <w:rtl/>
          <w:lang w:bidi="ar-EG"/>
        </w:rPr>
        <w:t xml:space="preserve">عن طريق </w:t>
      </w:r>
      <w:r w:rsidR="004706B3" w:rsidRPr="008D3F8E">
        <w:rPr>
          <w:rFonts w:hint="cs"/>
          <w:rtl/>
          <w:lang w:bidi="ar-EG"/>
        </w:rPr>
        <w:t>ال</w:t>
      </w:r>
      <w:r w:rsidR="004706B3">
        <w:rPr>
          <w:rFonts w:hint="cs"/>
          <w:rtl/>
          <w:lang w:bidi="ar-EG"/>
        </w:rPr>
        <w:t>م</w:t>
      </w:r>
      <w:r w:rsidR="004706B3" w:rsidRPr="008D3F8E">
        <w:rPr>
          <w:rFonts w:hint="cs"/>
          <w:rtl/>
          <w:lang w:bidi="ar-EG"/>
        </w:rPr>
        <w:t>راسلة</w:t>
      </w:r>
      <w:r w:rsidRPr="008D3F8E">
        <w:rPr>
          <w:rFonts w:hint="cs"/>
          <w:rtl/>
          <w:lang w:bidi="ar-EG"/>
        </w:rPr>
        <w:t xml:space="preserve"> (الفقرة</w:t>
      </w:r>
      <w:r w:rsidRPr="008D3F8E">
        <w:rPr>
          <w:rFonts w:hint="eastAsia"/>
          <w:rtl/>
          <w:lang w:bidi="ar-EG"/>
        </w:rPr>
        <w:t> </w:t>
      </w:r>
      <w:r>
        <w:t>2.6.A2</w:t>
      </w:r>
      <w:r w:rsidRPr="008D3F8E">
        <w:rPr>
          <w:rFonts w:hint="cs"/>
          <w:rtl/>
          <w:lang w:bidi="ar-EG"/>
        </w:rPr>
        <w:t xml:space="preserve"> من القرار </w:t>
      </w:r>
      <w:r w:rsidRPr="008D3F8E">
        <w:t>ITU</w:t>
      </w:r>
      <w:r w:rsidRPr="008D3F8E">
        <w:noBreakHyphen/>
        <w:t>R 1</w:t>
      </w:r>
      <w:r w:rsidRPr="008D3F8E">
        <w:noBreakHyphen/>
      </w:r>
      <w:r>
        <w:t>7</w:t>
      </w:r>
      <w:r w:rsidRPr="008D3F8E">
        <w:rPr>
          <w:rFonts w:hint="cs"/>
          <w:rtl/>
          <w:lang w:bidi="ar-EG"/>
        </w:rPr>
        <w:t xml:space="preserve">) وقررت كذلك تطبيق إجراء الاعتماد </w:t>
      </w:r>
      <w:r w:rsidR="004706B3" w:rsidRPr="008D3F8E">
        <w:rPr>
          <w:rFonts w:hint="cs"/>
          <w:rtl/>
          <w:lang w:bidi="ar-EG"/>
        </w:rPr>
        <w:t>وال</w:t>
      </w:r>
      <w:r w:rsidR="004706B3">
        <w:rPr>
          <w:rFonts w:hint="cs"/>
          <w:rtl/>
          <w:lang w:bidi="ar-EG"/>
        </w:rPr>
        <w:t>م</w:t>
      </w:r>
      <w:r w:rsidR="004706B3" w:rsidRPr="008D3F8E">
        <w:rPr>
          <w:rFonts w:hint="cs"/>
          <w:rtl/>
          <w:lang w:bidi="ar-EG"/>
        </w:rPr>
        <w:t>وافقة</w:t>
      </w:r>
      <w:r w:rsidRPr="008D3F8E">
        <w:rPr>
          <w:rFonts w:hint="cs"/>
          <w:rtl/>
          <w:lang w:bidi="ar-EG"/>
        </w:rPr>
        <w:t xml:space="preserve"> في نفس الوقت عن طريق </w:t>
      </w:r>
      <w:r w:rsidR="004706B3" w:rsidRPr="008D3F8E">
        <w:rPr>
          <w:rFonts w:hint="cs"/>
          <w:rtl/>
          <w:lang w:bidi="ar-EG"/>
        </w:rPr>
        <w:t>ال</w:t>
      </w:r>
      <w:r w:rsidR="004706B3">
        <w:rPr>
          <w:rFonts w:hint="cs"/>
          <w:rtl/>
          <w:lang w:bidi="ar-EG"/>
        </w:rPr>
        <w:t>م</w:t>
      </w:r>
      <w:r w:rsidR="004706B3" w:rsidRPr="008D3F8E">
        <w:rPr>
          <w:rFonts w:hint="cs"/>
          <w:rtl/>
          <w:lang w:bidi="ar-EG"/>
        </w:rPr>
        <w:t>راسلة</w:t>
      </w:r>
      <w:r w:rsidRPr="008D3F8E">
        <w:rPr>
          <w:rFonts w:hint="eastAsia"/>
          <w:rtl/>
          <w:lang w:bidi="ar-EG"/>
        </w:rPr>
        <w:t> </w:t>
      </w:r>
      <w:r w:rsidRPr="008D3F8E">
        <w:t>(PSAA)</w:t>
      </w:r>
      <w:r w:rsidRPr="008D3F8E">
        <w:rPr>
          <w:rFonts w:hint="cs"/>
          <w:rtl/>
          <w:lang w:bidi="ar-EG"/>
        </w:rPr>
        <w:t xml:space="preserve"> (الفقرة </w:t>
      </w:r>
      <w:r>
        <w:t>4.2.6.A2</w:t>
      </w:r>
      <w:r w:rsidRPr="008D3F8E">
        <w:rPr>
          <w:rFonts w:hint="cs"/>
          <w:rtl/>
          <w:lang w:bidi="ar-EG"/>
        </w:rPr>
        <w:t xml:space="preserve"> من القرار </w:t>
      </w:r>
      <w:r w:rsidRPr="008D3F8E">
        <w:t>ITU</w:t>
      </w:r>
      <w:r w:rsidRPr="008D3F8E">
        <w:noBreakHyphen/>
        <w:t>R 1</w:t>
      </w:r>
      <w:r w:rsidRPr="008D3F8E">
        <w:noBreakHyphen/>
      </w:r>
      <w:r>
        <w:t>7</w:t>
      </w:r>
      <w:r w:rsidRPr="008D3F8E">
        <w:rPr>
          <w:rFonts w:hint="cs"/>
          <w:rtl/>
          <w:lang w:bidi="ar-EG"/>
        </w:rPr>
        <w:t xml:space="preserve">). ويرد في </w:t>
      </w:r>
      <w:r w:rsidR="004706B3" w:rsidRPr="008D3F8E">
        <w:rPr>
          <w:rFonts w:hint="cs"/>
          <w:rtl/>
          <w:lang w:bidi="ar-EG"/>
        </w:rPr>
        <w:t>ال</w:t>
      </w:r>
      <w:r w:rsidR="004706B3">
        <w:rPr>
          <w:rFonts w:hint="cs"/>
          <w:rtl/>
          <w:lang w:bidi="ar-EG"/>
        </w:rPr>
        <w:t>م</w:t>
      </w:r>
      <w:r w:rsidR="004706B3" w:rsidRPr="008D3F8E">
        <w:rPr>
          <w:rFonts w:hint="cs"/>
          <w:rtl/>
          <w:lang w:bidi="ar-EG"/>
        </w:rPr>
        <w:t>لحق</w:t>
      </w:r>
      <w:r w:rsidRPr="008D3F8E">
        <w:rPr>
          <w:rFonts w:hint="cs"/>
          <w:rtl/>
          <w:lang w:bidi="ar-EG"/>
        </w:rPr>
        <w:t xml:space="preserve"> </w:t>
      </w:r>
      <w:r>
        <w:rPr>
          <w:rFonts w:hint="cs"/>
          <w:rtl/>
        </w:rPr>
        <w:t>بهذه الرسالة</w:t>
      </w:r>
      <w:r>
        <w:rPr>
          <w:rFonts w:hint="cs"/>
          <w:rtl/>
          <w:lang w:bidi="ar-EG"/>
        </w:rPr>
        <w:t xml:space="preserve"> عنوان</w:t>
      </w:r>
      <w:r w:rsidR="00AA3BE3">
        <w:rPr>
          <w:rFonts w:hint="cs"/>
          <w:rtl/>
          <w:lang w:bidi="ar-EG"/>
        </w:rPr>
        <w:t xml:space="preserve"> وملخص</w:t>
      </w:r>
      <w:r>
        <w:rPr>
          <w:rFonts w:hint="cs"/>
          <w:rtl/>
          <w:lang w:bidi="ar-EG"/>
        </w:rPr>
        <w:t xml:space="preserve"> كل من</w:t>
      </w:r>
      <w:r w:rsidR="004D5392">
        <w:rPr>
          <w:rFonts w:hint="cs"/>
          <w:rtl/>
          <w:lang w:bidi="ar-EG"/>
        </w:rPr>
        <w:t xml:space="preserve"> مشروعي</w:t>
      </w:r>
      <w:r>
        <w:rPr>
          <w:rFonts w:hint="cs"/>
          <w:rtl/>
          <w:lang w:bidi="ar-EG"/>
        </w:rPr>
        <w:t xml:space="preserve"> التوصيتين. ويرجى من أي دولة عضو تعترض على اعتماد مشروع توصية أن </w:t>
      </w:r>
      <w:r w:rsidR="004706B3">
        <w:rPr>
          <w:rFonts w:hint="cs"/>
          <w:rtl/>
          <w:lang w:bidi="ar-EG"/>
        </w:rPr>
        <w:t>تخبر</w:t>
      </w:r>
      <w:r>
        <w:rPr>
          <w:rFonts w:hint="cs"/>
          <w:rtl/>
          <w:lang w:bidi="ar-EG"/>
        </w:rPr>
        <w:t xml:space="preserve"> </w:t>
      </w:r>
      <w:r w:rsidR="004706B3">
        <w:rPr>
          <w:rFonts w:hint="cs"/>
          <w:rtl/>
          <w:lang w:bidi="ar-EG"/>
        </w:rPr>
        <w:t>المدير</w:t>
      </w:r>
      <w:r>
        <w:rPr>
          <w:rFonts w:hint="cs"/>
          <w:rtl/>
          <w:lang w:bidi="ar-EG"/>
        </w:rPr>
        <w:t xml:space="preserve"> ورئيس </w:t>
      </w:r>
      <w:r w:rsidR="004706B3">
        <w:rPr>
          <w:rFonts w:hint="cs"/>
          <w:rtl/>
          <w:lang w:bidi="ar-EG"/>
        </w:rPr>
        <w:t>لجنة</w:t>
      </w:r>
      <w:r>
        <w:rPr>
          <w:rFonts w:hint="cs"/>
          <w:rtl/>
          <w:lang w:bidi="ar-EG"/>
        </w:rPr>
        <w:t xml:space="preserve"> الدراسات بأسباب</w:t>
      </w:r>
      <w:r>
        <w:rPr>
          <w:rFonts w:hint="eastAsia"/>
          <w:rtl/>
          <w:lang w:bidi="ar-EG"/>
        </w:rPr>
        <w:t> </w:t>
      </w:r>
      <w:r>
        <w:rPr>
          <w:rFonts w:hint="cs"/>
          <w:rtl/>
          <w:lang w:bidi="ar-EG"/>
        </w:rPr>
        <w:t>اعتراضها.</w:t>
      </w:r>
    </w:p>
    <w:p w:rsidR="00BF40E0" w:rsidRPr="002841F3" w:rsidRDefault="004706B3" w:rsidP="00BF40E0">
      <w:pPr>
        <w:rPr>
          <w:spacing w:val="2"/>
          <w:rtl/>
          <w:lang w:bidi="ar-EG"/>
        </w:rPr>
      </w:pPr>
      <w:r w:rsidRPr="002841F3">
        <w:rPr>
          <w:rFonts w:hint="cs"/>
          <w:spacing w:val="2"/>
          <w:rtl/>
          <w:lang w:bidi="ar-EG"/>
        </w:rPr>
        <w:t>وت</w:t>
      </w:r>
      <w:r>
        <w:rPr>
          <w:rFonts w:hint="cs"/>
          <w:spacing w:val="2"/>
          <w:rtl/>
          <w:lang w:bidi="ar-EG"/>
        </w:rPr>
        <w:t>م</w:t>
      </w:r>
      <w:r w:rsidRPr="002841F3">
        <w:rPr>
          <w:rFonts w:hint="cs"/>
          <w:spacing w:val="2"/>
          <w:rtl/>
          <w:lang w:bidi="ar-EG"/>
        </w:rPr>
        <w:t>تد</w:t>
      </w:r>
      <w:r w:rsidR="006B39EF" w:rsidRPr="002841F3">
        <w:rPr>
          <w:spacing w:val="2"/>
          <w:rtl/>
          <w:lang w:bidi="ar-EG"/>
        </w:rPr>
        <w:t xml:space="preserve"> فترة النظر </w:t>
      </w:r>
      <w:r w:rsidRPr="002841F3">
        <w:rPr>
          <w:rFonts w:hint="cs"/>
          <w:spacing w:val="2"/>
          <w:rtl/>
          <w:lang w:bidi="ar-EG"/>
        </w:rPr>
        <w:t>ل</w:t>
      </w:r>
      <w:r>
        <w:rPr>
          <w:rFonts w:hint="cs"/>
          <w:spacing w:val="2"/>
          <w:rtl/>
          <w:lang w:bidi="ar-EG"/>
        </w:rPr>
        <w:t>م</w:t>
      </w:r>
      <w:r w:rsidRPr="002841F3">
        <w:rPr>
          <w:rFonts w:hint="cs"/>
          <w:spacing w:val="2"/>
          <w:rtl/>
          <w:lang w:bidi="ar-EG"/>
        </w:rPr>
        <w:t>دة</w:t>
      </w:r>
      <w:r w:rsidR="006B39EF" w:rsidRPr="002841F3">
        <w:rPr>
          <w:rFonts w:hint="cs"/>
          <w:spacing w:val="2"/>
          <w:rtl/>
          <w:lang w:bidi="ar-EG"/>
        </w:rPr>
        <w:t xml:space="preserve"> شهرين </w:t>
      </w:r>
      <w:r w:rsidR="006B39EF" w:rsidRPr="002841F3">
        <w:rPr>
          <w:spacing w:val="2"/>
          <w:rtl/>
          <w:lang w:bidi="ar-EG"/>
        </w:rPr>
        <w:t>تنتهي في</w:t>
      </w:r>
      <w:r w:rsidR="006B39EF" w:rsidRPr="002841F3">
        <w:rPr>
          <w:rFonts w:hint="cs"/>
          <w:spacing w:val="2"/>
          <w:rtl/>
          <w:lang w:bidi="ar-EG"/>
        </w:rPr>
        <w:t xml:space="preserve"> </w:t>
      </w:r>
      <w:r w:rsidR="006B39EF">
        <w:rPr>
          <w:spacing w:val="2"/>
          <w:u w:val="single"/>
          <w:lang w:bidi="ar-EG"/>
        </w:rPr>
        <w:t>17</w:t>
      </w:r>
      <w:r w:rsidR="006B39EF" w:rsidRPr="00CB652E">
        <w:rPr>
          <w:rFonts w:hint="cs"/>
          <w:spacing w:val="2"/>
          <w:u w:val="single"/>
          <w:rtl/>
          <w:lang w:bidi="ar-EG"/>
        </w:rPr>
        <w:t xml:space="preserve"> </w:t>
      </w:r>
      <w:r w:rsidR="006B39EF">
        <w:rPr>
          <w:rFonts w:hint="cs"/>
          <w:spacing w:val="2"/>
          <w:u w:val="single"/>
          <w:rtl/>
          <w:lang w:bidi="ar-EG"/>
        </w:rPr>
        <w:t>سبتمبر</w:t>
      </w:r>
      <w:r w:rsidR="006B39EF" w:rsidRPr="00CB652E">
        <w:rPr>
          <w:rFonts w:hint="cs"/>
          <w:spacing w:val="2"/>
          <w:u w:val="single"/>
          <w:rtl/>
          <w:lang w:bidi="ar-EG"/>
        </w:rPr>
        <w:t xml:space="preserve"> </w:t>
      </w:r>
      <w:r w:rsidR="006B39EF" w:rsidRPr="00CB652E">
        <w:rPr>
          <w:spacing w:val="2"/>
          <w:u w:val="single"/>
        </w:rPr>
        <w:t>201</w:t>
      </w:r>
      <w:r w:rsidR="006B39EF">
        <w:rPr>
          <w:spacing w:val="2"/>
          <w:u w:val="single"/>
        </w:rPr>
        <w:t>9</w:t>
      </w:r>
      <w:r w:rsidR="006B39EF" w:rsidRPr="002841F3">
        <w:rPr>
          <w:spacing w:val="2"/>
          <w:rtl/>
          <w:lang w:bidi="ar-EG"/>
        </w:rPr>
        <w:t xml:space="preserve">. وإذا </w:t>
      </w:r>
      <w:r w:rsidRPr="002841F3">
        <w:rPr>
          <w:rFonts w:hint="cs"/>
          <w:spacing w:val="2"/>
          <w:rtl/>
          <w:lang w:bidi="ar-EG"/>
        </w:rPr>
        <w:t>ل</w:t>
      </w:r>
      <w:r>
        <w:rPr>
          <w:rFonts w:hint="cs"/>
          <w:spacing w:val="2"/>
          <w:rtl/>
          <w:lang w:bidi="ar-EG"/>
        </w:rPr>
        <w:t>م</w:t>
      </w:r>
      <w:r w:rsidR="006B39EF" w:rsidRPr="002841F3">
        <w:rPr>
          <w:spacing w:val="2"/>
          <w:rtl/>
          <w:lang w:bidi="ar-EG"/>
        </w:rPr>
        <w:t xml:space="preserve"> ترد أي اعتراضات من الدول الأعضاء خلال هذه الفترة فإن</w:t>
      </w:r>
      <w:r w:rsidR="006B39EF">
        <w:rPr>
          <w:rFonts w:hint="cs"/>
          <w:spacing w:val="2"/>
          <w:rtl/>
          <w:lang w:bidi="ar-EG"/>
        </w:rPr>
        <w:t> </w:t>
      </w:r>
      <w:r w:rsidR="006B39EF" w:rsidRPr="002841F3">
        <w:rPr>
          <w:rFonts w:hint="cs"/>
          <w:spacing w:val="2"/>
          <w:rtl/>
          <w:lang w:bidi="ar-EG"/>
        </w:rPr>
        <w:t>مشروع</w:t>
      </w:r>
      <w:r w:rsidR="006B39EF">
        <w:rPr>
          <w:rFonts w:hint="cs"/>
          <w:spacing w:val="2"/>
          <w:rtl/>
        </w:rPr>
        <w:t>ي</w:t>
      </w:r>
      <w:r w:rsidR="006B39EF">
        <w:rPr>
          <w:rFonts w:hint="cs"/>
          <w:spacing w:val="2"/>
          <w:rtl/>
          <w:lang w:bidi="ar-EG"/>
        </w:rPr>
        <w:t xml:space="preserve"> التوصيتين </w:t>
      </w:r>
      <w:r w:rsidR="006B39EF" w:rsidRPr="002841F3">
        <w:rPr>
          <w:rFonts w:hint="cs"/>
          <w:spacing w:val="2"/>
          <w:rtl/>
          <w:lang w:bidi="ar-EG"/>
        </w:rPr>
        <w:t>يعتبر</w:t>
      </w:r>
      <w:r w:rsidR="006B39EF">
        <w:rPr>
          <w:rFonts w:hint="cs"/>
          <w:spacing w:val="2"/>
          <w:rtl/>
          <w:lang w:bidi="ar-EG"/>
        </w:rPr>
        <w:t>ان</w:t>
      </w:r>
      <w:r w:rsidR="006B39EF" w:rsidRPr="002841F3">
        <w:rPr>
          <w:rFonts w:hint="cs"/>
          <w:spacing w:val="2"/>
          <w:rtl/>
          <w:lang w:bidi="ar-EG"/>
        </w:rPr>
        <w:t xml:space="preserve"> قد اعتمدته</w:t>
      </w:r>
      <w:r w:rsidR="006B39EF">
        <w:rPr>
          <w:rFonts w:hint="cs"/>
          <w:spacing w:val="2"/>
          <w:rtl/>
          <w:lang w:bidi="ar-EG"/>
        </w:rPr>
        <w:t>ما</w:t>
      </w:r>
      <w:r w:rsidR="006B39EF" w:rsidRPr="002841F3">
        <w:rPr>
          <w:rFonts w:hint="cs"/>
          <w:spacing w:val="2"/>
          <w:rtl/>
          <w:lang w:bidi="ar-EG"/>
        </w:rPr>
        <w:t xml:space="preserve"> </w:t>
      </w:r>
      <w:r w:rsidRPr="002841F3">
        <w:rPr>
          <w:rFonts w:hint="cs"/>
          <w:spacing w:val="2"/>
          <w:rtl/>
          <w:lang w:bidi="ar-EG"/>
        </w:rPr>
        <w:t>ل</w:t>
      </w:r>
      <w:r>
        <w:rPr>
          <w:rFonts w:hint="cs"/>
          <w:spacing w:val="2"/>
          <w:rtl/>
          <w:lang w:bidi="ar-EG"/>
        </w:rPr>
        <w:t>ج</w:t>
      </w:r>
      <w:r w:rsidRPr="002841F3">
        <w:rPr>
          <w:rFonts w:hint="cs"/>
          <w:spacing w:val="2"/>
          <w:rtl/>
          <w:lang w:bidi="ar-EG"/>
        </w:rPr>
        <w:t>نة</w:t>
      </w:r>
      <w:r w:rsidR="006B39EF" w:rsidRPr="002841F3">
        <w:rPr>
          <w:spacing w:val="2"/>
          <w:rtl/>
          <w:lang w:bidi="ar-EG"/>
        </w:rPr>
        <w:t xml:space="preserve"> الدراسات</w:t>
      </w:r>
      <w:r w:rsidR="006B39EF" w:rsidRPr="002841F3">
        <w:rPr>
          <w:rFonts w:hint="eastAsia"/>
          <w:spacing w:val="2"/>
          <w:rtl/>
          <w:lang w:bidi="ar-EG"/>
        </w:rPr>
        <w:t> </w:t>
      </w:r>
      <w:r w:rsidR="006B39EF">
        <w:rPr>
          <w:spacing w:val="2"/>
        </w:rPr>
        <w:t>4</w:t>
      </w:r>
      <w:r w:rsidR="006B39EF" w:rsidRPr="002841F3">
        <w:rPr>
          <w:spacing w:val="2"/>
          <w:rtl/>
          <w:lang w:bidi="ar-EG"/>
        </w:rPr>
        <w:t xml:space="preserve">. </w:t>
      </w:r>
      <w:r w:rsidR="006B39EF" w:rsidRPr="002841F3">
        <w:rPr>
          <w:rFonts w:hint="cs"/>
          <w:spacing w:val="2"/>
          <w:rtl/>
          <w:lang w:bidi="ar-EG"/>
        </w:rPr>
        <w:t>وعلاوة</w:t>
      </w:r>
      <w:r w:rsidR="006B39EF">
        <w:rPr>
          <w:rFonts w:hint="cs"/>
          <w:spacing w:val="2"/>
          <w:rtl/>
          <w:lang w:bidi="ar-EG"/>
        </w:rPr>
        <w:t>ً</w:t>
      </w:r>
      <w:r w:rsidR="006B39EF" w:rsidRPr="002841F3">
        <w:rPr>
          <w:rFonts w:hint="cs"/>
          <w:spacing w:val="2"/>
          <w:rtl/>
          <w:lang w:bidi="ar-EG"/>
        </w:rPr>
        <w:t xml:space="preserve"> على</w:t>
      </w:r>
      <w:r w:rsidR="006B39EF" w:rsidRPr="002841F3">
        <w:rPr>
          <w:spacing w:val="2"/>
          <w:rtl/>
          <w:lang w:bidi="ar-EG"/>
        </w:rPr>
        <w:t xml:space="preserve"> ذلك، </w:t>
      </w:r>
      <w:r w:rsidRPr="002841F3">
        <w:rPr>
          <w:rFonts w:hint="cs"/>
          <w:spacing w:val="2"/>
          <w:rtl/>
          <w:lang w:bidi="ar-EG"/>
        </w:rPr>
        <w:t>ول</w:t>
      </w:r>
      <w:r>
        <w:rPr>
          <w:rFonts w:hint="cs"/>
          <w:spacing w:val="2"/>
          <w:rtl/>
          <w:lang w:bidi="ar-EG"/>
        </w:rPr>
        <w:t>م</w:t>
      </w:r>
      <w:r w:rsidRPr="002841F3">
        <w:rPr>
          <w:rFonts w:hint="cs"/>
          <w:spacing w:val="2"/>
          <w:rtl/>
          <w:lang w:bidi="ar-EG"/>
        </w:rPr>
        <w:t>ا</w:t>
      </w:r>
      <w:r w:rsidR="006B39EF" w:rsidRPr="002841F3">
        <w:rPr>
          <w:spacing w:val="2"/>
          <w:rtl/>
          <w:lang w:bidi="ar-EG"/>
        </w:rPr>
        <w:t xml:space="preserve"> كان قد</w:t>
      </w:r>
      <w:r w:rsidR="006B39EF">
        <w:rPr>
          <w:rFonts w:hint="cs"/>
          <w:spacing w:val="2"/>
          <w:rtl/>
          <w:lang w:bidi="ar-EG"/>
        </w:rPr>
        <w:t> </w:t>
      </w:r>
      <w:r w:rsidRPr="002841F3">
        <w:rPr>
          <w:rFonts w:hint="cs"/>
          <w:spacing w:val="2"/>
          <w:rtl/>
          <w:lang w:bidi="ar-EG"/>
        </w:rPr>
        <w:t>ت</w:t>
      </w:r>
      <w:r>
        <w:rPr>
          <w:rFonts w:hint="cs"/>
          <w:spacing w:val="2"/>
          <w:rtl/>
          <w:lang w:bidi="ar-EG"/>
        </w:rPr>
        <w:t>م</w:t>
      </w:r>
      <w:r w:rsidR="006B39EF" w:rsidRPr="002841F3">
        <w:rPr>
          <w:spacing w:val="2"/>
          <w:rtl/>
          <w:lang w:bidi="ar-EG"/>
        </w:rPr>
        <w:t xml:space="preserve"> اتباع إجراء الاعتماد </w:t>
      </w:r>
      <w:r w:rsidRPr="002841F3">
        <w:rPr>
          <w:rFonts w:hint="cs"/>
          <w:spacing w:val="2"/>
          <w:rtl/>
          <w:lang w:bidi="ar-EG"/>
        </w:rPr>
        <w:t>وال</w:t>
      </w:r>
      <w:r>
        <w:rPr>
          <w:rFonts w:hint="cs"/>
          <w:spacing w:val="2"/>
          <w:rtl/>
          <w:lang w:bidi="ar-EG"/>
        </w:rPr>
        <w:t>م</w:t>
      </w:r>
      <w:r w:rsidRPr="002841F3">
        <w:rPr>
          <w:rFonts w:hint="cs"/>
          <w:spacing w:val="2"/>
          <w:rtl/>
          <w:lang w:bidi="ar-EG"/>
        </w:rPr>
        <w:t>وافقة</w:t>
      </w:r>
      <w:r w:rsidR="006B39EF" w:rsidRPr="002841F3">
        <w:rPr>
          <w:spacing w:val="2"/>
          <w:rtl/>
          <w:lang w:bidi="ar-EG"/>
        </w:rPr>
        <w:t xml:space="preserve"> في</w:t>
      </w:r>
      <w:r w:rsidR="006B39EF" w:rsidRPr="002841F3">
        <w:rPr>
          <w:rFonts w:hint="cs"/>
          <w:spacing w:val="2"/>
          <w:rtl/>
          <w:lang w:bidi="ar-EG"/>
        </w:rPr>
        <w:t> </w:t>
      </w:r>
      <w:r w:rsidR="006B39EF" w:rsidRPr="002841F3">
        <w:rPr>
          <w:spacing w:val="2"/>
          <w:rtl/>
          <w:lang w:bidi="ar-EG"/>
        </w:rPr>
        <w:t xml:space="preserve">نفس الوقت عن طريق </w:t>
      </w:r>
      <w:r w:rsidRPr="002841F3">
        <w:rPr>
          <w:rFonts w:hint="cs"/>
          <w:spacing w:val="2"/>
          <w:rtl/>
          <w:lang w:bidi="ar-EG"/>
        </w:rPr>
        <w:t>ال</w:t>
      </w:r>
      <w:r>
        <w:rPr>
          <w:rFonts w:hint="cs"/>
          <w:spacing w:val="2"/>
          <w:rtl/>
          <w:lang w:bidi="ar-EG"/>
        </w:rPr>
        <w:t>م</w:t>
      </w:r>
      <w:r w:rsidRPr="002841F3">
        <w:rPr>
          <w:rFonts w:hint="cs"/>
          <w:spacing w:val="2"/>
          <w:rtl/>
          <w:lang w:bidi="ar-EG"/>
        </w:rPr>
        <w:t>راسلة</w:t>
      </w:r>
      <w:r w:rsidR="006B39EF" w:rsidRPr="002841F3">
        <w:rPr>
          <w:spacing w:val="2"/>
          <w:rtl/>
          <w:lang w:bidi="ar-EG"/>
        </w:rPr>
        <w:t xml:space="preserve">، فإن </w:t>
      </w:r>
      <w:r w:rsidR="006B39EF" w:rsidRPr="002841F3">
        <w:rPr>
          <w:rFonts w:hint="cs"/>
          <w:spacing w:val="2"/>
          <w:rtl/>
          <w:lang w:bidi="ar-EG"/>
        </w:rPr>
        <w:t>مشروع</w:t>
      </w:r>
      <w:r w:rsidR="006B39EF">
        <w:rPr>
          <w:rFonts w:hint="cs"/>
          <w:spacing w:val="2"/>
          <w:rtl/>
        </w:rPr>
        <w:t>ي</w:t>
      </w:r>
      <w:r w:rsidR="006B39EF">
        <w:rPr>
          <w:rFonts w:hint="cs"/>
          <w:spacing w:val="2"/>
          <w:rtl/>
          <w:lang w:bidi="ar-EG"/>
        </w:rPr>
        <w:t xml:space="preserve"> التوصيتين سيعتبران</w:t>
      </w:r>
      <w:r w:rsidR="006B39EF" w:rsidRPr="002841F3">
        <w:rPr>
          <w:spacing w:val="2"/>
          <w:rtl/>
          <w:lang w:bidi="ar-EG"/>
        </w:rPr>
        <w:t xml:space="preserve"> أيضاً </w:t>
      </w:r>
      <w:r w:rsidRPr="002841F3">
        <w:rPr>
          <w:rFonts w:hint="cs"/>
          <w:spacing w:val="2"/>
          <w:rtl/>
          <w:lang w:bidi="ar-EG"/>
        </w:rPr>
        <w:t>ب</w:t>
      </w:r>
      <w:r>
        <w:rPr>
          <w:rFonts w:hint="cs"/>
          <w:spacing w:val="2"/>
          <w:rtl/>
          <w:lang w:bidi="ar-EG"/>
        </w:rPr>
        <w:t>ح</w:t>
      </w:r>
      <w:r w:rsidRPr="002841F3">
        <w:rPr>
          <w:rFonts w:hint="cs"/>
          <w:spacing w:val="2"/>
          <w:rtl/>
          <w:lang w:bidi="ar-EG"/>
        </w:rPr>
        <w:t>كم</w:t>
      </w:r>
      <w:r w:rsidR="006B39EF" w:rsidRPr="002841F3">
        <w:rPr>
          <w:spacing w:val="2"/>
          <w:rtl/>
          <w:lang w:bidi="ar-EG"/>
        </w:rPr>
        <w:t xml:space="preserve"> </w:t>
      </w:r>
      <w:r w:rsidRPr="002841F3">
        <w:rPr>
          <w:rFonts w:hint="cs"/>
          <w:spacing w:val="2"/>
          <w:rtl/>
          <w:lang w:bidi="ar-EG"/>
        </w:rPr>
        <w:t>ال</w:t>
      </w:r>
      <w:r>
        <w:rPr>
          <w:rFonts w:hint="cs"/>
          <w:spacing w:val="2"/>
          <w:rtl/>
          <w:lang w:bidi="ar-EG"/>
        </w:rPr>
        <w:t>م</w:t>
      </w:r>
      <w:r w:rsidRPr="002841F3">
        <w:rPr>
          <w:rFonts w:hint="cs"/>
          <w:spacing w:val="2"/>
          <w:rtl/>
          <w:lang w:bidi="ar-EG"/>
        </w:rPr>
        <w:t>واف</w:t>
      </w:r>
      <w:r>
        <w:rPr>
          <w:rFonts w:hint="cs"/>
          <w:spacing w:val="2"/>
          <w:rtl/>
          <w:lang w:bidi="ar-EG"/>
        </w:rPr>
        <w:t>َ</w:t>
      </w:r>
      <w:r w:rsidRPr="002841F3">
        <w:rPr>
          <w:rFonts w:hint="cs"/>
          <w:spacing w:val="2"/>
          <w:rtl/>
          <w:lang w:bidi="ar-EG"/>
        </w:rPr>
        <w:t>ق</w:t>
      </w:r>
      <w:r w:rsidR="006B39EF" w:rsidRPr="002841F3">
        <w:rPr>
          <w:spacing w:val="2"/>
          <w:rtl/>
          <w:lang w:bidi="ar-EG"/>
        </w:rPr>
        <w:t xml:space="preserve"> عليه</w:t>
      </w:r>
      <w:r w:rsidR="006B39EF">
        <w:rPr>
          <w:rFonts w:hint="cs"/>
          <w:spacing w:val="2"/>
          <w:rtl/>
          <w:lang w:bidi="ar-EG"/>
        </w:rPr>
        <w:t>ما</w:t>
      </w:r>
      <w:r w:rsidR="006B39EF" w:rsidRPr="002841F3">
        <w:rPr>
          <w:spacing w:val="2"/>
          <w:rtl/>
          <w:lang w:bidi="ar-EG"/>
        </w:rPr>
        <w:t>.</w:t>
      </w:r>
    </w:p>
    <w:p w:rsidR="0053550F" w:rsidRDefault="006B39EF" w:rsidP="006B40B4">
      <w:pPr>
        <w:rPr>
          <w:rtl/>
          <w:lang w:bidi="ar-EG"/>
        </w:rPr>
      </w:pPr>
      <w:r w:rsidRPr="008D3F8E">
        <w:rPr>
          <w:rtl/>
          <w:lang w:bidi="ar-EG"/>
        </w:rPr>
        <w:t xml:space="preserve">وبعد </w:t>
      </w:r>
      <w:r w:rsidR="004706B3" w:rsidRPr="008D3F8E">
        <w:rPr>
          <w:rFonts w:hint="cs"/>
          <w:rtl/>
          <w:lang w:bidi="ar-EG"/>
        </w:rPr>
        <w:t>ال</w:t>
      </w:r>
      <w:r w:rsidR="004706B3">
        <w:rPr>
          <w:rFonts w:hint="cs"/>
          <w:rtl/>
          <w:lang w:bidi="ar-EG"/>
        </w:rPr>
        <w:t>م</w:t>
      </w:r>
      <w:r w:rsidR="004706B3" w:rsidRPr="008D3F8E">
        <w:rPr>
          <w:rFonts w:hint="cs"/>
          <w:rtl/>
          <w:lang w:bidi="ar-EG"/>
        </w:rPr>
        <w:t>هلة</w:t>
      </w:r>
      <w:r w:rsidRPr="008D3F8E">
        <w:rPr>
          <w:rtl/>
          <w:lang w:bidi="ar-EG"/>
        </w:rPr>
        <w:t xml:space="preserve"> </w:t>
      </w:r>
      <w:r w:rsidR="004706B3" w:rsidRPr="008D3F8E">
        <w:rPr>
          <w:rFonts w:hint="cs"/>
          <w:rtl/>
          <w:lang w:bidi="ar-EG"/>
        </w:rPr>
        <w:t>ال</w:t>
      </w:r>
      <w:r w:rsidR="004706B3">
        <w:rPr>
          <w:rFonts w:hint="cs"/>
          <w:rtl/>
          <w:lang w:bidi="ar-EG"/>
        </w:rPr>
        <w:t>م</w:t>
      </w:r>
      <w:r w:rsidR="004706B3" w:rsidRPr="008D3F8E">
        <w:rPr>
          <w:rFonts w:hint="cs"/>
          <w:rtl/>
          <w:lang w:bidi="ar-EG"/>
        </w:rPr>
        <w:t>حددة</w:t>
      </w:r>
      <w:r w:rsidRPr="008D3F8E">
        <w:rPr>
          <w:rtl/>
          <w:lang w:bidi="ar-EG"/>
        </w:rPr>
        <w:t xml:space="preserve"> أعلاه</w:t>
      </w:r>
      <w:r w:rsidRPr="008D3F8E">
        <w:rPr>
          <w:rFonts w:hint="cs"/>
          <w:rtl/>
          <w:lang w:bidi="ar-EG"/>
        </w:rPr>
        <w:t>،</w:t>
      </w:r>
      <w:r w:rsidRPr="008D3F8E">
        <w:rPr>
          <w:rtl/>
          <w:lang w:bidi="ar-EG"/>
        </w:rPr>
        <w:t xml:space="preserve"> ستعلن نتائج </w:t>
      </w:r>
      <w:r>
        <w:rPr>
          <w:rFonts w:hint="cs"/>
          <w:rtl/>
          <w:lang w:bidi="ar-EG"/>
        </w:rPr>
        <w:t xml:space="preserve">الإجراءات </w:t>
      </w:r>
      <w:r w:rsidR="004706B3">
        <w:rPr>
          <w:rFonts w:hint="cs"/>
          <w:rtl/>
          <w:lang w:bidi="ar-EG"/>
        </w:rPr>
        <w:t>المذكورة</w:t>
      </w:r>
      <w:r>
        <w:rPr>
          <w:rFonts w:hint="cs"/>
          <w:rtl/>
          <w:lang w:bidi="ar-EG"/>
        </w:rPr>
        <w:t xml:space="preserve"> أعلاه</w:t>
      </w:r>
      <w:r w:rsidRPr="008D3F8E">
        <w:rPr>
          <w:rtl/>
          <w:lang w:bidi="ar-EG"/>
        </w:rPr>
        <w:t xml:space="preserve"> في </w:t>
      </w:r>
      <w:r>
        <w:rPr>
          <w:rFonts w:hint="cs"/>
          <w:rtl/>
          <w:lang w:bidi="ar-EG"/>
        </w:rPr>
        <w:t>رسالة</w:t>
      </w:r>
      <w:r w:rsidRPr="008D3F8E">
        <w:rPr>
          <w:rtl/>
          <w:lang w:bidi="ar-EG"/>
        </w:rPr>
        <w:t xml:space="preserve"> إدارية</w:t>
      </w:r>
      <w:r w:rsidRPr="008D3F8E">
        <w:rPr>
          <w:rFonts w:hint="cs"/>
          <w:rtl/>
          <w:lang w:bidi="ar-EG"/>
        </w:rPr>
        <w:t xml:space="preserve"> معممة</w:t>
      </w:r>
      <w:r w:rsidRPr="008D3F8E">
        <w:rPr>
          <w:rtl/>
          <w:lang w:bidi="ar-EG"/>
        </w:rPr>
        <w:t xml:space="preserve"> وستنشر </w:t>
      </w:r>
      <w:r>
        <w:rPr>
          <w:rFonts w:hint="cs"/>
          <w:spacing w:val="2"/>
          <w:rtl/>
          <w:lang w:bidi="ar-EG"/>
        </w:rPr>
        <w:t xml:space="preserve">التوصيتين </w:t>
      </w:r>
      <w:r w:rsidR="004706B3" w:rsidRPr="008D3F8E">
        <w:rPr>
          <w:rFonts w:hint="cs"/>
          <w:rtl/>
          <w:lang w:bidi="ar-EG"/>
        </w:rPr>
        <w:t>ال</w:t>
      </w:r>
      <w:r w:rsidR="004706B3">
        <w:rPr>
          <w:rFonts w:hint="cs"/>
          <w:rtl/>
          <w:lang w:bidi="ar-EG"/>
        </w:rPr>
        <w:t>موافَق</w:t>
      </w:r>
      <w:r w:rsidRPr="008D3F8E">
        <w:rPr>
          <w:rtl/>
          <w:lang w:bidi="ar-EG"/>
        </w:rPr>
        <w:t xml:space="preserve"> عليه</w:t>
      </w:r>
      <w:r>
        <w:rPr>
          <w:rFonts w:hint="cs"/>
          <w:rtl/>
          <w:lang w:bidi="ar-EG"/>
        </w:rPr>
        <w:t>م</w:t>
      </w:r>
      <w:r w:rsidRPr="008D3F8E">
        <w:rPr>
          <w:rtl/>
          <w:lang w:bidi="ar-EG"/>
        </w:rPr>
        <w:t>ا في</w:t>
      </w:r>
      <w:r w:rsidRPr="008D3F8E">
        <w:rPr>
          <w:rFonts w:hint="cs"/>
          <w:rtl/>
          <w:lang w:bidi="ar-EG"/>
        </w:rPr>
        <w:t> </w:t>
      </w:r>
      <w:r w:rsidRPr="008D3F8E">
        <w:rPr>
          <w:rtl/>
          <w:lang w:bidi="ar-EG"/>
        </w:rPr>
        <w:t>أقرب وقت</w:t>
      </w:r>
      <w:r w:rsidRPr="008D3F8E">
        <w:rPr>
          <w:rFonts w:hint="cs"/>
          <w:rtl/>
          <w:lang w:bidi="ar-EG"/>
        </w:rPr>
        <w:t> </w:t>
      </w:r>
      <w:r w:rsidR="004706B3" w:rsidRPr="008D3F8E">
        <w:rPr>
          <w:rFonts w:hint="cs"/>
          <w:rtl/>
          <w:lang w:bidi="ar-EG"/>
        </w:rPr>
        <w:t>م</w:t>
      </w:r>
      <w:r w:rsidR="004706B3">
        <w:rPr>
          <w:rFonts w:hint="cs"/>
          <w:rtl/>
          <w:lang w:bidi="ar-EG"/>
        </w:rPr>
        <w:t>م</w:t>
      </w:r>
      <w:r w:rsidR="004706B3" w:rsidRPr="008D3F8E">
        <w:rPr>
          <w:rFonts w:hint="cs"/>
          <w:rtl/>
          <w:lang w:bidi="ar-EG"/>
        </w:rPr>
        <w:t>كن</w:t>
      </w:r>
      <w:r w:rsidRPr="008D3F8E">
        <w:rPr>
          <w:rFonts w:hint="cs"/>
          <w:rtl/>
          <w:lang w:bidi="ar-EG"/>
        </w:rPr>
        <w:t xml:space="preserve"> (انظر</w:t>
      </w:r>
      <w:r>
        <w:rPr>
          <w:rFonts w:hint="cs"/>
          <w:rtl/>
          <w:lang w:bidi="ar-EG"/>
        </w:rPr>
        <w:t xml:space="preserve"> </w:t>
      </w:r>
      <w:hyperlink r:id="rId10" w:history="1">
        <w:r w:rsidRPr="004706B3">
          <w:rPr>
            <w:rStyle w:val="Hyperlink"/>
            <w:rFonts w:ascii="Calibri" w:hAnsi="Calibri" w:cs="Calibri"/>
            <w:lang w:bidi="ar-EG"/>
          </w:rPr>
          <w:t>http://</w:t>
        </w:r>
        <w:proofErr w:type="spellStart"/>
        <w:r w:rsidRPr="004706B3">
          <w:rPr>
            <w:rStyle w:val="Hyperlink"/>
            <w:rFonts w:ascii="Calibri" w:hAnsi="Calibri" w:cs="Calibri"/>
            <w:lang w:bidi="ar-EG"/>
          </w:rPr>
          <w:t>www.itu.int</w:t>
        </w:r>
        <w:proofErr w:type="spellEnd"/>
        <w:r w:rsidRPr="004706B3">
          <w:rPr>
            <w:rStyle w:val="Hyperlink"/>
            <w:rFonts w:ascii="Calibri" w:hAnsi="Calibri" w:cs="Calibri"/>
            <w:lang w:bidi="ar-EG"/>
          </w:rPr>
          <w:t>/pub/R-REC</w:t>
        </w:r>
      </w:hyperlink>
      <w:r w:rsidRPr="008D3F8E">
        <w:rPr>
          <w:rFonts w:hint="cs"/>
          <w:rtl/>
          <w:lang w:bidi="ar-EG"/>
        </w:rPr>
        <w:t>).</w:t>
      </w:r>
    </w:p>
    <w:p w:rsidR="0053550F" w:rsidRPr="0053550F" w:rsidRDefault="0053550F" w:rsidP="0053550F">
      <w:pPr>
        <w:rPr>
          <w:rtl/>
          <w:lang w:bidi="ar-EG"/>
        </w:rPr>
      </w:pPr>
    </w:p>
    <w:p w:rsidR="0053550F" w:rsidRPr="0053550F" w:rsidRDefault="0053550F" w:rsidP="0053550F">
      <w:pPr>
        <w:rPr>
          <w:rtl/>
          <w:lang w:bidi="ar-EG"/>
        </w:rPr>
      </w:pPr>
    </w:p>
    <w:p w:rsidR="0053550F" w:rsidRPr="0053550F" w:rsidRDefault="0053550F" w:rsidP="0053550F">
      <w:pPr>
        <w:rPr>
          <w:rtl/>
          <w:lang w:bidi="ar-EG"/>
        </w:rPr>
      </w:pPr>
    </w:p>
    <w:p w:rsidR="0053550F" w:rsidRPr="0053550F" w:rsidRDefault="0053550F" w:rsidP="0053550F">
      <w:pPr>
        <w:rPr>
          <w:rtl/>
          <w:lang w:bidi="ar-EG"/>
        </w:rPr>
      </w:pPr>
    </w:p>
    <w:p w:rsidR="0053550F" w:rsidRPr="0053550F" w:rsidRDefault="0053550F" w:rsidP="0053550F">
      <w:pPr>
        <w:rPr>
          <w:rtl/>
          <w:lang w:bidi="ar-EG"/>
        </w:rPr>
      </w:pPr>
    </w:p>
    <w:p w:rsidR="0053550F" w:rsidRPr="0053550F" w:rsidRDefault="0053550F" w:rsidP="0053550F">
      <w:pPr>
        <w:rPr>
          <w:rtl/>
          <w:lang w:bidi="ar-EG"/>
        </w:rPr>
      </w:pPr>
    </w:p>
    <w:p w:rsidR="006B39EF" w:rsidRPr="0053550F" w:rsidRDefault="006B39EF" w:rsidP="0053550F">
      <w:pPr>
        <w:rPr>
          <w:rtl/>
          <w:lang w:bidi="ar-EG"/>
        </w:rPr>
      </w:pPr>
    </w:p>
    <w:p w:rsidR="00AF70F6" w:rsidRDefault="006B39EF" w:rsidP="00AF70F6">
      <w:pPr>
        <w:pageBreakBefore/>
        <w:rPr>
          <w:rtl/>
        </w:rPr>
      </w:pPr>
      <w:r w:rsidRPr="008D3F8E">
        <w:rPr>
          <w:rtl/>
          <w:lang w:bidi="ar-EG"/>
        </w:rPr>
        <w:lastRenderedPageBreak/>
        <w:t xml:space="preserve">ويرجى من أي منظمة عضو في </w:t>
      </w:r>
      <w:r w:rsidR="004706B3" w:rsidRPr="008D3F8E">
        <w:rPr>
          <w:rFonts w:hint="cs"/>
          <w:rtl/>
          <w:lang w:bidi="ar-EG"/>
        </w:rPr>
        <w:t>الات</w:t>
      </w:r>
      <w:r w:rsidR="004706B3">
        <w:rPr>
          <w:rFonts w:hint="cs"/>
          <w:rtl/>
          <w:lang w:bidi="ar-EG"/>
        </w:rPr>
        <w:t>ح</w:t>
      </w:r>
      <w:r w:rsidR="004706B3" w:rsidRPr="008D3F8E">
        <w:rPr>
          <w:rFonts w:hint="cs"/>
          <w:rtl/>
          <w:lang w:bidi="ar-EG"/>
        </w:rPr>
        <w:t>اد</w:t>
      </w:r>
      <w:r w:rsidRPr="008D3F8E">
        <w:rPr>
          <w:rtl/>
          <w:lang w:bidi="ar-EG"/>
        </w:rPr>
        <w:t xml:space="preserve"> تعلم بوجود براءة اختراع لديها أو لدى غيرها تغطي كلياً أو جزئياً عناصر </w:t>
      </w:r>
      <w:r>
        <w:rPr>
          <w:rFonts w:hint="cs"/>
          <w:rtl/>
          <w:lang w:bidi="ar-EG"/>
        </w:rPr>
        <w:t xml:space="preserve">مشروعي التوصيتين المذكورتين </w:t>
      </w:r>
      <w:r w:rsidRPr="008D3F8E">
        <w:rPr>
          <w:rtl/>
          <w:lang w:bidi="ar-EG"/>
        </w:rPr>
        <w:t xml:space="preserve">في هذه الرسالة أن تبلغ الأمانة بهذه </w:t>
      </w:r>
      <w:r w:rsidR="004706B3" w:rsidRPr="008D3F8E">
        <w:rPr>
          <w:rFonts w:hint="cs"/>
          <w:rtl/>
          <w:lang w:bidi="ar-EG"/>
        </w:rPr>
        <w:t>ال</w:t>
      </w:r>
      <w:r w:rsidR="004706B3">
        <w:rPr>
          <w:rFonts w:hint="cs"/>
          <w:rtl/>
          <w:lang w:bidi="ar-EG"/>
        </w:rPr>
        <w:t>م</w:t>
      </w:r>
      <w:r w:rsidR="004706B3" w:rsidRPr="008D3F8E">
        <w:rPr>
          <w:rFonts w:hint="cs"/>
          <w:rtl/>
          <w:lang w:bidi="ar-EG"/>
        </w:rPr>
        <w:t>علومات</w:t>
      </w:r>
      <w:r w:rsidRPr="008D3F8E">
        <w:rPr>
          <w:rtl/>
          <w:lang w:bidi="ar-EG"/>
        </w:rPr>
        <w:t xml:space="preserve"> بأسرع ما </w:t>
      </w:r>
      <w:r w:rsidR="004706B3" w:rsidRPr="008D3F8E">
        <w:rPr>
          <w:rFonts w:hint="cs"/>
          <w:rtl/>
          <w:lang w:bidi="ar-EG"/>
        </w:rPr>
        <w:t>ي</w:t>
      </w:r>
      <w:r w:rsidR="004706B3">
        <w:rPr>
          <w:rFonts w:hint="cs"/>
          <w:rtl/>
          <w:lang w:bidi="ar-EG"/>
        </w:rPr>
        <w:t>م</w:t>
      </w:r>
      <w:r w:rsidR="004706B3" w:rsidRPr="008D3F8E">
        <w:rPr>
          <w:rFonts w:hint="cs"/>
          <w:rtl/>
          <w:lang w:bidi="ar-EG"/>
        </w:rPr>
        <w:t>كن</w:t>
      </w:r>
      <w:r w:rsidRPr="008D3F8E">
        <w:rPr>
          <w:rtl/>
          <w:lang w:bidi="ar-EG"/>
        </w:rPr>
        <w:t xml:space="preserve">. </w:t>
      </w:r>
      <w:r w:rsidR="004706B3" w:rsidRPr="008D3F8E">
        <w:rPr>
          <w:rFonts w:hint="cs"/>
          <w:rtl/>
          <w:lang w:bidi="ar-EG"/>
        </w:rPr>
        <w:t>وي</w:t>
      </w:r>
      <w:r w:rsidR="004706B3">
        <w:rPr>
          <w:rFonts w:hint="cs"/>
          <w:rtl/>
          <w:lang w:bidi="ar-EG"/>
        </w:rPr>
        <w:t>م</w:t>
      </w:r>
      <w:r w:rsidR="004706B3" w:rsidRPr="008D3F8E">
        <w:rPr>
          <w:rFonts w:hint="cs"/>
          <w:rtl/>
          <w:lang w:bidi="ar-EG"/>
        </w:rPr>
        <w:t>كن</w:t>
      </w:r>
      <w:r w:rsidRPr="008D3F8E">
        <w:rPr>
          <w:rtl/>
          <w:lang w:bidi="ar-EG"/>
        </w:rPr>
        <w:t xml:space="preserve"> الاطلاع على السياسة </w:t>
      </w:r>
      <w:r w:rsidR="004706B3" w:rsidRPr="008D3F8E">
        <w:rPr>
          <w:rFonts w:hint="cs"/>
          <w:rtl/>
          <w:lang w:bidi="ar-EG"/>
        </w:rPr>
        <w:t>ال</w:t>
      </w:r>
      <w:r w:rsidR="004706B3">
        <w:rPr>
          <w:rFonts w:hint="cs"/>
          <w:rtl/>
          <w:lang w:bidi="ar-EG"/>
        </w:rPr>
        <w:t>م</w:t>
      </w:r>
      <w:r w:rsidR="004706B3" w:rsidRPr="008D3F8E">
        <w:rPr>
          <w:rFonts w:hint="cs"/>
          <w:rtl/>
          <w:lang w:bidi="ar-EG"/>
        </w:rPr>
        <w:t>شتركة</w:t>
      </w:r>
      <w:r w:rsidRPr="008D3F8E">
        <w:rPr>
          <w:rtl/>
          <w:lang w:bidi="ar-EG"/>
        </w:rPr>
        <w:t xml:space="preserve"> للبراءات</w:t>
      </w:r>
      <w:r>
        <w:rPr>
          <w:rFonts w:hint="cs"/>
          <w:rtl/>
          <w:lang w:bidi="ar-EG"/>
        </w:rPr>
        <w:t> </w:t>
      </w:r>
      <w:r w:rsidRPr="008D3F8E">
        <w:t>"ITU</w:t>
      </w:r>
      <w:r w:rsidRPr="008D3F8E">
        <w:noBreakHyphen/>
        <w:t>T/ITU</w:t>
      </w:r>
      <w:r w:rsidRPr="008D3F8E">
        <w:noBreakHyphen/>
        <w:t>R/ISO/IEC"</w:t>
      </w:r>
      <w:r w:rsidRPr="008D3F8E">
        <w:rPr>
          <w:rtl/>
          <w:lang w:bidi="ar-EG"/>
        </w:rPr>
        <w:t xml:space="preserve"> في </w:t>
      </w:r>
      <w:r w:rsidR="004706B3" w:rsidRPr="008D3F8E">
        <w:rPr>
          <w:rFonts w:hint="cs"/>
          <w:rtl/>
          <w:lang w:bidi="ar-EG"/>
        </w:rPr>
        <w:t>ال</w:t>
      </w:r>
      <w:r w:rsidR="004706B3">
        <w:rPr>
          <w:rFonts w:hint="cs"/>
          <w:rtl/>
          <w:lang w:bidi="ar-EG"/>
        </w:rPr>
        <w:t>م</w:t>
      </w:r>
      <w:r w:rsidR="004706B3" w:rsidRPr="008D3F8E">
        <w:rPr>
          <w:rFonts w:hint="cs"/>
          <w:rtl/>
          <w:lang w:bidi="ar-EG"/>
        </w:rPr>
        <w:t>وقع</w:t>
      </w:r>
      <w:r w:rsidRPr="008D3F8E">
        <w:rPr>
          <w:rtl/>
          <w:lang w:bidi="ar-EG"/>
        </w:rPr>
        <w:t xml:space="preserve"> الإلكتروني</w:t>
      </w:r>
      <w:r w:rsidRPr="008D3F8E">
        <w:rPr>
          <w:rFonts w:hint="cs"/>
          <w:rtl/>
          <w:lang w:bidi="ar-EG"/>
        </w:rPr>
        <w:t>:</w:t>
      </w:r>
      <w:r>
        <w:rPr>
          <w:rFonts w:hint="cs"/>
          <w:rtl/>
          <w:lang w:bidi="ar-EG"/>
        </w:rPr>
        <w:t xml:space="preserve"> </w:t>
      </w:r>
      <w:hyperlink r:id="rId11" w:history="1">
        <w:r w:rsidRPr="004706B3">
          <w:rPr>
            <w:rStyle w:val="Hyperlink"/>
            <w:rFonts w:ascii="Calibri" w:hAnsi="Calibri" w:cs="Calibri"/>
            <w:lang w:bidi="ar-EG"/>
          </w:rPr>
          <w:t>http://www.itu.int/en/ITU-T/ipr/Pages/policy.aspx</w:t>
        </w:r>
      </w:hyperlink>
      <w:r w:rsidRPr="008D3F8E">
        <w:rPr>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B31F96" w:rsidP="00B31F96">
      <w:pPr>
        <w:spacing w:before="1440"/>
        <w:jc w:val="left"/>
        <w:rPr>
          <w:rtl/>
        </w:rPr>
      </w:pPr>
      <w:r w:rsidRPr="00B31F96">
        <w:rPr>
          <w:rtl/>
        </w:rPr>
        <w:t>ماريو مانيفيتش</w:t>
      </w:r>
      <w:r w:rsidR="00AF70F6" w:rsidRPr="00AF70F6">
        <w:rPr>
          <w:rtl/>
        </w:rPr>
        <w:br/>
      </w:r>
      <w:r w:rsidR="00AF70F6" w:rsidRPr="00AF70F6">
        <w:rPr>
          <w:rFonts w:hint="cs"/>
          <w:rtl/>
        </w:rPr>
        <w:t>المدير</w:t>
      </w:r>
    </w:p>
    <w:p w:rsidR="00AF70F6" w:rsidRDefault="00BF40E0" w:rsidP="004706B3">
      <w:pPr>
        <w:spacing w:before="600"/>
        <w:rPr>
          <w:rtl/>
          <w:lang w:bidi="ar-EG"/>
        </w:rPr>
      </w:pPr>
      <w:r w:rsidRPr="00EF148E">
        <w:rPr>
          <w:b/>
          <w:bCs/>
          <w:rtl/>
          <w:lang w:bidi="ar-EG"/>
        </w:rPr>
        <w:t>الملحق:</w:t>
      </w:r>
      <w:r w:rsidRPr="00EF148E">
        <w:rPr>
          <w:rFonts w:hint="cs"/>
          <w:rtl/>
          <w:lang w:bidi="ar-EG"/>
        </w:rPr>
        <w:tab/>
      </w:r>
      <w:r w:rsidR="006B39EF" w:rsidRPr="008D3F8E">
        <w:rPr>
          <w:rFonts w:hint="cs"/>
          <w:rtl/>
          <w:lang w:bidi="ar-EG"/>
        </w:rPr>
        <w:t>عنوان</w:t>
      </w:r>
      <w:r w:rsidR="004706B3">
        <w:rPr>
          <w:rFonts w:hint="cs"/>
          <w:rtl/>
          <w:lang w:bidi="ar-EG"/>
        </w:rPr>
        <w:t xml:space="preserve"> وملخص</w:t>
      </w:r>
      <w:r w:rsidR="006B39EF">
        <w:rPr>
          <w:rFonts w:hint="cs"/>
          <w:rtl/>
          <w:lang w:bidi="ar-EG"/>
        </w:rPr>
        <w:t xml:space="preserve"> كل من</w:t>
      </w:r>
      <w:r w:rsidR="006B39EF" w:rsidRPr="008D3F8E">
        <w:rPr>
          <w:rFonts w:hint="cs"/>
          <w:rtl/>
          <w:lang w:bidi="ar-EG"/>
        </w:rPr>
        <w:t xml:space="preserve"> </w:t>
      </w:r>
      <w:r w:rsidR="006B39EF">
        <w:rPr>
          <w:rFonts w:hint="cs"/>
          <w:rtl/>
          <w:lang w:bidi="ar-EG"/>
        </w:rPr>
        <w:t>مشروع</w:t>
      </w:r>
      <w:r w:rsidR="004706B3">
        <w:rPr>
          <w:rFonts w:hint="cs"/>
          <w:rtl/>
          <w:lang w:bidi="ar-EG"/>
        </w:rPr>
        <w:t>َ</w:t>
      </w:r>
      <w:r w:rsidR="006B39EF">
        <w:rPr>
          <w:rFonts w:hint="cs"/>
          <w:rtl/>
          <w:lang w:bidi="ar-EG"/>
        </w:rPr>
        <w:t>ي التوصيتين</w:t>
      </w:r>
    </w:p>
    <w:p w:rsidR="00BF40E0" w:rsidRDefault="004706B3" w:rsidP="004706B3">
      <w:pPr>
        <w:spacing w:before="600"/>
        <w:rPr>
          <w:rtl/>
        </w:rPr>
      </w:pPr>
      <w:r>
        <w:rPr>
          <w:rFonts w:hint="cs"/>
          <w:b/>
          <w:bCs/>
          <w:rtl/>
          <w:lang w:bidi="ar-EG"/>
        </w:rPr>
        <w:t>الوثائق</w:t>
      </w:r>
      <w:r w:rsidR="00BF40E0" w:rsidRPr="00EF148E">
        <w:rPr>
          <w:b/>
          <w:bCs/>
          <w:rtl/>
          <w:lang w:bidi="ar-EG"/>
        </w:rPr>
        <w:t>:</w:t>
      </w:r>
      <w:r w:rsidR="00BF40E0" w:rsidRPr="00EF148E">
        <w:rPr>
          <w:rFonts w:hint="cs"/>
          <w:rtl/>
          <w:lang w:bidi="ar-EG"/>
        </w:rPr>
        <w:tab/>
      </w:r>
      <w:r w:rsidR="006B39EF">
        <w:rPr>
          <w:rFonts w:hint="cs"/>
          <w:rtl/>
          <w:lang w:bidi="ar-EG"/>
        </w:rPr>
        <w:t>الوثيقتان</w:t>
      </w:r>
      <w:r w:rsidR="006B39EF" w:rsidRPr="008D3F8E">
        <w:rPr>
          <w:rFonts w:hint="cs"/>
          <w:rtl/>
          <w:lang w:bidi="ar-EG"/>
        </w:rPr>
        <w:t xml:space="preserve"> </w:t>
      </w:r>
      <w:r w:rsidR="006B39EF">
        <w:t>4</w:t>
      </w:r>
      <w:r w:rsidR="006B39EF" w:rsidRPr="008D3F8E">
        <w:t>/</w:t>
      </w:r>
      <w:r w:rsidR="006B39EF">
        <w:t>63</w:t>
      </w:r>
      <w:r w:rsidR="006B39EF" w:rsidRPr="008D3F8E">
        <w:t>(Rev.1)</w:t>
      </w:r>
      <w:r w:rsidR="006B39EF">
        <w:rPr>
          <w:rFonts w:hint="cs"/>
          <w:rtl/>
        </w:rPr>
        <w:t xml:space="preserve"> و</w:t>
      </w:r>
      <w:r w:rsidR="006B39EF">
        <w:t>4</w:t>
      </w:r>
      <w:r w:rsidR="006B39EF" w:rsidRPr="008D3F8E">
        <w:t>/</w:t>
      </w:r>
      <w:r w:rsidR="006B39EF">
        <w:t>68</w:t>
      </w:r>
      <w:r w:rsidR="006B39EF" w:rsidRPr="008D3F8E">
        <w:t>(Rev.1)</w:t>
      </w:r>
    </w:p>
    <w:p w:rsidR="00BF40E0" w:rsidRDefault="006B39EF" w:rsidP="003B7F2E">
      <w:pPr>
        <w:rPr>
          <w:rtl/>
          <w:lang w:bidi="ar-EG"/>
        </w:rPr>
      </w:pPr>
      <w:r>
        <w:rPr>
          <w:rFonts w:hint="cs"/>
          <w:rtl/>
        </w:rPr>
        <w:t xml:space="preserve">وتتاح </w:t>
      </w:r>
      <w:r w:rsidR="003B7F2E">
        <w:rPr>
          <w:rFonts w:hint="cs"/>
          <w:rtl/>
        </w:rPr>
        <w:t>هاتان الوثيقتان</w:t>
      </w:r>
      <w:r>
        <w:rPr>
          <w:rFonts w:hint="cs"/>
          <w:rtl/>
        </w:rPr>
        <w:t xml:space="preserve"> في نسق إلكتروني في: </w:t>
      </w:r>
      <w:hyperlink r:id="rId12" w:history="1">
        <w:r w:rsidRPr="004706B3">
          <w:rPr>
            <w:rStyle w:val="Hyperlink"/>
            <w:rFonts w:ascii="Calibri" w:hAnsi="Calibri" w:cs="Calibri"/>
            <w:szCs w:val="22"/>
          </w:rPr>
          <w:t>http://www.itu.int/md/R15-SG04-C/en</w:t>
        </w:r>
      </w:hyperlink>
    </w:p>
    <w:p w:rsidR="00AF70F6" w:rsidRPr="001F2ED3" w:rsidRDefault="00AF70F6" w:rsidP="004706B3">
      <w:pPr>
        <w:tabs>
          <w:tab w:val="left" w:pos="283"/>
        </w:tabs>
        <w:spacing w:before="5500"/>
        <w:jc w:val="left"/>
        <w:rPr>
          <w:sz w:val="16"/>
          <w:szCs w:val="22"/>
          <w:rtl/>
          <w:lang w:bidi="ar-EG"/>
        </w:rPr>
      </w:pPr>
      <w:r w:rsidRPr="001F2ED3">
        <w:rPr>
          <w:b/>
          <w:bCs/>
          <w:sz w:val="16"/>
          <w:szCs w:val="22"/>
          <w:rtl/>
          <w:lang w:bidi="ar-EG"/>
        </w:rPr>
        <w:t>التوزيع</w:t>
      </w:r>
      <w:r w:rsidRPr="001F2ED3">
        <w:rPr>
          <w:sz w:val="16"/>
          <w:szCs w:val="22"/>
          <w:rtl/>
          <w:lang w:bidi="ar-EG"/>
        </w:rPr>
        <w:t>:</w:t>
      </w:r>
    </w:p>
    <w:p w:rsidR="006B39EF" w:rsidRPr="001C6027" w:rsidRDefault="006B39EF" w:rsidP="00B23732">
      <w:pPr>
        <w:tabs>
          <w:tab w:val="left" w:pos="283"/>
        </w:tabs>
        <w:spacing w:before="60" w:line="180" w:lineRule="auto"/>
        <w:jc w:val="left"/>
        <w:rPr>
          <w:sz w:val="18"/>
          <w:szCs w:val="24"/>
          <w:rtl/>
          <w:lang w:bidi="ar-EG"/>
        </w:rPr>
      </w:pPr>
      <w:r w:rsidRPr="001C6027">
        <w:rPr>
          <w:rFonts w:hint="cs"/>
          <w:sz w:val="18"/>
          <w:szCs w:val="24"/>
          <w:rtl/>
          <w:lang w:bidi="ar-EG"/>
        </w:rPr>
        <w:t>-</w:t>
      </w:r>
      <w:r w:rsidRPr="001C6027">
        <w:rPr>
          <w:rFonts w:hint="cs"/>
          <w:sz w:val="18"/>
          <w:szCs w:val="24"/>
          <w:rtl/>
          <w:lang w:bidi="ar-EG"/>
        </w:rPr>
        <w:tab/>
      </w:r>
      <w:r w:rsidRPr="001C6027">
        <w:rPr>
          <w:sz w:val="18"/>
          <w:szCs w:val="24"/>
          <w:rtl/>
          <w:lang w:bidi="ar-EG"/>
        </w:rPr>
        <w:t>إدارات الدول الأعضاء</w:t>
      </w:r>
      <w:r w:rsidRPr="001C6027">
        <w:rPr>
          <w:rFonts w:hint="cs"/>
          <w:sz w:val="18"/>
          <w:szCs w:val="24"/>
          <w:rtl/>
          <w:lang w:bidi="ar-EG"/>
        </w:rPr>
        <w:t xml:space="preserve"> في </w:t>
      </w:r>
      <w:r w:rsidR="004706B3" w:rsidRPr="001C6027">
        <w:rPr>
          <w:rFonts w:hint="cs"/>
          <w:sz w:val="18"/>
          <w:szCs w:val="24"/>
          <w:rtl/>
          <w:lang w:bidi="ar-EG"/>
        </w:rPr>
        <w:t>الاتحاد</w:t>
      </w:r>
      <w:r w:rsidRPr="001C6027">
        <w:rPr>
          <w:sz w:val="18"/>
          <w:szCs w:val="24"/>
          <w:rtl/>
          <w:lang w:bidi="ar-EG"/>
        </w:rPr>
        <w:t xml:space="preserve"> وأعضاء قطاع الاتصالات الراديوية</w:t>
      </w:r>
      <w:r w:rsidRPr="001C6027">
        <w:rPr>
          <w:rFonts w:hint="cs"/>
          <w:sz w:val="18"/>
          <w:szCs w:val="24"/>
          <w:rtl/>
          <w:lang w:bidi="ar-EG"/>
        </w:rPr>
        <w:t xml:space="preserve"> </w:t>
      </w:r>
      <w:r w:rsidR="004706B3" w:rsidRPr="001C6027">
        <w:rPr>
          <w:rFonts w:hint="cs"/>
          <w:sz w:val="18"/>
          <w:szCs w:val="24"/>
          <w:rtl/>
          <w:lang w:bidi="ar-EG"/>
        </w:rPr>
        <w:t>المشاركون</w:t>
      </w:r>
      <w:r w:rsidRPr="001C6027">
        <w:rPr>
          <w:rFonts w:hint="cs"/>
          <w:sz w:val="18"/>
          <w:szCs w:val="24"/>
          <w:rtl/>
          <w:lang w:bidi="ar-EG"/>
        </w:rPr>
        <w:t xml:space="preserve"> في أعمال </w:t>
      </w:r>
      <w:r w:rsidR="004706B3" w:rsidRPr="001C6027">
        <w:rPr>
          <w:rFonts w:hint="cs"/>
          <w:sz w:val="18"/>
          <w:szCs w:val="24"/>
          <w:rtl/>
          <w:lang w:bidi="ar-EG"/>
        </w:rPr>
        <w:t>لجنة</w:t>
      </w:r>
      <w:r w:rsidRPr="001C6027">
        <w:rPr>
          <w:rFonts w:hint="cs"/>
          <w:sz w:val="18"/>
          <w:szCs w:val="24"/>
          <w:rtl/>
          <w:lang w:bidi="ar-EG"/>
        </w:rPr>
        <w:t xml:space="preserve"> الدراسات </w:t>
      </w:r>
      <w:r w:rsidRPr="001C6027">
        <w:rPr>
          <w:sz w:val="18"/>
          <w:szCs w:val="24"/>
          <w:lang w:val="fr-CH"/>
        </w:rPr>
        <w:t>4</w:t>
      </w:r>
      <w:r w:rsidRPr="001C6027">
        <w:rPr>
          <w:rFonts w:hint="cs"/>
          <w:sz w:val="18"/>
          <w:szCs w:val="24"/>
          <w:rtl/>
          <w:lang w:bidi="ar-EG"/>
        </w:rPr>
        <w:t xml:space="preserve"> للاتصالات الراديوية</w:t>
      </w:r>
    </w:p>
    <w:p w:rsidR="006B39EF" w:rsidRPr="001C6027" w:rsidRDefault="006B39EF" w:rsidP="00B23732">
      <w:pPr>
        <w:tabs>
          <w:tab w:val="left" w:pos="283"/>
        </w:tabs>
        <w:spacing w:before="0" w:line="180" w:lineRule="auto"/>
        <w:jc w:val="left"/>
        <w:rPr>
          <w:sz w:val="18"/>
          <w:szCs w:val="24"/>
          <w:rtl/>
          <w:lang w:bidi="ar-EG"/>
        </w:rPr>
      </w:pPr>
      <w:r w:rsidRPr="001C6027">
        <w:rPr>
          <w:sz w:val="18"/>
          <w:szCs w:val="24"/>
          <w:rtl/>
          <w:lang w:bidi="ar-EG"/>
        </w:rPr>
        <w:t>-</w:t>
      </w:r>
      <w:r w:rsidRPr="001C6027">
        <w:rPr>
          <w:sz w:val="18"/>
          <w:szCs w:val="24"/>
          <w:rtl/>
          <w:lang w:bidi="ar-EG"/>
        </w:rPr>
        <w:tab/>
      </w:r>
      <w:r w:rsidR="004706B3" w:rsidRPr="001C6027">
        <w:rPr>
          <w:rFonts w:hint="cs"/>
          <w:sz w:val="18"/>
          <w:szCs w:val="24"/>
          <w:rtl/>
          <w:lang w:bidi="ar-EG"/>
        </w:rPr>
        <w:t>المنتسبون</w:t>
      </w:r>
      <w:r w:rsidRPr="001C6027">
        <w:rPr>
          <w:sz w:val="18"/>
          <w:szCs w:val="24"/>
          <w:rtl/>
          <w:lang w:bidi="ar-EG"/>
        </w:rPr>
        <w:t xml:space="preserve"> إلى قطاع الاتصالات الراديوية </w:t>
      </w:r>
      <w:r w:rsidR="004706B3" w:rsidRPr="001C6027">
        <w:rPr>
          <w:rFonts w:hint="cs"/>
          <w:sz w:val="18"/>
          <w:szCs w:val="24"/>
          <w:rtl/>
          <w:lang w:bidi="ar-EG"/>
        </w:rPr>
        <w:t>المشاركون</w:t>
      </w:r>
      <w:r w:rsidRPr="001C6027">
        <w:rPr>
          <w:sz w:val="18"/>
          <w:szCs w:val="24"/>
          <w:rtl/>
          <w:lang w:bidi="ar-EG"/>
        </w:rPr>
        <w:t xml:space="preserve"> في أعمال </w:t>
      </w:r>
      <w:r w:rsidR="004706B3" w:rsidRPr="001C6027">
        <w:rPr>
          <w:rFonts w:hint="cs"/>
          <w:sz w:val="18"/>
          <w:szCs w:val="24"/>
          <w:rtl/>
          <w:lang w:bidi="ar-EG"/>
        </w:rPr>
        <w:t>لجنة</w:t>
      </w:r>
      <w:r w:rsidRPr="001C6027">
        <w:rPr>
          <w:sz w:val="18"/>
          <w:szCs w:val="24"/>
          <w:rtl/>
          <w:lang w:bidi="ar-EG"/>
        </w:rPr>
        <w:t xml:space="preserve"> الدراسات </w:t>
      </w:r>
      <w:r w:rsidRPr="001C6027">
        <w:rPr>
          <w:sz w:val="18"/>
          <w:szCs w:val="24"/>
        </w:rPr>
        <w:t>4</w:t>
      </w:r>
      <w:r w:rsidRPr="001C6027">
        <w:rPr>
          <w:sz w:val="18"/>
          <w:szCs w:val="24"/>
          <w:rtl/>
          <w:lang w:bidi="ar-EG"/>
        </w:rPr>
        <w:t xml:space="preserve"> للاتصالات الراديوية</w:t>
      </w:r>
    </w:p>
    <w:p w:rsidR="006B39EF" w:rsidRPr="001C6027" w:rsidRDefault="006B39EF" w:rsidP="00B23732">
      <w:pPr>
        <w:tabs>
          <w:tab w:val="left" w:pos="283"/>
        </w:tabs>
        <w:spacing w:before="0" w:line="180" w:lineRule="auto"/>
        <w:jc w:val="left"/>
        <w:rPr>
          <w:sz w:val="18"/>
          <w:szCs w:val="24"/>
          <w:rtl/>
          <w:lang w:bidi="ar-EG"/>
        </w:rPr>
      </w:pPr>
      <w:r w:rsidRPr="001C6027">
        <w:rPr>
          <w:rFonts w:hint="cs"/>
          <w:sz w:val="18"/>
          <w:szCs w:val="24"/>
          <w:rtl/>
          <w:lang w:bidi="ar-EG"/>
        </w:rPr>
        <w:t>-</w:t>
      </w:r>
      <w:r w:rsidRPr="001C6027">
        <w:rPr>
          <w:rFonts w:hint="cs"/>
          <w:sz w:val="18"/>
          <w:szCs w:val="24"/>
          <w:rtl/>
          <w:lang w:bidi="ar-EG"/>
        </w:rPr>
        <w:tab/>
      </w:r>
      <w:r w:rsidRPr="001C6027">
        <w:rPr>
          <w:rFonts w:hint="cs"/>
          <w:sz w:val="18"/>
          <w:szCs w:val="24"/>
          <w:rtl/>
        </w:rPr>
        <w:t xml:space="preserve">الهيئات </w:t>
      </w:r>
      <w:r w:rsidR="004706B3" w:rsidRPr="001C6027">
        <w:rPr>
          <w:rFonts w:hint="cs"/>
          <w:sz w:val="18"/>
          <w:szCs w:val="24"/>
          <w:rtl/>
        </w:rPr>
        <w:t>الأكاديمية</w:t>
      </w:r>
      <w:r w:rsidRPr="001C6027">
        <w:rPr>
          <w:rFonts w:hint="cs"/>
          <w:sz w:val="18"/>
          <w:szCs w:val="24"/>
          <w:rtl/>
        </w:rPr>
        <w:t xml:space="preserve"> </w:t>
      </w:r>
      <w:r w:rsidR="004706B3" w:rsidRPr="001C6027">
        <w:rPr>
          <w:rFonts w:hint="cs"/>
          <w:sz w:val="18"/>
          <w:szCs w:val="24"/>
          <w:rtl/>
        </w:rPr>
        <w:t>المنضمة</w:t>
      </w:r>
      <w:r w:rsidRPr="001C6027">
        <w:rPr>
          <w:rFonts w:hint="cs"/>
          <w:sz w:val="18"/>
          <w:szCs w:val="24"/>
          <w:rtl/>
        </w:rPr>
        <w:t xml:space="preserve"> إلى </w:t>
      </w:r>
      <w:r w:rsidR="004706B3" w:rsidRPr="001C6027">
        <w:rPr>
          <w:rFonts w:hint="cs"/>
          <w:sz w:val="18"/>
          <w:szCs w:val="24"/>
          <w:rtl/>
        </w:rPr>
        <w:t>الاتحاد</w:t>
      </w:r>
    </w:p>
    <w:p w:rsidR="006B39EF" w:rsidRPr="001C6027" w:rsidRDefault="006B39EF" w:rsidP="00B23732">
      <w:pPr>
        <w:tabs>
          <w:tab w:val="left" w:pos="283"/>
        </w:tabs>
        <w:spacing w:before="0" w:line="180" w:lineRule="auto"/>
        <w:jc w:val="left"/>
        <w:rPr>
          <w:sz w:val="18"/>
          <w:szCs w:val="24"/>
          <w:rtl/>
          <w:lang w:bidi="ar-EG"/>
        </w:rPr>
      </w:pPr>
      <w:r w:rsidRPr="001C6027">
        <w:rPr>
          <w:sz w:val="18"/>
          <w:szCs w:val="24"/>
          <w:rtl/>
          <w:lang w:bidi="ar-EG"/>
        </w:rPr>
        <w:t>-</w:t>
      </w:r>
      <w:r w:rsidRPr="001C6027">
        <w:rPr>
          <w:sz w:val="18"/>
          <w:szCs w:val="24"/>
          <w:rtl/>
          <w:lang w:bidi="ar-EG"/>
        </w:rPr>
        <w:tab/>
        <w:t xml:space="preserve">رؤساء </w:t>
      </w:r>
      <w:r w:rsidR="004706B3" w:rsidRPr="001C6027">
        <w:rPr>
          <w:rFonts w:hint="cs"/>
          <w:sz w:val="18"/>
          <w:szCs w:val="24"/>
          <w:rtl/>
          <w:lang w:bidi="ar-EG"/>
        </w:rPr>
        <w:t>لجان</w:t>
      </w:r>
      <w:r w:rsidRPr="001C6027">
        <w:rPr>
          <w:sz w:val="18"/>
          <w:szCs w:val="24"/>
          <w:rtl/>
          <w:lang w:bidi="ar-EG"/>
        </w:rPr>
        <w:t xml:space="preserve"> دراسات الاتصالات الراديوية </w:t>
      </w:r>
      <w:r w:rsidRPr="001C6027">
        <w:rPr>
          <w:rFonts w:hint="cs"/>
          <w:sz w:val="18"/>
          <w:szCs w:val="24"/>
          <w:rtl/>
          <w:lang w:bidi="ar-EG"/>
        </w:rPr>
        <w:t>ونوابهم</w:t>
      </w:r>
    </w:p>
    <w:p w:rsidR="006B39EF" w:rsidRPr="001C6027" w:rsidRDefault="006B39EF" w:rsidP="00B23732">
      <w:pPr>
        <w:tabs>
          <w:tab w:val="left" w:pos="283"/>
        </w:tabs>
        <w:spacing w:before="0" w:line="180" w:lineRule="auto"/>
        <w:jc w:val="left"/>
        <w:rPr>
          <w:sz w:val="18"/>
          <w:szCs w:val="24"/>
          <w:rtl/>
          <w:lang w:bidi="ar-EG"/>
        </w:rPr>
      </w:pPr>
      <w:r w:rsidRPr="001C6027">
        <w:rPr>
          <w:sz w:val="18"/>
          <w:szCs w:val="24"/>
          <w:rtl/>
          <w:lang w:bidi="ar-EG"/>
        </w:rPr>
        <w:t>-</w:t>
      </w:r>
      <w:r w:rsidRPr="001C6027">
        <w:rPr>
          <w:sz w:val="18"/>
          <w:szCs w:val="24"/>
          <w:rtl/>
          <w:lang w:bidi="ar-EG"/>
        </w:rPr>
        <w:tab/>
        <w:t xml:space="preserve">رئيس الاجتماع التحضيري </w:t>
      </w:r>
      <w:r w:rsidR="004706B3" w:rsidRPr="001C6027">
        <w:rPr>
          <w:rFonts w:hint="cs"/>
          <w:sz w:val="18"/>
          <w:szCs w:val="24"/>
          <w:rtl/>
          <w:lang w:bidi="ar-EG"/>
        </w:rPr>
        <w:t>للمؤتمر</w:t>
      </w:r>
      <w:r w:rsidRPr="001C6027">
        <w:rPr>
          <w:sz w:val="18"/>
          <w:szCs w:val="24"/>
          <w:rtl/>
          <w:lang w:bidi="ar-EG"/>
        </w:rPr>
        <w:t xml:space="preserve"> ونوابه</w:t>
      </w:r>
    </w:p>
    <w:p w:rsidR="006B39EF" w:rsidRPr="001C6027" w:rsidRDefault="006B39EF" w:rsidP="00B23732">
      <w:pPr>
        <w:tabs>
          <w:tab w:val="left" w:pos="283"/>
        </w:tabs>
        <w:spacing w:before="0" w:line="180" w:lineRule="auto"/>
        <w:jc w:val="left"/>
        <w:rPr>
          <w:sz w:val="18"/>
          <w:szCs w:val="24"/>
          <w:rtl/>
          <w:lang w:bidi="ar-EG"/>
        </w:rPr>
      </w:pPr>
      <w:r w:rsidRPr="001C6027">
        <w:rPr>
          <w:sz w:val="18"/>
          <w:szCs w:val="24"/>
          <w:rtl/>
          <w:lang w:bidi="ar-EG"/>
        </w:rPr>
        <w:t>-</w:t>
      </w:r>
      <w:r w:rsidRPr="001C6027">
        <w:rPr>
          <w:sz w:val="18"/>
          <w:szCs w:val="24"/>
          <w:rtl/>
          <w:lang w:bidi="ar-EG"/>
        </w:rPr>
        <w:tab/>
        <w:t xml:space="preserve">أعضاء </w:t>
      </w:r>
      <w:r w:rsidR="004706B3" w:rsidRPr="001C6027">
        <w:rPr>
          <w:rFonts w:hint="cs"/>
          <w:sz w:val="18"/>
          <w:szCs w:val="24"/>
          <w:rtl/>
          <w:lang w:bidi="ar-EG"/>
        </w:rPr>
        <w:t>لجنة</w:t>
      </w:r>
      <w:r w:rsidRPr="001C6027">
        <w:rPr>
          <w:sz w:val="18"/>
          <w:szCs w:val="24"/>
          <w:rtl/>
          <w:lang w:bidi="ar-EG"/>
        </w:rPr>
        <w:t xml:space="preserve"> لوائح الراديو</w:t>
      </w:r>
    </w:p>
    <w:p w:rsidR="00AF70F6" w:rsidRDefault="006B39EF" w:rsidP="00FC7C66">
      <w:pPr>
        <w:tabs>
          <w:tab w:val="left" w:pos="283"/>
        </w:tabs>
        <w:spacing w:before="0" w:line="180" w:lineRule="auto"/>
        <w:jc w:val="left"/>
        <w:rPr>
          <w:rtl/>
          <w:lang w:bidi="ar-EG"/>
        </w:rPr>
      </w:pPr>
      <w:r w:rsidRPr="001C6027">
        <w:rPr>
          <w:sz w:val="18"/>
          <w:szCs w:val="24"/>
          <w:rtl/>
          <w:lang w:bidi="ar-EG"/>
        </w:rPr>
        <w:t>-</w:t>
      </w:r>
      <w:r w:rsidRPr="001C6027">
        <w:rPr>
          <w:sz w:val="18"/>
          <w:szCs w:val="24"/>
          <w:rtl/>
          <w:lang w:bidi="ar-EG"/>
        </w:rPr>
        <w:tab/>
        <w:t xml:space="preserve">الأمين العام </w:t>
      </w:r>
      <w:r w:rsidR="004706B3" w:rsidRPr="001C6027">
        <w:rPr>
          <w:rFonts w:hint="cs"/>
          <w:sz w:val="18"/>
          <w:szCs w:val="24"/>
          <w:rtl/>
          <w:lang w:bidi="ar-EG"/>
        </w:rPr>
        <w:t>للاتحاد</w:t>
      </w:r>
      <w:r w:rsidRPr="001C6027">
        <w:rPr>
          <w:sz w:val="18"/>
          <w:szCs w:val="24"/>
          <w:rtl/>
          <w:lang w:bidi="ar-EG"/>
        </w:rPr>
        <w:t xml:space="preserve"> ومدير مكتب تقييس الاتصالات ومدير</w:t>
      </w:r>
      <w:r w:rsidR="004706B3" w:rsidRPr="001C6027">
        <w:rPr>
          <w:rFonts w:hint="cs"/>
          <w:sz w:val="18"/>
          <w:szCs w:val="24"/>
          <w:rtl/>
          <w:lang w:bidi="ar-EG"/>
        </w:rPr>
        <w:t>ة</w:t>
      </w:r>
      <w:r w:rsidRPr="001C6027">
        <w:rPr>
          <w:sz w:val="18"/>
          <w:szCs w:val="24"/>
          <w:rtl/>
          <w:lang w:bidi="ar-EG"/>
        </w:rPr>
        <w:t xml:space="preserve"> مكتب تنمية الاتصالات</w:t>
      </w:r>
      <w:r w:rsidR="00AF70F6">
        <w:rPr>
          <w:rtl/>
          <w:lang w:bidi="ar-EG"/>
        </w:rPr>
        <w:br w:type="page"/>
      </w:r>
    </w:p>
    <w:p w:rsidR="00AF70F6" w:rsidRPr="00AF70F6" w:rsidRDefault="00AF70F6" w:rsidP="00BF40E0">
      <w:pPr>
        <w:pStyle w:val="AnnexNo"/>
        <w:rPr>
          <w:rFonts w:eastAsiaTheme="minorEastAsia"/>
          <w:rtl/>
          <w:lang w:eastAsia="zh-CN"/>
        </w:rPr>
      </w:pPr>
      <w:r w:rsidRPr="00AF70F6">
        <w:rPr>
          <w:rFonts w:eastAsiaTheme="minorEastAsia" w:hint="cs"/>
          <w:rtl/>
          <w:lang w:eastAsia="zh-CN"/>
        </w:rPr>
        <w:lastRenderedPageBreak/>
        <w:t>الملحق</w:t>
      </w:r>
    </w:p>
    <w:p w:rsidR="00AF70F6" w:rsidRPr="00AF70F6" w:rsidRDefault="006B39EF" w:rsidP="004706B3">
      <w:pPr>
        <w:pStyle w:val="Annextitle"/>
        <w:rPr>
          <w:rFonts w:eastAsiaTheme="minorEastAsia"/>
          <w:rtl/>
          <w:lang w:eastAsia="zh-CN" w:bidi="ar-SY"/>
        </w:rPr>
      </w:pPr>
      <w:r w:rsidRPr="008D3F8E">
        <w:rPr>
          <w:rFonts w:hint="cs"/>
          <w:rtl/>
        </w:rPr>
        <w:t>عنوان</w:t>
      </w:r>
      <w:r>
        <w:rPr>
          <w:rFonts w:hint="cs"/>
          <w:rtl/>
        </w:rPr>
        <w:t xml:space="preserve"> </w:t>
      </w:r>
      <w:r w:rsidR="004706B3">
        <w:rPr>
          <w:rFonts w:hint="cs"/>
          <w:rtl/>
        </w:rPr>
        <w:t>وملخص كل من مشروعَي التوصيتين</w:t>
      </w:r>
    </w:p>
    <w:p w:rsidR="00AF70F6" w:rsidRPr="00AF70F6" w:rsidRDefault="006B39EF" w:rsidP="004706B3">
      <w:pPr>
        <w:tabs>
          <w:tab w:val="clear" w:pos="1134"/>
          <w:tab w:val="right" w:pos="9639"/>
        </w:tabs>
        <w:spacing w:before="480"/>
        <w:rPr>
          <w:rFonts w:eastAsiaTheme="minorEastAsia"/>
          <w:rtl/>
          <w:lang w:eastAsia="zh-CN" w:bidi="ar-EG"/>
        </w:rPr>
      </w:pPr>
      <w:r w:rsidRPr="00887D67">
        <w:rPr>
          <w:rFonts w:hint="cs"/>
          <w:u w:val="single"/>
          <w:rtl/>
        </w:rPr>
        <w:t>مشروع التوصية</w:t>
      </w:r>
      <w:r>
        <w:rPr>
          <w:rFonts w:hint="cs"/>
          <w:u w:val="single"/>
          <w:rtl/>
        </w:rPr>
        <w:t xml:space="preserve"> الجديدة</w:t>
      </w:r>
      <w:r w:rsidRPr="00887D67">
        <w:rPr>
          <w:rFonts w:hint="cs"/>
          <w:u w:val="single"/>
          <w:rtl/>
        </w:rPr>
        <w:t xml:space="preserve"> </w:t>
      </w:r>
      <w:r w:rsidRPr="00887D67">
        <w:rPr>
          <w:u w:val="single"/>
        </w:rPr>
        <w:t>ITU</w:t>
      </w:r>
      <w:r w:rsidR="004706B3">
        <w:rPr>
          <w:u w:val="single"/>
        </w:rPr>
        <w:t>-</w:t>
      </w:r>
      <w:r w:rsidRPr="00887D67">
        <w:rPr>
          <w:u w:val="single"/>
        </w:rPr>
        <w:t>R</w:t>
      </w:r>
      <w:r w:rsidRPr="007106EF">
        <w:rPr>
          <w:u w:val="single"/>
        </w:rPr>
        <w:t xml:space="preserve"> S.[ACM-PERF]</w:t>
      </w:r>
      <w:r w:rsidR="00AF70F6" w:rsidRPr="00AF70F6">
        <w:rPr>
          <w:rFonts w:eastAsiaTheme="minorEastAsia"/>
          <w:rtl/>
          <w:lang w:eastAsia="zh-CN" w:bidi="ar-EG"/>
        </w:rPr>
        <w:tab/>
      </w:r>
      <w:r>
        <w:rPr>
          <w:rFonts w:hint="cs"/>
          <w:rtl/>
          <w:lang w:bidi="ar-EG"/>
        </w:rPr>
        <w:t xml:space="preserve">الوثيقة </w:t>
      </w:r>
      <w:r>
        <w:rPr>
          <w:lang w:bidi="ar-EG"/>
        </w:rPr>
        <w:t>4/63(Rev.1)</w:t>
      </w:r>
    </w:p>
    <w:p w:rsidR="00AF70F6" w:rsidRPr="00AF70F6" w:rsidRDefault="006B39EF" w:rsidP="00116FB9">
      <w:pPr>
        <w:pStyle w:val="Rectitle"/>
        <w:rPr>
          <w:rFonts w:eastAsiaTheme="minorEastAsia"/>
          <w:rtl/>
          <w:lang w:eastAsia="zh-CN" w:bidi="ar-SY"/>
        </w:rPr>
      </w:pPr>
      <w:r>
        <w:rPr>
          <w:rFonts w:hint="cs"/>
          <w:rtl/>
        </w:rPr>
        <w:t>طريقة تحديد أهداف أداء المسارات الرقمية المرجعية الافتراضية الساتلية</w:t>
      </w:r>
      <w:r w:rsidR="006554FF">
        <w:rPr>
          <w:rFonts w:hint="cs"/>
          <w:rtl/>
        </w:rPr>
        <w:t xml:space="preserve"> </w:t>
      </w:r>
      <w:r w:rsidR="006554FF">
        <w:rPr>
          <w:rtl/>
        </w:rPr>
        <w:br/>
      </w:r>
      <w:r>
        <w:rPr>
          <w:rFonts w:hint="cs"/>
          <w:rtl/>
        </w:rPr>
        <w:t>التي تستعمل التشفير والتشكيل التكييفيين</w:t>
      </w:r>
    </w:p>
    <w:p w:rsidR="00AF70F6" w:rsidRDefault="006B39EF"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Pr>
          <w:rFonts w:hint="cs"/>
          <w:rtl/>
          <w:lang w:bidi="ar-EG"/>
        </w:rPr>
        <w:t>تقدم هذه التوصية طريقة لتحديد أهداف أداء أنظمة الاتصالات الساتلية التي تستعمل التشفير والتشكيل التكييفيين.</w:t>
      </w:r>
    </w:p>
    <w:p w:rsidR="006B39EF" w:rsidRDefault="006B39EF" w:rsidP="004706B3">
      <w:pPr>
        <w:keepNext/>
        <w:tabs>
          <w:tab w:val="right" w:pos="9639"/>
        </w:tabs>
        <w:spacing w:before="480"/>
        <w:rPr>
          <w:rtl/>
          <w:lang w:bidi="ar-EG"/>
        </w:rPr>
      </w:pPr>
      <w:r w:rsidRPr="00887D67">
        <w:rPr>
          <w:rFonts w:hint="cs"/>
          <w:u w:val="single"/>
          <w:rtl/>
        </w:rPr>
        <w:t xml:space="preserve">مشروع </w:t>
      </w:r>
      <w:r>
        <w:rPr>
          <w:rFonts w:hint="cs"/>
          <w:u w:val="single"/>
          <w:rtl/>
        </w:rPr>
        <w:t xml:space="preserve">مراجعة </w:t>
      </w:r>
      <w:r w:rsidRPr="00887D67">
        <w:rPr>
          <w:rFonts w:hint="cs"/>
          <w:u w:val="single"/>
          <w:rtl/>
        </w:rPr>
        <w:t>التوصية</w:t>
      </w:r>
      <w:r>
        <w:rPr>
          <w:rFonts w:hint="cs"/>
          <w:u w:val="single"/>
          <w:rtl/>
        </w:rPr>
        <w:t xml:space="preserve"> </w:t>
      </w:r>
      <w:r w:rsidRPr="00887D67">
        <w:rPr>
          <w:u w:val="single"/>
        </w:rPr>
        <w:t>ITU</w:t>
      </w:r>
      <w:r w:rsidR="004706B3">
        <w:rPr>
          <w:u w:val="single"/>
        </w:rPr>
        <w:t>-</w:t>
      </w:r>
      <w:r w:rsidRPr="00887D67">
        <w:rPr>
          <w:u w:val="single"/>
        </w:rPr>
        <w:t>R</w:t>
      </w:r>
      <w:r w:rsidRPr="007106EF">
        <w:rPr>
          <w:u w:val="single"/>
        </w:rPr>
        <w:t xml:space="preserve"> S.</w:t>
      </w:r>
      <w:r>
        <w:rPr>
          <w:u w:val="single"/>
        </w:rPr>
        <w:t>1782</w:t>
      </w:r>
      <w:r w:rsidR="004706B3">
        <w:rPr>
          <w:u w:val="single"/>
        </w:rPr>
        <w:t>-</w:t>
      </w:r>
      <w:r>
        <w:rPr>
          <w:u w:val="single"/>
        </w:rPr>
        <w:t>0</w:t>
      </w:r>
      <w:r>
        <w:rPr>
          <w:rFonts w:hint="cs"/>
          <w:rtl/>
          <w:lang w:bidi="ar-EG"/>
        </w:rPr>
        <w:tab/>
        <w:t xml:space="preserve">الوثيقة </w:t>
      </w:r>
      <w:r>
        <w:rPr>
          <w:lang w:bidi="ar-EG"/>
        </w:rPr>
        <w:t>4/68(Rev.1)</w:t>
      </w:r>
    </w:p>
    <w:p w:rsidR="006B39EF" w:rsidRDefault="006B39EF" w:rsidP="00116FB9">
      <w:pPr>
        <w:pStyle w:val="Rectitle"/>
        <w:rPr>
          <w:rtl/>
          <w:lang w:bidi="ar-EG"/>
        </w:rPr>
      </w:pPr>
      <w:r w:rsidRPr="00455AAF">
        <w:rPr>
          <w:rtl/>
        </w:rPr>
        <w:t>إمكانيات توفير النفاذ إلى الإنترنت</w:t>
      </w:r>
      <w:r>
        <w:rPr>
          <w:rFonts w:hint="cs"/>
          <w:rtl/>
        </w:rPr>
        <w:t xml:space="preserve"> عريضة النطاق</w:t>
      </w:r>
      <w:r w:rsidRPr="00455AAF">
        <w:rPr>
          <w:rtl/>
        </w:rPr>
        <w:t xml:space="preserve"> على الصعيد العالمي</w:t>
      </w:r>
      <w:r w:rsidR="006554FF">
        <w:rPr>
          <w:rFonts w:hint="cs"/>
          <w:rtl/>
        </w:rPr>
        <w:t xml:space="preserve"> </w:t>
      </w:r>
      <w:r w:rsidR="006554FF">
        <w:rPr>
          <w:rtl/>
        </w:rPr>
        <w:br/>
      </w:r>
      <w:r w:rsidRPr="00455AAF">
        <w:rPr>
          <w:rtl/>
        </w:rPr>
        <w:t>بواسطة أنظمة الخدمة الثابتة الساتلية</w:t>
      </w:r>
    </w:p>
    <w:p w:rsidR="006B39EF" w:rsidRDefault="006B39EF" w:rsidP="006B39EF">
      <w:pPr>
        <w:rPr>
          <w:rtl/>
          <w:lang w:bidi="ar-EG"/>
        </w:rPr>
      </w:pPr>
      <w:r>
        <w:rPr>
          <w:rFonts w:hint="cs"/>
          <w:rtl/>
          <w:lang w:bidi="ar-EG"/>
        </w:rPr>
        <w:t>تشمل هذه المراجعة ما يلي:</w:t>
      </w:r>
    </w:p>
    <w:p w:rsidR="006B39EF" w:rsidRDefault="006B39EF" w:rsidP="004706B3">
      <w:pPr>
        <w:pStyle w:val="enumlev1"/>
      </w:pPr>
      <w:r>
        <w:rPr>
          <w:lang w:bidi="ar-EG"/>
        </w:rPr>
        <w:sym w:font="Symbol" w:char="F02D"/>
      </w:r>
      <w:r>
        <w:rPr>
          <w:rtl/>
          <w:lang w:bidi="ar-EG"/>
        </w:rPr>
        <w:tab/>
      </w:r>
      <w:r>
        <w:rPr>
          <w:rFonts w:hint="cs"/>
          <w:rtl/>
          <w:lang w:bidi="ar-EG"/>
        </w:rPr>
        <w:t>مراجعة العنوان ومجال التطبيق</w:t>
      </w:r>
      <w:r>
        <w:rPr>
          <w:rFonts w:hint="cs"/>
          <w:rtl/>
        </w:rPr>
        <w:t xml:space="preserve"> ومتن النص.</w:t>
      </w:r>
    </w:p>
    <w:p w:rsidR="006B39EF" w:rsidRPr="00307B77" w:rsidRDefault="006B39EF" w:rsidP="004706B3">
      <w:pPr>
        <w:pStyle w:val="enumlev1"/>
        <w:rPr>
          <w:rtl/>
        </w:rPr>
      </w:pPr>
      <w:r>
        <w:rPr>
          <w:lang w:bidi="ar-EG"/>
        </w:rPr>
        <w:sym w:font="Symbol" w:char="F02D"/>
      </w:r>
      <w:r>
        <w:rPr>
          <w:rtl/>
          <w:lang w:bidi="ar-EG"/>
        </w:rPr>
        <w:tab/>
      </w:r>
      <w:r>
        <w:rPr>
          <w:rFonts w:hint="cs"/>
          <w:rtl/>
          <w:lang w:bidi="ar-EG"/>
        </w:rPr>
        <w:t>ملحق أول جديد قائم بذاته بشأن اعتبارات عامة وخصائص تستند إلى معلومات محد</w:t>
      </w:r>
      <w:r w:rsidR="001A31CF">
        <w:rPr>
          <w:rFonts w:hint="cs"/>
          <w:rtl/>
          <w:lang w:bidi="ar-EG"/>
        </w:rPr>
        <w:t>ّ</w:t>
      </w:r>
      <w:r>
        <w:rPr>
          <w:rFonts w:hint="cs"/>
          <w:rtl/>
          <w:lang w:bidi="ar-EG"/>
        </w:rPr>
        <w:t xml:space="preserve">ثة عن التطور الحالي والمستقبلي في النطاقات </w:t>
      </w:r>
      <w:r>
        <w:rPr>
          <w:lang w:bidi="ar-EG"/>
        </w:rPr>
        <w:t>Ku</w:t>
      </w:r>
      <w:r>
        <w:rPr>
          <w:rFonts w:hint="cs"/>
          <w:rtl/>
        </w:rPr>
        <w:t xml:space="preserve"> و</w:t>
      </w:r>
      <w:proofErr w:type="spellStart"/>
      <w:r>
        <w:t>Ka</w:t>
      </w:r>
      <w:proofErr w:type="spellEnd"/>
      <w:r>
        <w:rPr>
          <w:rFonts w:hint="cs"/>
          <w:rtl/>
        </w:rPr>
        <w:t xml:space="preserve"> و</w:t>
      </w:r>
      <w:r>
        <w:t>Q/V</w:t>
      </w:r>
      <w:r>
        <w:rPr>
          <w:rFonts w:hint="cs"/>
          <w:rtl/>
        </w:rPr>
        <w:t xml:space="preserve"> وعن معمارية الساتل وتنفيذ الحزم.</w:t>
      </w:r>
    </w:p>
    <w:p w:rsidR="006B39EF" w:rsidRDefault="006B39EF" w:rsidP="004706B3">
      <w:pPr>
        <w:pStyle w:val="enumlev1"/>
      </w:pPr>
      <w:r>
        <w:rPr>
          <w:lang w:bidi="ar-EG"/>
        </w:rPr>
        <w:sym w:font="Symbol" w:char="F02D"/>
      </w:r>
      <w:r>
        <w:rPr>
          <w:rtl/>
          <w:lang w:bidi="ar-EG"/>
        </w:rPr>
        <w:tab/>
      </w:r>
      <w:r>
        <w:rPr>
          <w:rFonts w:hint="cs"/>
          <w:rtl/>
          <w:lang w:bidi="ar-EG"/>
        </w:rPr>
        <w:t xml:space="preserve">الاستعاضة عن الملحق </w:t>
      </w:r>
      <w:r>
        <w:rPr>
          <w:lang w:bidi="ar-EG"/>
        </w:rPr>
        <w:t>2</w:t>
      </w:r>
      <w:r>
        <w:rPr>
          <w:rFonts w:hint="cs"/>
          <w:rtl/>
        </w:rPr>
        <w:t xml:space="preserve"> الأصلي بملحق جديد يصف الأنظمة الساتلية عريضة النطاق من الجيل التالي بما فيها الأنظمة قيد الإنشاء، والأنظمة قيد التطوير من أجل النشر في المدى القريب، والأنظمة المستقبلية متوسطة وطويلة الأجل. وسيصف الملحق </w:t>
      </w:r>
      <w:r>
        <w:t>2</w:t>
      </w:r>
      <w:r>
        <w:rPr>
          <w:rFonts w:hint="cs"/>
          <w:rtl/>
        </w:rPr>
        <w:t xml:space="preserve"> على وجه التحديد الأنظمة المقبلة وصفاً ملموساً مثل السعة بالتيرابت </w:t>
      </w:r>
      <w:r>
        <w:t>(Terabit)</w:t>
      </w:r>
      <w:r>
        <w:rPr>
          <w:rFonts w:hint="cs"/>
          <w:rtl/>
        </w:rPr>
        <w:t xml:space="preserve"> و/أو</w:t>
      </w:r>
      <w:r w:rsidR="004706B3">
        <w:rPr>
          <w:rFonts w:hint="eastAsia"/>
          <w:rtl/>
        </w:rPr>
        <w:t> </w:t>
      </w:r>
      <w:r>
        <w:rPr>
          <w:rFonts w:hint="cs"/>
          <w:rtl/>
        </w:rPr>
        <w:t xml:space="preserve">الأنظمة التي تستعمل النطاقات </w:t>
      </w:r>
      <w:proofErr w:type="spellStart"/>
      <w:r>
        <w:t>Ka</w:t>
      </w:r>
      <w:proofErr w:type="spellEnd"/>
      <w:r>
        <w:rPr>
          <w:rFonts w:hint="cs"/>
          <w:rtl/>
        </w:rPr>
        <w:t xml:space="preserve"> و/أو </w:t>
      </w:r>
      <w:r>
        <w:t>Q/V</w:t>
      </w:r>
      <w:r>
        <w:rPr>
          <w:rFonts w:hint="cs"/>
          <w:rtl/>
        </w:rPr>
        <w:t>.</w:t>
      </w:r>
    </w:p>
    <w:p w:rsidR="00752B43" w:rsidRDefault="00752B43" w:rsidP="00752B43">
      <w:pPr>
        <w:rPr>
          <w:rFonts w:eastAsiaTheme="minorEastAsia"/>
        </w:rPr>
      </w:pPr>
    </w:p>
    <w:p w:rsidR="00752B43" w:rsidRDefault="00752B43" w:rsidP="0032202E">
      <w:pPr>
        <w:pStyle w:val="Reasons"/>
      </w:pPr>
    </w:p>
    <w:p w:rsidR="00752B43" w:rsidRPr="00752B43" w:rsidRDefault="00752B43" w:rsidP="00752B43">
      <w:pPr>
        <w:jc w:val="center"/>
        <w:rPr>
          <w:rtl/>
        </w:rPr>
      </w:pPr>
      <w:r>
        <w:t>______________</w:t>
      </w:r>
    </w:p>
    <w:sectPr w:rsidR="00752B43" w:rsidRPr="00752B43" w:rsidSect="008B5B5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D8" w:rsidRDefault="00494CD8" w:rsidP="00E07379">
      <w:pPr>
        <w:spacing w:before="0" w:line="240" w:lineRule="auto"/>
      </w:pPr>
      <w:r>
        <w:separator/>
      </w:r>
    </w:p>
  </w:endnote>
  <w:endnote w:type="continuationSeparator" w:id="0">
    <w:p w:rsidR="00494CD8" w:rsidRDefault="00494CD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panose1 w:val="02020803070505020304"/>
    <w:charset w:val="00"/>
    <w:family w:val="roman"/>
    <w:pitch w:val="variable"/>
    <w:sig w:usb0="E0002AEF" w:usb1="C0007841" w:usb2="00000009" w:usb3="00000000" w:csb0="000001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0F" w:rsidRDefault="00535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0F" w:rsidRDefault="00535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D8" w:rsidRDefault="00494CD8" w:rsidP="00E07379">
      <w:pPr>
        <w:spacing w:before="0" w:line="240" w:lineRule="auto"/>
      </w:pPr>
      <w:r>
        <w:separator/>
      </w:r>
    </w:p>
  </w:footnote>
  <w:footnote w:type="continuationSeparator" w:id="0">
    <w:p w:rsidR="00494CD8" w:rsidRDefault="00494CD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0F" w:rsidRDefault="00535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752B43" w:rsidRDefault="00AF70F6" w:rsidP="002D4DD1">
    <w:pPr>
      <w:bidi w:val="0"/>
      <w:spacing w:after="240" w:line="240" w:lineRule="auto"/>
      <w:jc w:val="center"/>
      <w:rPr>
        <w:rStyle w:val="PageNumber"/>
        <w:sz w:val="18"/>
        <w:szCs w:val="18"/>
        <w:rtl/>
        <w:lang w:bidi="ar-EG"/>
      </w:rPr>
    </w:pPr>
    <w:bookmarkStart w:id="0" w:name="_GoBack"/>
    <w:bookmarkEnd w:id="0"/>
    <w:r w:rsidRPr="00752B43">
      <w:rPr>
        <w:rStyle w:val="PageNumber"/>
        <w:sz w:val="18"/>
        <w:szCs w:val="18"/>
      </w:rPr>
      <w:t xml:space="preserve">- </w:t>
    </w:r>
    <w:r w:rsidR="0022345D" w:rsidRPr="00752B43">
      <w:rPr>
        <w:rStyle w:val="PageNumber"/>
        <w:sz w:val="18"/>
        <w:szCs w:val="18"/>
      </w:rPr>
      <w:fldChar w:fldCharType="begin"/>
    </w:r>
    <w:r w:rsidR="0022345D" w:rsidRPr="00752B43">
      <w:rPr>
        <w:rStyle w:val="PageNumber"/>
        <w:sz w:val="18"/>
        <w:szCs w:val="18"/>
      </w:rPr>
      <w:instrText xml:space="preserve"> PAGE </w:instrText>
    </w:r>
    <w:r w:rsidR="0022345D" w:rsidRPr="00752B43">
      <w:rPr>
        <w:rStyle w:val="PageNumber"/>
        <w:sz w:val="18"/>
        <w:szCs w:val="18"/>
      </w:rPr>
      <w:fldChar w:fldCharType="separate"/>
    </w:r>
    <w:r w:rsidR="00752B43">
      <w:rPr>
        <w:rStyle w:val="PageNumber"/>
        <w:noProof/>
        <w:sz w:val="18"/>
        <w:szCs w:val="18"/>
      </w:rPr>
      <w:t>2</w:t>
    </w:r>
    <w:r w:rsidR="0022345D" w:rsidRPr="00752B43">
      <w:rPr>
        <w:rStyle w:val="PageNumber"/>
        <w:sz w:val="18"/>
        <w:szCs w:val="18"/>
      </w:rPr>
      <w:fldChar w:fldCharType="end"/>
    </w:r>
    <w:r w:rsidRPr="00752B4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E0"/>
    <w:rsid w:val="000124CC"/>
    <w:rsid w:val="00041F8B"/>
    <w:rsid w:val="00046444"/>
    <w:rsid w:val="0006023B"/>
    <w:rsid w:val="0008638B"/>
    <w:rsid w:val="00090574"/>
    <w:rsid w:val="00092FC2"/>
    <w:rsid w:val="000A1677"/>
    <w:rsid w:val="000B407F"/>
    <w:rsid w:val="000B5FDD"/>
    <w:rsid w:val="000C13C2"/>
    <w:rsid w:val="000E6553"/>
    <w:rsid w:val="000F0B1C"/>
    <w:rsid w:val="000F1D42"/>
    <w:rsid w:val="000F4D07"/>
    <w:rsid w:val="00102A03"/>
    <w:rsid w:val="001040A3"/>
    <w:rsid w:val="00116FB9"/>
    <w:rsid w:val="00173915"/>
    <w:rsid w:val="001A31CF"/>
    <w:rsid w:val="001C6027"/>
    <w:rsid w:val="001F2ED3"/>
    <w:rsid w:val="0021544D"/>
    <w:rsid w:val="0022345D"/>
    <w:rsid w:val="00225854"/>
    <w:rsid w:val="0023283D"/>
    <w:rsid w:val="00252E0C"/>
    <w:rsid w:val="002703AE"/>
    <w:rsid w:val="0027276A"/>
    <w:rsid w:val="00276881"/>
    <w:rsid w:val="002916BE"/>
    <w:rsid w:val="002978F4"/>
    <w:rsid w:val="002B028D"/>
    <w:rsid w:val="002B435E"/>
    <w:rsid w:val="002C4DAE"/>
    <w:rsid w:val="002D4DD1"/>
    <w:rsid w:val="002D6669"/>
    <w:rsid w:val="002E6541"/>
    <w:rsid w:val="002E7A05"/>
    <w:rsid w:val="002F5560"/>
    <w:rsid w:val="002F7232"/>
    <w:rsid w:val="0030486B"/>
    <w:rsid w:val="003231B9"/>
    <w:rsid w:val="003275AC"/>
    <w:rsid w:val="00333D29"/>
    <w:rsid w:val="003409F4"/>
    <w:rsid w:val="00356F37"/>
    <w:rsid w:val="00357185"/>
    <w:rsid w:val="003B7F2E"/>
    <w:rsid w:val="003C475F"/>
    <w:rsid w:val="003E4132"/>
    <w:rsid w:val="003F678F"/>
    <w:rsid w:val="0042686F"/>
    <w:rsid w:val="004367CE"/>
    <w:rsid w:val="00443869"/>
    <w:rsid w:val="004706B3"/>
    <w:rsid w:val="004712C6"/>
    <w:rsid w:val="00494CD8"/>
    <w:rsid w:val="00497703"/>
    <w:rsid w:val="004D5392"/>
    <w:rsid w:val="004F0F06"/>
    <w:rsid w:val="00501E0E"/>
    <w:rsid w:val="005204D7"/>
    <w:rsid w:val="00530420"/>
    <w:rsid w:val="0053550F"/>
    <w:rsid w:val="00541680"/>
    <w:rsid w:val="00552BC5"/>
    <w:rsid w:val="0055516A"/>
    <w:rsid w:val="0056374C"/>
    <w:rsid w:val="0056614F"/>
    <w:rsid w:val="0057656F"/>
    <w:rsid w:val="00576731"/>
    <w:rsid w:val="0059285F"/>
    <w:rsid w:val="005A24B1"/>
    <w:rsid w:val="005B7B8A"/>
    <w:rsid w:val="005D6476"/>
    <w:rsid w:val="005D6C0D"/>
    <w:rsid w:val="005E5283"/>
    <w:rsid w:val="005E58F5"/>
    <w:rsid w:val="005F52A4"/>
    <w:rsid w:val="00606660"/>
    <w:rsid w:val="006157A3"/>
    <w:rsid w:val="00620E60"/>
    <w:rsid w:val="0063315A"/>
    <w:rsid w:val="006554FF"/>
    <w:rsid w:val="0065591D"/>
    <w:rsid w:val="00662C5A"/>
    <w:rsid w:val="00670AF5"/>
    <w:rsid w:val="006A2AB6"/>
    <w:rsid w:val="006B39EF"/>
    <w:rsid w:val="006B40B4"/>
    <w:rsid w:val="006C1556"/>
    <w:rsid w:val="006F267F"/>
    <w:rsid w:val="006F63F7"/>
    <w:rsid w:val="006F6F03"/>
    <w:rsid w:val="00706D7A"/>
    <w:rsid w:val="00726AEC"/>
    <w:rsid w:val="00752B43"/>
    <w:rsid w:val="007530CA"/>
    <w:rsid w:val="007659B2"/>
    <w:rsid w:val="00783A16"/>
    <w:rsid w:val="0079553D"/>
    <w:rsid w:val="007A5766"/>
    <w:rsid w:val="007B01CC"/>
    <w:rsid w:val="007E7C6C"/>
    <w:rsid w:val="007F6238"/>
    <w:rsid w:val="007F646C"/>
    <w:rsid w:val="00801FCD"/>
    <w:rsid w:val="00803D7E"/>
    <w:rsid w:val="00803F08"/>
    <w:rsid w:val="00804186"/>
    <w:rsid w:val="008235CD"/>
    <w:rsid w:val="00823A07"/>
    <w:rsid w:val="008260B2"/>
    <w:rsid w:val="00835FEC"/>
    <w:rsid w:val="00844FF6"/>
    <w:rsid w:val="008513CB"/>
    <w:rsid w:val="0087230E"/>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A3BE3"/>
    <w:rsid w:val="00AB1309"/>
    <w:rsid w:val="00AC2C52"/>
    <w:rsid w:val="00AD1503"/>
    <w:rsid w:val="00AE7244"/>
    <w:rsid w:val="00AF3FEE"/>
    <w:rsid w:val="00AF70F6"/>
    <w:rsid w:val="00B02F46"/>
    <w:rsid w:val="00B2000C"/>
    <w:rsid w:val="00B20ADE"/>
    <w:rsid w:val="00B23732"/>
    <w:rsid w:val="00B31F96"/>
    <w:rsid w:val="00B66B9A"/>
    <w:rsid w:val="00B82089"/>
    <w:rsid w:val="00B970AE"/>
    <w:rsid w:val="00BA1427"/>
    <w:rsid w:val="00BA355A"/>
    <w:rsid w:val="00BD72FA"/>
    <w:rsid w:val="00BE49D0"/>
    <w:rsid w:val="00BF2C38"/>
    <w:rsid w:val="00BF40E0"/>
    <w:rsid w:val="00C23331"/>
    <w:rsid w:val="00C265DA"/>
    <w:rsid w:val="00C31F7F"/>
    <w:rsid w:val="00C442F2"/>
    <w:rsid w:val="00C674FE"/>
    <w:rsid w:val="00C7297D"/>
    <w:rsid w:val="00C75633"/>
    <w:rsid w:val="00C8242E"/>
    <w:rsid w:val="00C82615"/>
    <w:rsid w:val="00C8487B"/>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34647"/>
    <w:rsid w:val="00D37B45"/>
    <w:rsid w:val="00D45542"/>
    <w:rsid w:val="00D77D0F"/>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6688"/>
    <w:rsid w:val="00F67150"/>
    <w:rsid w:val="00F84366"/>
    <w:rsid w:val="00F85089"/>
    <w:rsid w:val="00F85564"/>
    <w:rsid w:val="00F86650"/>
    <w:rsid w:val="00F86CFA"/>
    <w:rsid w:val="00FC7C6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981A512-A7A7-4063-8072-8A813C50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76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Restitle"/>
    <w:qFormat/>
    <w:rsid w:val="00116FB9"/>
    <w:pPr>
      <w:spacing w:before="240" w:after="240"/>
    </w:pPr>
    <w:rPr>
      <w:lang w:val="en-GB"/>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15-SG04-C/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8641\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DA675-A0F5-42CD-BB77-489DBC9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56</TotalTime>
  <Pages>3</Pages>
  <Words>616</Words>
  <Characters>3196</Characters>
  <Application>Microsoft Office Word</Application>
  <DocSecurity>0</DocSecurity>
  <Lines>114</Lines>
  <Paragraphs>81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De La Rosa Trivino, Maria Dolores</cp:lastModifiedBy>
  <cp:revision>24</cp:revision>
  <cp:lastPrinted>2019-07-16T15:12:00Z</cp:lastPrinted>
  <dcterms:created xsi:type="dcterms:W3CDTF">2019-07-15T07:46:00Z</dcterms:created>
  <dcterms:modified xsi:type="dcterms:W3CDTF">2019-07-16T15:12:00Z</dcterms:modified>
  <cp:category>Conference document</cp:category>
</cp:coreProperties>
</file>