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0F6C99">
              <w:rPr>
                <w:rFonts w:eastAsiaTheme="minorEastAsia" w:hint="cs"/>
                <w:rtl/>
                <w:lang w:eastAsia="zh-CN" w:bidi="ar-AE"/>
              </w:rPr>
              <w:t>الرسالة الإدارية المعممة</w:t>
            </w:r>
          </w:p>
          <w:p w:rsidR="00AF70F6" w:rsidRPr="00AF70F6" w:rsidRDefault="00B31F96" w:rsidP="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4C0A39">
              <w:rPr>
                <w:rFonts w:eastAsiaTheme="minorEastAsia"/>
                <w:b/>
                <w:bCs/>
                <w:lang w:eastAsia="zh-CN" w:bidi="ar-SY"/>
              </w:rPr>
              <w:t>910</w:t>
            </w:r>
          </w:p>
        </w:tc>
        <w:tc>
          <w:tcPr>
            <w:tcW w:w="2293" w:type="pct"/>
            <w:shd w:val="clear" w:color="auto" w:fill="auto"/>
          </w:tcPr>
          <w:p w:rsidR="00AF70F6" w:rsidRPr="00AF70F6" w:rsidRDefault="004C0A39" w:rsidP="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86650">
              <w:rPr>
                <w:rFonts w:eastAsiaTheme="minorEastAsia"/>
                <w:b/>
                <w:bCs/>
                <w:w w:val="115"/>
                <w:rtl/>
                <w:lang w:eastAsia="zh-CN"/>
              </w:rPr>
              <w:t>إلى إدارات الدول الأعضاء في الاتحاد وأعضاء قطاع الاتصالات الراديوية</w:t>
            </w:r>
            <w:r w:rsidRPr="00F86650">
              <w:rPr>
                <w:rFonts w:eastAsiaTheme="minorEastAsia" w:hint="cs"/>
                <w:b/>
                <w:bCs/>
                <w:w w:val="115"/>
                <w:rtl/>
                <w:lang w:eastAsia="zh-CN"/>
              </w:rPr>
              <w:t xml:space="preserve"> و</w:t>
            </w:r>
            <w:r w:rsidRPr="00F86650">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4C0A39">
              <w:rPr>
                <w:rFonts w:eastAsiaTheme="minorEastAsia"/>
                <w:b/>
                <w:bCs/>
                <w:lang w:val="fr-CH" w:eastAsia="zh-CN" w:bidi="ar-EG"/>
              </w:rPr>
              <w:t>4</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AF70F6" w:rsidP="004C0A39">
            <w:pPr>
              <w:spacing w:before="60" w:after="60" w:line="340" w:lineRule="exact"/>
              <w:rPr>
                <w:b/>
                <w:bCs/>
                <w:rtl/>
                <w:lang w:bidi="ar-EG"/>
              </w:rPr>
            </w:pPr>
            <w:r w:rsidRPr="008D3F8E">
              <w:rPr>
                <w:b/>
                <w:bCs/>
                <w:rtl/>
                <w:lang w:bidi="ar-EG"/>
              </w:rPr>
              <w:t xml:space="preserve">لجنة الدراسات </w:t>
            </w:r>
            <w:r w:rsidR="004C0A39">
              <w:rPr>
                <w:b/>
                <w:bCs/>
                <w:lang w:bidi="ar-EG"/>
              </w:rPr>
              <w:t>4</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Pr="00154102">
              <w:rPr>
                <w:rFonts w:hint="cs"/>
                <w:b/>
                <w:bCs/>
                <w:rtl/>
                <w:lang w:bidi="ar-EG"/>
              </w:rPr>
              <w:t>(</w:t>
            </w:r>
            <w:r w:rsidR="004C0A39" w:rsidRPr="00154102">
              <w:rPr>
                <w:b/>
                <w:bCs/>
                <w:rtl/>
                <w:lang w:bidi="ar-EG"/>
              </w:rPr>
              <w:t>الخدمات الساتلية</w:t>
            </w:r>
            <w:r w:rsidRPr="00154102">
              <w:rPr>
                <w:rFonts w:hint="cs"/>
                <w:b/>
                <w:bCs/>
                <w:rtl/>
                <w:lang w:bidi="ar-EG"/>
              </w:rPr>
              <w:t>)</w:t>
            </w:r>
          </w:p>
          <w:p w:rsidR="00AF70F6" w:rsidRPr="004C0A39" w:rsidRDefault="00D37B45" w:rsidP="004C0A39">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004C0A39" w:rsidRPr="004C0A39">
              <w:rPr>
                <w:rFonts w:hint="cs"/>
                <w:b/>
                <w:bCs/>
                <w:rtl/>
                <w:lang w:bidi="ar-EG"/>
              </w:rPr>
              <w:t xml:space="preserve">اقتراح للموافقة على مشاريع مراجعة </w:t>
            </w:r>
            <w:r w:rsidR="004C0A39" w:rsidRPr="004C0A39">
              <w:rPr>
                <w:b/>
                <w:bCs/>
                <w:lang w:bidi="ar-EG"/>
              </w:rPr>
              <w:t>5</w:t>
            </w:r>
            <w:r w:rsidR="004C0A39" w:rsidRPr="004C0A39">
              <w:rPr>
                <w:rFonts w:hint="cs"/>
                <w:b/>
                <w:bCs/>
                <w:rtl/>
                <w:lang w:bidi="ar-EG"/>
              </w:rPr>
              <w:t xml:space="preserve"> توصيات لقطاع الاتصالات الراديوية</w:t>
            </w:r>
          </w:p>
        </w:tc>
      </w:tr>
    </w:tbl>
    <w:p w:rsidR="004C0A39" w:rsidRPr="003D5F11" w:rsidRDefault="004C0A39" w:rsidP="004C0A39">
      <w:pPr>
        <w:spacing w:before="840"/>
        <w:rPr>
          <w:rtl/>
        </w:rPr>
      </w:pPr>
      <w:r w:rsidRPr="003D5F11">
        <w:rPr>
          <w:rFonts w:hint="cs"/>
          <w:rtl/>
        </w:rPr>
        <w:t>تحية طيبة وبعد،</w:t>
      </w:r>
    </w:p>
    <w:p w:rsidR="004C0A39" w:rsidRPr="001566EA" w:rsidRDefault="004C0A39" w:rsidP="000F6C99">
      <w:pPr>
        <w:rPr>
          <w:rtl/>
          <w:lang w:bidi="ar-EG"/>
        </w:rPr>
      </w:pPr>
      <w:r w:rsidRPr="001566EA">
        <w:rPr>
          <w:rFonts w:hint="cs"/>
          <w:rtl/>
          <w:lang w:bidi="ar-EG"/>
        </w:rPr>
        <w:t xml:space="preserve">اعتمدت لجنة الدراسات </w:t>
      </w:r>
      <w:r>
        <w:t>4</w:t>
      </w:r>
      <w:r w:rsidRPr="001566EA">
        <w:rPr>
          <w:rFonts w:hint="cs"/>
          <w:rtl/>
          <w:lang w:bidi="ar-EG"/>
        </w:rPr>
        <w:t xml:space="preserve"> للاتصالات الراديوية في اجتماعها المنعقد في </w:t>
      </w:r>
      <w:r>
        <w:t>5</w:t>
      </w:r>
      <w:r w:rsidRPr="001566EA">
        <w:rPr>
          <w:rFonts w:hint="cs"/>
          <w:b/>
          <w:bCs/>
          <w:rtl/>
          <w:lang w:bidi="ar-EG"/>
        </w:rPr>
        <w:t xml:space="preserve"> </w:t>
      </w:r>
      <w:r>
        <w:rPr>
          <w:rFonts w:hint="cs"/>
          <w:rtl/>
        </w:rPr>
        <w:t>يوليو</w:t>
      </w:r>
      <w:r w:rsidRPr="001566EA">
        <w:rPr>
          <w:rFonts w:hint="cs"/>
          <w:rtl/>
          <w:lang w:bidi="ar-EG"/>
        </w:rPr>
        <w:t xml:space="preserve"> </w:t>
      </w:r>
      <w:r w:rsidRPr="001566EA">
        <w:t>2019</w:t>
      </w:r>
      <w:r w:rsidRPr="001566EA">
        <w:rPr>
          <w:rFonts w:hint="cs"/>
          <w:rtl/>
          <w:lang w:bidi="ar-EG"/>
        </w:rPr>
        <w:t>، نصوص مشاريع مراجعة</w:t>
      </w:r>
      <w:r w:rsidRPr="001566EA">
        <w:rPr>
          <w:rFonts w:hint="eastAsia"/>
          <w:rtl/>
          <w:lang w:bidi="ar-EG"/>
        </w:rPr>
        <w:t> </w:t>
      </w:r>
      <w:r w:rsidRPr="001566EA">
        <w:t>5</w:t>
      </w:r>
      <w:r w:rsidRPr="001566EA">
        <w:rPr>
          <w:rFonts w:hint="cs"/>
          <w:rtl/>
          <w:lang w:bidi="ar-EG"/>
        </w:rPr>
        <w:t xml:space="preserve"> توصيات لقطاع الاتصالات الراديوية واتفقت على تطبيق إجراء القرار</w:t>
      </w:r>
      <w:r w:rsidRPr="001566EA">
        <w:rPr>
          <w:rFonts w:hint="eastAsia"/>
          <w:rtl/>
          <w:lang w:bidi="ar-EG"/>
        </w:rPr>
        <w:t> </w:t>
      </w:r>
      <w:r w:rsidRPr="001566EA">
        <w:rPr>
          <w:lang w:val="en-GB"/>
        </w:rPr>
        <w:t>ITU</w:t>
      </w:r>
      <w:r w:rsidR="000F6C99">
        <w:rPr>
          <w:lang w:val="en-GB"/>
        </w:rPr>
        <w:t>-</w:t>
      </w:r>
      <w:r w:rsidRPr="001566EA">
        <w:rPr>
          <w:lang w:val="en-GB"/>
        </w:rPr>
        <w:t>R 1</w:t>
      </w:r>
      <w:r w:rsidR="000F6C99">
        <w:rPr>
          <w:lang w:val="en-GB"/>
        </w:rPr>
        <w:t>-</w:t>
      </w:r>
      <w:r w:rsidRPr="001566EA">
        <w:rPr>
          <w:lang w:val="en-GB"/>
        </w:rPr>
        <w:t>7</w:t>
      </w:r>
      <w:r w:rsidRPr="001566EA">
        <w:rPr>
          <w:rFonts w:hint="cs"/>
          <w:rtl/>
          <w:lang w:bidi="ar-EG"/>
        </w:rPr>
        <w:t xml:space="preserve"> (انظر</w:t>
      </w:r>
      <w:r w:rsidRPr="001566EA">
        <w:rPr>
          <w:rFonts w:hint="eastAsia"/>
          <w:rtl/>
          <w:lang w:bidi="ar-EG"/>
        </w:rPr>
        <w:t> </w:t>
      </w:r>
      <w:r w:rsidRPr="001566EA">
        <w:rPr>
          <w:rFonts w:hint="cs"/>
          <w:rtl/>
          <w:lang w:bidi="ar-EG"/>
        </w:rPr>
        <w:t>الفقرة </w:t>
      </w:r>
      <w:r w:rsidRPr="001566EA">
        <w:t>3.2.6.A2</w:t>
      </w:r>
      <w:r w:rsidRPr="001566EA">
        <w:rPr>
          <w:rFonts w:hint="cs"/>
          <w:rtl/>
          <w:lang w:bidi="ar-EG"/>
        </w:rPr>
        <w:t>) المتعلق بالموافقة على التوصيات بالتشاور. وترد في الملحق بهذه الرسالة عناوين مشاريع التوصيات وملخصاتها. ويرجى من أي دولة عضو تعترض على الموافقة على مشروع توصية أن تخبر المدير ورئيس لجنة الدراسات بأسباب</w:t>
      </w:r>
      <w:r w:rsidRPr="001566EA">
        <w:rPr>
          <w:rFonts w:hint="eastAsia"/>
          <w:rtl/>
          <w:lang w:bidi="ar-EG"/>
        </w:rPr>
        <w:t> </w:t>
      </w:r>
      <w:r w:rsidRPr="001566EA">
        <w:rPr>
          <w:rFonts w:hint="cs"/>
          <w:rtl/>
          <w:lang w:bidi="ar-EG"/>
        </w:rPr>
        <w:t>اعتراضها.</w:t>
      </w:r>
    </w:p>
    <w:p w:rsidR="004C0A39" w:rsidRPr="003D5F11" w:rsidRDefault="004C0A39" w:rsidP="00154102">
      <w:pPr>
        <w:rPr>
          <w:rtl/>
          <w:lang w:bidi="ar-EG"/>
        </w:rPr>
      </w:pPr>
      <w:r w:rsidRPr="003D5F11">
        <w:rPr>
          <w:rFonts w:hint="cs"/>
          <w:rtl/>
          <w:lang w:bidi="ar-EG"/>
        </w:rPr>
        <w:t>وبالنظر إلى أحكام الفقرة </w:t>
      </w:r>
      <w:r w:rsidRPr="003D5F11">
        <w:t>3.2.6.A2</w:t>
      </w:r>
      <w:r w:rsidRPr="003D5F11">
        <w:rPr>
          <w:rFonts w:hint="cs"/>
          <w:rtl/>
          <w:lang w:bidi="ar-EG"/>
        </w:rPr>
        <w:t xml:space="preserve"> من القرار </w:t>
      </w:r>
      <w:r w:rsidRPr="003D5F11">
        <w:rPr>
          <w:lang w:val="en-GB"/>
        </w:rPr>
        <w:t>ITU</w:t>
      </w:r>
      <w:r>
        <w:rPr>
          <w:lang w:val="en-GB"/>
        </w:rPr>
        <w:t>-</w:t>
      </w:r>
      <w:r w:rsidRPr="003D5F11">
        <w:rPr>
          <w:lang w:val="en-GB"/>
        </w:rPr>
        <w:t>R 1</w:t>
      </w:r>
      <w:r>
        <w:rPr>
          <w:lang w:val="en-GB"/>
        </w:rPr>
        <w:t>-</w:t>
      </w:r>
      <w:r w:rsidRPr="003D5F11">
        <w:rPr>
          <w:lang w:val="en-GB"/>
        </w:rPr>
        <w:t>7</w:t>
      </w:r>
      <w:r w:rsidRPr="003D5F11">
        <w:rPr>
          <w:rFonts w:hint="cs"/>
          <w:rtl/>
          <w:lang w:bidi="ar-EG"/>
        </w:rPr>
        <w:t>، يرجى من الدول الأعضاء إبلاغ الأمانة </w:t>
      </w:r>
      <w:r w:rsidRPr="003D5F11">
        <w:t>(</w:t>
      </w:r>
      <w:hyperlink r:id="rId10" w:history="1">
        <w:r w:rsidRPr="003D5F11">
          <w:rPr>
            <w:rStyle w:val="Hyperlink"/>
            <w:rFonts w:ascii="Calibri" w:hAnsi="Calibri"/>
          </w:rPr>
          <w:t>brsgd@itu.int</w:t>
        </w:r>
      </w:hyperlink>
      <w:r w:rsidRPr="003D5F11">
        <w:t>)</w:t>
      </w:r>
      <w:r w:rsidRPr="003D5F11">
        <w:rPr>
          <w:rFonts w:hint="cs"/>
          <w:rtl/>
          <w:lang w:bidi="ar-EG"/>
        </w:rPr>
        <w:t xml:space="preserve"> قبل</w:t>
      </w:r>
      <w:r>
        <w:rPr>
          <w:rFonts w:hint="eastAsia"/>
          <w:rtl/>
          <w:lang w:bidi="ar-EG"/>
        </w:rPr>
        <w:t> </w:t>
      </w:r>
      <w:r>
        <w:rPr>
          <w:u w:val="single"/>
          <w:lang w:val="fr-CH" w:bidi="ar-EG"/>
        </w:rPr>
        <w:t>17</w:t>
      </w:r>
      <w:r w:rsidRPr="003D5F11">
        <w:rPr>
          <w:rFonts w:hint="eastAsia"/>
          <w:u w:val="single"/>
          <w:rtl/>
          <w:lang w:bidi="ar-EG"/>
        </w:rPr>
        <w:t> </w:t>
      </w:r>
      <w:r>
        <w:rPr>
          <w:rFonts w:hint="cs"/>
          <w:u w:val="single"/>
          <w:rtl/>
          <w:lang w:bidi="ar-EG"/>
        </w:rPr>
        <w:t>سبتمبر</w:t>
      </w:r>
      <w:r w:rsidRPr="003D5F11">
        <w:rPr>
          <w:rFonts w:hint="eastAsia"/>
          <w:u w:val="single"/>
          <w:rtl/>
          <w:lang w:bidi="ar-EG"/>
        </w:rPr>
        <w:t> </w:t>
      </w:r>
      <w:r w:rsidRPr="003D5F11">
        <w:rPr>
          <w:u w:val="single"/>
        </w:rPr>
        <w:t>2019</w:t>
      </w:r>
      <w:r w:rsidRPr="003D5F11">
        <w:rPr>
          <w:rFonts w:hint="cs"/>
          <w:rtl/>
          <w:lang w:bidi="ar-EG"/>
        </w:rPr>
        <w:t xml:space="preserve"> </w:t>
      </w:r>
      <w:r w:rsidR="00154102">
        <w:rPr>
          <w:rFonts w:hint="cs"/>
          <w:rtl/>
          <w:lang w:bidi="ar-EG"/>
        </w:rPr>
        <w:t>بما</w:t>
      </w:r>
      <w:r w:rsidRPr="003D5F11">
        <w:rPr>
          <w:rFonts w:hint="cs"/>
          <w:rtl/>
          <w:lang w:bidi="ar-EG"/>
        </w:rPr>
        <w:t xml:space="preserve"> إذا كانت توافق أو لا توافق على المقترحات أعلاه.</w:t>
      </w:r>
    </w:p>
    <w:p w:rsidR="004C0A39" w:rsidRDefault="004C0A39" w:rsidP="004C0A39">
      <w:pPr>
        <w:rPr>
          <w:rtl/>
          <w:lang w:bidi="ar-EG"/>
        </w:rPr>
      </w:pPr>
      <w:r w:rsidRPr="003D5F11">
        <w:rPr>
          <w:rFonts w:hint="cs"/>
          <w:rtl/>
          <w:lang w:bidi="ar-EG"/>
        </w:rPr>
        <w:t>وبعد المهلة المحددة أعلاه، ستعلن نتائج هذا التشاور في رسالة إدارية معممة وستنشر التوصيات الموافَق عليها بأسرع وقت ممكن عملياً (انظر </w:t>
      </w:r>
      <w:hyperlink r:id="rId11" w:history="1">
        <w:r w:rsidRPr="003D5F11">
          <w:rPr>
            <w:rStyle w:val="Hyperlink"/>
            <w:rFonts w:ascii="Calibri" w:hAnsi="Calibri"/>
          </w:rPr>
          <w:t>http://www.itu.int/pub/R-REC</w:t>
        </w:r>
      </w:hyperlink>
      <w:r w:rsidRPr="003D5F11">
        <w:rPr>
          <w:rFonts w:hint="cs"/>
          <w:rtl/>
          <w:lang w:bidi="ar-EG"/>
        </w:rPr>
        <w:t>).</w:t>
      </w:r>
    </w:p>
    <w:p w:rsidR="00D023A4" w:rsidRDefault="00D023A4" w:rsidP="00D023A4">
      <w:pPr>
        <w:rPr>
          <w:rtl/>
          <w:lang w:bidi="ar-EG"/>
        </w:rPr>
      </w:pPr>
      <w:r>
        <w:rPr>
          <w:rtl/>
          <w:lang w:bidi="ar-EG"/>
        </w:rPr>
        <w:br w:type="page"/>
      </w:r>
    </w:p>
    <w:p w:rsidR="004C0A39" w:rsidRPr="003D5F11" w:rsidRDefault="004C0A39" w:rsidP="00D023A4">
      <w:pPr>
        <w:rPr>
          <w:rtl/>
        </w:rPr>
      </w:pPr>
      <w:r w:rsidRPr="003D5F11">
        <w:rPr>
          <w:rFonts w:hint="cs"/>
          <w:rtl/>
          <w:lang w:bidi="ar-EG"/>
        </w:rPr>
        <w:lastRenderedPageBreak/>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وترد السياسة المشتركة لبراءات الاختراع لقطاعي تقييس </w:t>
      </w:r>
      <w:r w:rsidRPr="003D5F11">
        <w:rPr>
          <w:rFonts w:hint="cs"/>
          <w:rtl/>
        </w:rPr>
        <w:t>الاتصالات والاتصالات الراديوية والمنظمة الدولية للتوحيد القياسي واللجنة الكهرتقنية الدولية </w:t>
      </w:r>
      <w:r w:rsidRPr="003D5F11">
        <w:t>(ITU</w:t>
      </w:r>
      <w:r w:rsidRPr="003D5F11">
        <w:noBreakHyphen/>
        <w:t>T/ITU</w:t>
      </w:r>
      <w:r w:rsidRPr="003D5F11">
        <w:noBreakHyphen/>
        <w:t>R/ISO/IEC)</w:t>
      </w:r>
      <w:r w:rsidRPr="003D5F11">
        <w:rPr>
          <w:rFonts w:hint="cs"/>
          <w:rtl/>
        </w:rPr>
        <w:t xml:space="preserve"> في</w:t>
      </w:r>
      <w:r w:rsidRPr="003D5F11">
        <w:rPr>
          <w:rFonts w:hint="eastAsia"/>
          <w:rtl/>
        </w:rPr>
        <w:t> </w:t>
      </w:r>
      <w:r w:rsidRPr="003D5F11">
        <w:rPr>
          <w:rFonts w:hint="cs"/>
          <w:rtl/>
        </w:rPr>
        <w:t>الموقع</w:t>
      </w:r>
      <w:r w:rsidRPr="003D5F11">
        <w:rPr>
          <w:rFonts w:hint="eastAsia"/>
          <w:rtl/>
        </w:rPr>
        <w:t> </w:t>
      </w:r>
      <w:hyperlink r:id="rId12" w:history="1">
        <w:r w:rsidRPr="003D5F11">
          <w:rPr>
            <w:rStyle w:val="Hyperlink"/>
            <w:rFonts w:ascii="Calibri" w:hAnsi="Calibri"/>
          </w:rPr>
          <w:t>http://www.itu.int/en/ITU-T/ipr/Pages/policy.aspx</w:t>
        </w:r>
      </w:hyperlink>
      <w:r w:rsidRPr="003D5F11">
        <w:rPr>
          <w:rFonts w:hint="cs"/>
          <w:rtl/>
        </w:rPr>
        <w:t>.</w:t>
      </w:r>
    </w:p>
    <w:p w:rsidR="004C0A39" w:rsidRPr="003D5F11" w:rsidRDefault="004C0A39" w:rsidP="004C0A39">
      <w:pPr>
        <w:spacing w:before="240"/>
        <w:rPr>
          <w:rtl/>
        </w:rPr>
      </w:pPr>
      <w:r w:rsidRPr="003D5F11">
        <w:rPr>
          <w:rFonts w:hint="cs"/>
          <w:rtl/>
          <w:lang w:bidi="ar-EG"/>
        </w:rPr>
        <w:t>وتفضلوا بقبول فائق التقدير والاحترام.</w:t>
      </w:r>
    </w:p>
    <w:p w:rsidR="004C0A39" w:rsidRPr="003D5F11" w:rsidRDefault="004C0A39" w:rsidP="004C0A39">
      <w:pPr>
        <w:spacing w:before="1440"/>
        <w:jc w:val="left"/>
        <w:rPr>
          <w:rtl/>
        </w:rPr>
      </w:pPr>
      <w:r w:rsidRPr="003D5F11">
        <w:rPr>
          <w:color w:val="000000"/>
          <w:rtl/>
        </w:rPr>
        <w:t>ماريو مانيفيتش</w:t>
      </w:r>
      <w:r w:rsidRPr="003D5F11">
        <w:rPr>
          <w:rtl/>
        </w:rPr>
        <w:br/>
      </w:r>
      <w:r>
        <w:rPr>
          <w:rFonts w:hint="cs"/>
          <w:rtl/>
        </w:rPr>
        <w:t>المدير</w:t>
      </w:r>
    </w:p>
    <w:p w:rsidR="004C0A39" w:rsidRPr="003D5F11" w:rsidRDefault="004C0A39" w:rsidP="00D023A4">
      <w:pPr>
        <w:spacing w:before="600"/>
        <w:jc w:val="left"/>
        <w:rPr>
          <w:rtl/>
          <w:lang w:bidi="ar-EG"/>
        </w:rPr>
      </w:pPr>
      <w:r w:rsidRPr="003D5F11">
        <w:rPr>
          <w:rFonts w:hint="cs"/>
          <w:b/>
          <w:bCs/>
          <w:rtl/>
          <w:lang w:bidi="ar-EG"/>
        </w:rPr>
        <w:t>الملحقات</w:t>
      </w:r>
      <w:r w:rsidRPr="003D5F11">
        <w:rPr>
          <w:rtl/>
          <w:lang w:bidi="ar-EG"/>
        </w:rPr>
        <w:t>:</w:t>
      </w:r>
      <w:r w:rsidRPr="003D5F11">
        <w:rPr>
          <w:rFonts w:hint="cs"/>
          <w:rtl/>
          <w:lang w:bidi="ar-EG"/>
        </w:rPr>
        <w:tab/>
        <w:t>-</w:t>
      </w:r>
      <w:r w:rsidRPr="003D5F11">
        <w:rPr>
          <w:rtl/>
          <w:lang w:bidi="ar-EG"/>
        </w:rPr>
        <w:tab/>
      </w:r>
      <w:r w:rsidRPr="003D5F11">
        <w:rPr>
          <w:rFonts w:hint="cs"/>
          <w:rtl/>
          <w:lang w:bidi="ar-EG"/>
        </w:rPr>
        <w:t>عناوين مشاريع التوصيات وملخصاتها</w:t>
      </w:r>
    </w:p>
    <w:p w:rsidR="004C0A39" w:rsidRPr="003D5F11" w:rsidRDefault="004C0A39" w:rsidP="00D023A4">
      <w:pPr>
        <w:spacing w:before="600"/>
        <w:rPr>
          <w:rtl/>
          <w:lang w:bidi="ar-EG"/>
        </w:rPr>
      </w:pPr>
      <w:r w:rsidRPr="003D5F11">
        <w:rPr>
          <w:rFonts w:hint="cs"/>
          <w:b/>
          <w:bCs/>
          <w:rtl/>
          <w:lang w:bidi="ar-EG"/>
        </w:rPr>
        <w:t>الوثائق</w:t>
      </w:r>
      <w:r w:rsidRPr="003D5F11">
        <w:rPr>
          <w:rtl/>
          <w:lang w:bidi="ar-EG"/>
        </w:rPr>
        <w:t>:</w:t>
      </w:r>
      <w:r w:rsidRPr="003D5F11">
        <w:rPr>
          <w:rFonts w:hint="cs"/>
          <w:rtl/>
          <w:lang w:bidi="ar-EG"/>
        </w:rPr>
        <w:tab/>
        <w:t xml:space="preserve">الوثائق </w:t>
      </w:r>
      <w:r w:rsidRPr="00220F98">
        <w:t>4/52(Rev.1)</w:t>
      </w:r>
      <w:r w:rsidR="000F6C99">
        <w:rPr>
          <w:rFonts w:hint="cs"/>
          <w:rtl/>
        </w:rPr>
        <w:t xml:space="preserve"> و</w:t>
      </w:r>
      <w:hyperlink r:id="rId13" w:history="1">
        <w:r w:rsidRPr="00220F98">
          <w:t>4/53</w:t>
        </w:r>
        <w:r w:rsidRPr="005670DA">
          <w:t>(Rev.1)</w:t>
        </w:r>
      </w:hyperlink>
      <w:r w:rsidR="000F6C99">
        <w:rPr>
          <w:rFonts w:hint="cs"/>
          <w:rtl/>
        </w:rPr>
        <w:t xml:space="preserve"> و</w:t>
      </w:r>
      <w:hyperlink r:id="rId14" w:history="1">
        <w:r>
          <w:t>4</w:t>
        </w:r>
        <w:r w:rsidRPr="005670DA">
          <w:t>/</w:t>
        </w:r>
        <w:r>
          <w:t>54</w:t>
        </w:r>
        <w:r w:rsidRPr="005670DA">
          <w:t>(Rev.1)</w:t>
        </w:r>
      </w:hyperlink>
      <w:r w:rsidR="000F6C99">
        <w:rPr>
          <w:rFonts w:hint="cs"/>
          <w:rtl/>
        </w:rPr>
        <w:t xml:space="preserve"> و</w:t>
      </w:r>
      <w:hyperlink r:id="rId15" w:history="1">
        <w:r>
          <w:t>4</w:t>
        </w:r>
        <w:r w:rsidRPr="005670DA">
          <w:t>/</w:t>
        </w:r>
        <w:r>
          <w:t>55</w:t>
        </w:r>
        <w:r w:rsidRPr="005670DA">
          <w:t>(Rev.1)</w:t>
        </w:r>
      </w:hyperlink>
      <w:r w:rsidR="000F6C99">
        <w:rPr>
          <w:rFonts w:hint="cs"/>
          <w:rtl/>
        </w:rPr>
        <w:t xml:space="preserve"> و</w:t>
      </w:r>
      <w:hyperlink r:id="rId16" w:history="1">
        <w:r>
          <w:t>4</w:t>
        </w:r>
        <w:r w:rsidRPr="005670DA">
          <w:t>/</w:t>
        </w:r>
        <w:r>
          <w:t>56</w:t>
        </w:r>
        <w:r w:rsidRPr="005670DA">
          <w:t>(Rev.1)</w:t>
        </w:r>
      </w:hyperlink>
    </w:p>
    <w:p w:rsidR="004C0A39" w:rsidRPr="003D5F11" w:rsidRDefault="004C0A39" w:rsidP="00D023A4">
      <w:pPr>
        <w:rPr>
          <w:rtl/>
          <w:lang w:bidi="ar-EG"/>
        </w:rPr>
      </w:pPr>
      <w:r w:rsidRPr="003D5F11">
        <w:rPr>
          <w:rFonts w:hint="cs"/>
          <w:rtl/>
          <w:lang w:bidi="ar-EG"/>
        </w:rPr>
        <w:t xml:space="preserve">وتتاح نسخ إلكترونية من هذه الوثائق في الموقع: </w:t>
      </w:r>
      <w:hyperlink r:id="rId17" w:history="1">
        <w:r w:rsidR="00D023A4" w:rsidRPr="00D023A4">
          <w:rPr>
            <w:rStyle w:val="Hyperlink"/>
            <w:rFonts w:ascii="Calibri" w:hAnsi="Calibri" w:cs="Calibri"/>
          </w:rPr>
          <w:t>http://www.itu.int/md/R15-SG04-C/en</w:t>
        </w:r>
      </w:hyperlink>
    </w:p>
    <w:p w:rsidR="004C0A39" w:rsidRPr="003D5F11" w:rsidRDefault="004C0A39" w:rsidP="00D023A4">
      <w:pPr>
        <w:tabs>
          <w:tab w:val="left" w:pos="283"/>
        </w:tabs>
        <w:spacing w:before="5100"/>
        <w:jc w:val="left"/>
        <w:rPr>
          <w:sz w:val="16"/>
          <w:szCs w:val="22"/>
          <w:rtl/>
          <w:lang w:bidi="ar-EG"/>
        </w:rPr>
      </w:pPr>
      <w:r w:rsidRPr="003D5F11">
        <w:rPr>
          <w:b/>
          <w:bCs/>
          <w:sz w:val="16"/>
          <w:szCs w:val="22"/>
          <w:rtl/>
          <w:lang w:bidi="ar-EG"/>
        </w:rPr>
        <w:t>التوزيع</w:t>
      </w:r>
      <w:r w:rsidRPr="003D5F11">
        <w:rPr>
          <w:sz w:val="16"/>
          <w:szCs w:val="22"/>
          <w:rtl/>
          <w:lang w:bidi="ar-EG"/>
        </w:rPr>
        <w:t>:</w:t>
      </w:r>
    </w:p>
    <w:p w:rsidR="004C0A39" w:rsidRPr="003D5F11" w:rsidRDefault="004C0A39" w:rsidP="000F6C99">
      <w:pPr>
        <w:tabs>
          <w:tab w:val="left" w:pos="425"/>
        </w:tabs>
        <w:spacing w:before="60" w:line="180" w:lineRule="auto"/>
        <w:rPr>
          <w:sz w:val="18"/>
          <w:szCs w:val="24"/>
          <w:rtl/>
          <w:lang w:val="fr-CH" w:bidi="ar-EG"/>
        </w:rPr>
      </w:pPr>
      <w:r w:rsidRPr="003D5F11">
        <w:rPr>
          <w:rFonts w:hint="cs"/>
          <w:sz w:val="18"/>
          <w:szCs w:val="24"/>
          <w:rtl/>
          <w:lang w:bidi="ar-EG"/>
        </w:rPr>
        <w:t>-</w:t>
      </w:r>
      <w:r w:rsidRPr="003D5F11">
        <w:rPr>
          <w:rFonts w:hint="cs"/>
          <w:sz w:val="18"/>
          <w:szCs w:val="24"/>
          <w:rtl/>
          <w:lang w:bidi="ar-EG"/>
        </w:rPr>
        <w:tab/>
      </w:r>
      <w:r w:rsidRPr="003D5F11">
        <w:rPr>
          <w:sz w:val="18"/>
          <w:szCs w:val="24"/>
          <w:rtl/>
          <w:lang w:bidi="ar-EG"/>
        </w:rPr>
        <w:t>إدارات الدول الأعضاء</w:t>
      </w:r>
      <w:r w:rsidRPr="003D5F11">
        <w:rPr>
          <w:rFonts w:hint="cs"/>
          <w:sz w:val="18"/>
          <w:szCs w:val="24"/>
          <w:rtl/>
          <w:lang w:bidi="ar-EG"/>
        </w:rPr>
        <w:t xml:space="preserve"> في الاتحاد</w:t>
      </w:r>
      <w:r w:rsidRPr="003D5F11">
        <w:rPr>
          <w:sz w:val="18"/>
          <w:szCs w:val="24"/>
          <w:rtl/>
          <w:lang w:bidi="ar-EG"/>
        </w:rPr>
        <w:t xml:space="preserve"> وأعضاء قطاع الاتصالات الراديوية</w:t>
      </w:r>
      <w:r w:rsidRPr="003D5F11">
        <w:rPr>
          <w:rFonts w:hint="cs"/>
          <w:sz w:val="18"/>
          <w:szCs w:val="24"/>
          <w:rtl/>
          <w:lang w:bidi="ar-EG"/>
        </w:rPr>
        <w:t xml:space="preserve"> المشاركون في أعمال لجنة الدراسات </w:t>
      </w:r>
      <w:r w:rsidR="000F6C99">
        <w:rPr>
          <w:sz w:val="18"/>
          <w:szCs w:val="24"/>
          <w:lang w:val="fr-CH" w:bidi="ar-EG"/>
        </w:rPr>
        <w:t>4</w:t>
      </w:r>
      <w:r w:rsidRPr="003D5F11">
        <w:rPr>
          <w:rFonts w:hint="cs"/>
          <w:sz w:val="18"/>
          <w:szCs w:val="24"/>
          <w:rtl/>
          <w:lang w:bidi="ar-EG"/>
        </w:rPr>
        <w:t xml:space="preserve"> للاتصالات الراديوية</w:t>
      </w:r>
    </w:p>
    <w:p w:rsidR="004C0A39" w:rsidRPr="003D5F11" w:rsidRDefault="004C0A39" w:rsidP="000F6C99">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r>
      <w:r w:rsidRPr="003D5F11">
        <w:rPr>
          <w:rFonts w:hint="cs"/>
          <w:sz w:val="18"/>
          <w:szCs w:val="24"/>
          <w:rtl/>
          <w:lang w:bidi="ar-EG"/>
        </w:rPr>
        <w:t>المنتسبون</w:t>
      </w:r>
      <w:r w:rsidRPr="003D5F11">
        <w:rPr>
          <w:sz w:val="18"/>
          <w:szCs w:val="24"/>
          <w:rtl/>
          <w:lang w:bidi="ar-EG"/>
        </w:rPr>
        <w:t xml:space="preserve"> إلى قطاع الاتصالات الراديوية </w:t>
      </w:r>
      <w:r w:rsidRPr="003D5F11">
        <w:rPr>
          <w:rFonts w:hint="cs"/>
          <w:sz w:val="18"/>
          <w:szCs w:val="24"/>
          <w:rtl/>
          <w:lang w:bidi="ar-EG"/>
        </w:rPr>
        <w:t>المشاركون</w:t>
      </w:r>
      <w:r w:rsidRPr="003D5F11">
        <w:rPr>
          <w:sz w:val="18"/>
          <w:szCs w:val="24"/>
          <w:rtl/>
          <w:lang w:bidi="ar-EG"/>
        </w:rPr>
        <w:t xml:space="preserve"> في </w:t>
      </w:r>
      <w:r w:rsidRPr="003D5F11">
        <w:rPr>
          <w:rFonts w:hint="cs"/>
          <w:sz w:val="18"/>
          <w:szCs w:val="24"/>
          <w:rtl/>
          <w:lang w:bidi="ar-EG"/>
        </w:rPr>
        <w:t>أعمال</w:t>
      </w:r>
      <w:r w:rsidRPr="003D5F11">
        <w:rPr>
          <w:sz w:val="18"/>
          <w:szCs w:val="24"/>
          <w:rtl/>
          <w:lang w:bidi="ar-EG"/>
        </w:rPr>
        <w:t xml:space="preserve"> </w:t>
      </w:r>
      <w:r w:rsidRPr="003D5F11">
        <w:rPr>
          <w:rFonts w:hint="cs"/>
          <w:sz w:val="18"/>
          <w:szCs w:val="24"/>
          <w:rtl/>
          <w:lang w:bidi="ar-EG"/>
        </w:rPr>
        <w:t>لجنة</w:t>
      </w:r>
      <w:r w:rsidRPr="003D5F11">
        <w:rPr>
          <w:sz w:val="18"/>
          <w:szCs w:val="24"/>
          <w:rtl/>
          <w:lang w:bidi="ar-EG"/>
        </w:rPr>
        <w:t xml:space="preserve"> الدراسات </w:t>
      </w:r>
      <w:r w:rsidR="000F6C99">
        <w:rPr>
          <w:sz w:val="18"/>
          <w:szCs w:val="24"/>
          <w:lang w:bidi="ar-EG"/>
        </w:rPr>
        <w:t>4</w:t>
      </w:r>
      <w:r w:rsidRPr="003D5F11">
        <w:rPr>
          <w:sz w:val="18"/>
          <w:szCs w:val="24"/>
          <w:rtl/>
          <w:lang w:bidi="ar-EG"/>
        </w:rPr>
        <w:t xml:space="preserve"> للاتصالات الراديوية</w:t>
      </w:r>
    </w:p>
    <w:p w:rsidR="004C0A39" w:rsidRPr="003D5F11" w:rsidRDefault="004C0A39" w:rsidP="004C0A39">
      <w:pPr>
        <w:tabs>
          <w:tab w:val="left" w:pos="425"/>
        </w:tabs>
        <w:spacing w:before="0" w:line="180" w:lineRule="auto"/>
        <w:rPr>
          <w:sz w:val="18"/>
          <w:szCs w:val="24"/>
          <w:rtl/>
          <w:lang w:bidi="ar-EG"/>
        </w:rPr>
      </w:pPr>
      <w:r w:rsidRPr="003D5F11">
        <w:rPr>
          <w:rFonts w:hint="cs"/>
          <w:sz w:val="18"/>
          <w:szCs w:val="24"/>
          <w:rtl/>
          <w:lang w:bidi="ar-EG"/>
        </w:rPr>
        <w:t>-</w:t>
      </w:r>
      <w:r w:rsidRPr="003D5F11">
        <w:rPr>
          <w:rFonts w:hint="cs"/>
          <w:sz w:val="18"/>
          <w:szCs w:val="24"/>
          <w:rtl/>
          <w:lang w:bidi="ar-EG"/>
        </w:rPr>
        <w:tab/>
      </w:r>
      <w:r w:rsidRPr="003D5F11">
        <w:rPr>
          <w:rFonts w:hint="cs"/>
          <w:sz w:val="18"/>
          <w:szCs w:val="24"/>
          <w:rtl/>
        </w:rPr>
        <w:t>الهيئات الأكاديمية المنضمة إلى الاتحاد</w:t>
      </w:r>
    </w:p>
    <w:p w:rsidR="004C0A39" w:rsidRPr="003D5F11" w:rsidRDefault="004C0A39" w:rsidP="004C0A39">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رؤساء </w:t>
      </w:r>
      <w:r w:rsidRPr="003D5F11">
        <w:rPr>
          <w:rFonts w:hint="cs"/>
          <w:sz w:val="18"/>
          <w:szCs w:val="24"/>
          <w:rtl/>
          <w:lang w:bidi="ar-EG"/>
        </w:rPr>
        <w:t>لجان</w:t>
      </w:r>
      <w:r w:rsidRPr="003D5F11">
        <w:rPr>
          <w:sz w:val="18"/>
          <w:szCs w:val="24"/>
          <w:rtl/>
          <w:lang w:bidi="ar-EG"/>
        </w:rPr>
        <w:t xml:space="preserve"> دراسات الاتصالات الراديوية ونوابهم</w:t>
      </w:r>
    </w:p>
    <w:p w:rsidR="004C0A39" w:rsidRPr="003D5F11" w:rsidRDefault="004C0A39" w:rsidP="004C0A39">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رئيس الاجتماع التحضيري </w:t>
      </w:r>
      <w:r w:rsidRPr="003D5F11">
        <w:rPr>
          <w:rFonts w:hint="cs"/>
          <w:sz w:val="18"/>
          <w:szCs w:val="24"/>
          <w:rtl/>
          <w:lang w:bidi="ar-EG"/>
        </w:rPr>
        <w:t>للمؤتمر</w:t>
      </w:r>
      <w:r w:rsidRPr="003D5F11">
        <w:rPr>
          <w:sz w:val="18"/>
          <w:szCs w:val="24"/>
          <w:rtl/>
          <w:lang w:bidi="ar-EG"/>
        </w:rPr>
        <w:t xml:space="preserve"> ونوابه</w:t>
      </w:r>
    </w:p>
    <w:p w:rsidR="004C0A39" w:rsidRPr="003D5F11" w:rsidRDefault="004C0A39" w:rsidP="004C0A39">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أعضاء </w:t>
      </w:r>
      <w:r w:rsidRPr="003D5F11">
        <w:rPr>
          <w:rFonts w:hint="cs"/>
          <w:sz w:val="18"/>
          <w:szCs w:val="24"/>
          <w:rtl/>
          <w:lang w:bidi="ar-EG"/>
        </w:rPr>
        <w:t>لجنة</w:t>
      </w:r>
      <w:r w:rsidRPr="003D5F11">
        <w:rPr>
          <w:sz w:val="18"/>
          <w:szCs w:val="24"/>
          <w:rtl/>
          <w:lang w:bidi="ar-EG"/>
        </w:rPr>
        <w:t xml:space="preserve"> لوائح الراديو</w:t>
      </w:r>
    </w:p>
    <w:p w:rsidR="004C0A39" w:rsidRPr="003D5F11" w:rsidRDefault="004C0A39" w:rsidP="004C0A39">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الأمين العام </w:t>
      </w:r>
      <w:r w:rsidRPr="003D5F11">
        <w:rPr>
          <w:rFonts w:hint="cs"/>
          <w:sz w:val="18"/>
          <w:szCs w:val="24"/>
          <w:rtl/>
          <w:lang w:bidi="ar-EG"/>
        </w:rPr>
        <w:t>للاتحاد</w:t>
      </w:r>
      <w:r w:rsidRPr="003D5F11">
        <w:rPr>
          <w:sz w:val="18"/>
          <w:szCs w:val="24"/>
          <w:rtl/>
          <w:lang w:bidi="ar-EG"/>
        </w:rPr>
        <w:t xml:space="preserve"> ومدير مكتب تقييس الاتصالات ومدير</w:t>
      </w:r>
      <w:r>
        <w:rPr>
          <w:rFonts w:hint="cs"/>
          <w:sz w:val="18"/>
          <w:szCs w:val="24"/>
          <w:rtl/>
          <w:lang w:bidi="ar-EG"/>
        </w:rPr>
        <w:t>ة</w:t>
      </w:r>
      <w:r w:rsidRPr="003D5F11">
        <w:rPr>
          <w:sz w:val="18"/>
          <w:szCs w:val="24"/>
          <w:rtl/>
          <w:lang w:bidi="ar-EG"/>
        </w:rPr>
        <w:t xml:space="preserve"> مكتب تنمية الاتصالات</w:t>
      </w:r>
    </w:p>
    <w:p w:rsidR="004C0A39" w:rsidRPr="003D5F11" w:rsidRDefault="004C0A39" w:rsidP="004C0A39">
      <w:pPr>
        <w:tabs>
          <w:tab w:val="left" w:pos="425"/>
        </w:tabs>
        <w:spacing w:before="0" w:line="168" w:lineRule="auto"/>
        <w:rPr>
          <w:rtl/>
        </w:rPr>
      </w:pPr>
      <w:r w:rsidRPr="003D5F11">
        <w:rPr>
          <w:rtl/>
        </w:rPr>
        <w:br w:type="page"/>
      </w:r>
    </w:p>
    <w:p w:rsidR="000F6C99" w:rsidRPr="00011B9E" w:rsidRDefault="000F6C99" w:rsidP="000F6C99">
      <w:pPr>
        <w:pStyle w:val="AnnexNo"/>
        <w:rPr>
          <w:rtl/>
        </w:rPr>
      </w:pPr>
      <w:r>
        <w:rPr>
          <w:rFonts w:hint="cs"/>
          <w:rtl/>
        </w:rPr>
        <w:lastRenderedPageBreak/>
        <w:t>الملحق</w:t>
      </w:r>
    </w:p>
    <w:p w:rsidR="000F6C99" w:rsidRPr="00D023A4" w:rsidRDefault="000F6C99" w:rsidP="00CA6C59">
      <w:pPr>
        <w:pStyle w:val="Annextitle"/>
        <w:spacing w:after="480"/>
        <w:rPr>
          <w:rtl/>
        </w:rPr>
      </w:pPr>
      <w:r w:rsidRPr="00CA6C59">
        <w:rPr>
          <w:rFonts w:hint="cs"/>
          <w:rtl/>
          <w:lang w:bidi="ar-EG"/>
        </w:rPr>
        <w:t>عناوين مشاريع التوصيات وملخصاتها</w:t>
      </w:r>
      <w:r w:rsidR="00D023A4" w:rsidRPr="00CA6C59">
        <w:rPr>
          <w:rFonts w:hint="cs"/>
          <w:rtl/>
          <w:lang w:bidi="ar-EG"/>
        </w:rPr>
        <w:t xml:space="preserve"> التي اعتمدتها</w:t>
      </w:r>
      <w:r w:rsidR="00CA6C59">
        <w:rPr>
          <w:rtl/>
          <w:lang w:bidi="ar-EG"/>
        </w:rPr>
        <w:br/>
      </w:r>
      <w:r w:rsidR="00D023A4" w:rsidRPr="00CA6C59">
        <w:rPr>
          <w:rFonts w:hint="cs"/>
          <w:rtl/>
          <w:lang w:bidi="ar-EG"/>
        </w:rPr>
        <w:t xml:space="preserve">لجنة الدراسات </w:t>
      </w:r>
      <w:r w:rsidR="00D023A4" w:rsidRPr="00CA6C59">
        <w:rPr>
          <w:lang w:val="fr-CH" w:bidi="ar-EG"/>
        </w:rPr>
        <w:t>4</w:t>
      </w:r>
      <w:r w:rsidR="00887CF1" w:rsidRPr="00CA6C59">
        <w:rPr>
          <w:rFonts w:hint="cs"/>
          <w:rtl/>
          <w:lang w:val="fr-CH" w:bidi="ar-EG"/>
        </w:rPr>
        <w:t xml:space="preserve"> </w:t>
      </w:r>
      <w:r w:rsidR="00CA6C59">
        <w:rPr>
          <w:rFonts w:hint="cs"/>
          <w:rtl/>
          <w:lang w:bidi="ar-EG"/>
        </w:rPr>
        <w:t>للاتصالات</w:t>
      </w:r>
      <w:r w:rsidR="00D023A4" w:rsidRPr="00CA6C59">
        <w:rPr>
          <w:rFonts w:hint="cs"/>
          <w:rtl/>
          <w:lang w:bidi="ar-EG"/>
        </w:rPr>
        <w:t xml:space="preserve"> الراديوية</w:t>
      </w:r>
    </w:p>
    <w:p w:rsidR="000F6C99" w:rsidRPr="00926F76" w:rsidRDefault="000F6C99" w:rsidP="00656306">
      <w:pPr>
        <w:tabs>
          <w:tab w:val="right" w:pos="9639"/>
        </w:tabs>
        <w:rPr>
          <w:b/>
          <w:bCs/>
        </w:rPr>
      </w:pPr>
      <w:r w:rsidRPr="000C74D4">
        <w:rPr>
          <w:rFonts w:hint="cs"/>
          <w:u w:val="single"/>
          <w:rtl/>
        </w:rPr>
        <w:t xml:space="preserve">مشروع مراجعة التوصية </w:t>
      </w:r>
      <w:r w:rsidRPr="000C74D4">
        <w:rPr>
          <w:u w:val="single"/>
        </w:rPr>
        <w:t>ITU</w:t>
      </w:r>
      <w:r w:rsidRPr="000C74D4">
        <w:rPr>
          <w:u w:val="single"/>
        </w:rPr>
        <w:noBreakHyphen/>
        <w:t>R M.1901</w:t>
      </w:r>
      <w:r w:rsidR="00656306">
        <w:rPr>
          <w:u w:val="single"/>
        </w:rPr>
        <w:t>-</w:t>
      </w:r>
      <w:r w:rsidRPr="000C74D4">
        <w:rPr>
          <w:u w:val="single"/>
        </w:rPr>
        <w:t>1</w:t>
      </w:r>
      <w:r w:rsidRPr="00926F76">
        <w:rPr>
          <w:rFonts w:hint="cs"/>
          <w:rtl/>
        </w:rPr>
        <w:tab/>
        <w:t xml:space="preserve">الوثيقة </w:t>
      </w:r>
      <w:r w:rsidRPr="00220F98">
        <w:t>4/52(Rev.1)</w:t>
      </w:r>
    </w:p>
    <w:p w:rsidR="000F6C99" w:rsidRPr="00D7031C" w:rsidRDefault="000F6C99" w:rsidP="00CA6C59">
      <w:pPr>
        <w:pStyle w:val="Rectitle"/>
      </w:pPr>
      <w:r w:rsidRPr="00D318A1">
        <w:rPr>
          <w:rtl/>
        </w:rPr>
        <w:t>إرشادات بشأن توصيات قطاع الاتصالات الراديوية المتصلة بأنظمة وشبكات</w:t>
      </w:r>
      <w:r>
        <w:rPr>
          <w:rtl/>
        </w:rPr>
        <w:br/>
      </w:r>
      <w:r w:rsidRPr="00D318A1">
        <w:rPr>
          <w:rtl/>
        </w:rPr>
        <w:t xml:space="preserve">في خدمة الملاحة الراديوية الساتلية العاملة في نطاقات </w:t>
      </w:r>
      <w:r>
        <w:rPr>
          <w:rFonts w:hint="cs"/>
          <w:rtl/>
        </w:rPr>
        <w:t>ال</w:t>
      </w:r>
      <w:r w:rsidRPr="00D318A1">
        <w:rPr>
          <w:rtl/>
        </w:rPr>
        <w:t xml:space="preserve">تردد </w:t>
      </w:r>
      <w:r w:rsidRPr="00D318A1">
        <w:t>MHz 1 215</w:t>
      </w:r>
      <w:r w:rsidR="00656306">
        <w:t>-</w:t>
      </w:r>
      <w:r w:rsidRPr="00D318A1">
        <w:t>1 164</w:t>
      </w:r>
      <w:r w:rsidRPr="00D318A1">
        <w:rPr>
          <w:rtl/>
        </w:rPr>
        <w:t xml:space="preserve"> و</w:t>
      </w:r>
      <w:r w:rsidRPr="00D318A1">
        <w:t>MHz 1 300</w:t>
      </w:r>
      <w:r w:rsidR="00656306">
        <w:t>-</w:t>
      </w:r>
      <w:r w:rsidRPr="00D318A1">
        <w:t>1 215</w:t>
      </w:r>
      <w:r w:rsidRPr="00D318A1">
        <w:rPr>
          <w:rtl/>
        </w:rPr>
        <w:t xml:space="preserve"> و</w:t>
      </w:r>
      <w:r w:rsidRPr="00D318A1">
        <w:t>MHz 1 610</w:t>
      </w:r>
      <w:r w:rsidR="00656306">
        <w:t>-</w:t>
      </w:r>
      <w:r w:rsidRPr="00D318A1">
        <w:t>1 559</w:t>
      </w:r>
      <w:r w:rsidRPr="00D318A1">
        <w:rPr>
          <w:rtl/>
        </w:rPr>
        <w:t xml:space="preserve"> و</w:t>
      </w:r>
      <w:r w:rsidRPr="00D318A1">
        <w:t>MHz 5 010</w:t>
      </w:r>
      <w:r w:rsidR="00656306">
        <w:t>-</w:t>
      </w:r>
      <w:r w:rsidRPr="00D318A1">
        <w:t>5 000</w:t>
      </w:r>
      <w:r w:rsidRPr="00D318A1">
        <w:rPr>
          <w:rtl/>
        </w:rPr>
        <w:t xml:space="preserve"> و</w:t>
      </w:r>
      <w:r w:rsidRPr="00D318A1">
        <w:t>MHz 5 030</w:t>
      </w:r>
      <w:r w:rsidR="00656306">
        <w:t>-</w:t>
      </w:r>
      <w:r w:rsidRPr="00D318A1">
        <w:t>5 010</w:t>
      </w:r>
    </w:p>
    <w:p w:rsidR="000F6C99" w:rsidRPr="00283CC2" w:rsidRDefault="000F6C99" w:rsidP="000F6C99">
      <w:pPr>
        <w:rPr>
          <w:rtl/>
          <w:lang w:bidi="ar-EG"/>
        </w:rPr>
      </w:pPr>
      <w:r>
        <w:rPr>
          <w:rFonts w:hint="cs"/>
          <w:rtl/>
          <w:lang w:bidi="ar-EG"/>
        </w:rPr>
        <w:t xml:space="preserve">تشمل هذه المراجعة: </w:t>
      </w:r>
      <w:r>
        <w:rPr>
          <w:lang w:bidi="ar-EG"/>
        </w:rPr>
        <w:t>1</w:t>
      </w:r>
      <w:r>
        <w:rPr>
          <w:rFonts w:hint="cs"/>
          <w:rtl/>
          <w:lang w:bidi="ar-EG"/>
        </w:rPr>
        <w:t xml:space="preserve">) توضيحاً طفيفاً في الفقرة </w:t>
      </w:r>
      <w:r w:rsidRPr="00FB2CF7">
        <w:rPr>
          <w:rFonts w:hint="cs"/>
          <w:i/>
          <w:iCs/>
          <w:rtl/>
          <w:lang w:bidi="ar-EG"/>
        </w:rPr>
        <w:t>و)</w:t>
      </w:r>
      <w:r>
        <w:rPr>
          <w:rFonts w:hint="cs"/>
          <w:rtl/>
          <w:lang w:bidi="ar-EG"/>
        </w:rPr>
        <w:t xml:space="preserve"> من </w:t>
      </w:r>
      <w:r w:rsidRPr="00E02CEF">
        <w:rPr>
          <w:rFonts w:hint="cs"/>
          <w:i/>
          <w:iCs/>
          <w:rtl/>
          <w:lang w:bidi="ar-EG"/>
        </w:rPr>
        <w:t>"وإذ تدرك"</w:t>
      </w:r>
      <w:r>
        <w:rPr>
          <w:rFonts w:hint="cs"/>
          <w:rtl/>
          <w:lang w:bidi="ar-EG"/>
        </w:rPr>
        <w:t xml:space="preserve">؛ </w:t>
      </w:r>
      <w:r>
        <w:rPr>
          <w:lang w:bidi="ar-EG"/>
        </w:rPr>
        <w:t>2</w:t>
      </w:r>
      <w:r>
        <w:rPr>
          <w:rFonts w:hint="cs"/>
          <w:rtl/>
          <w:lang w:bidi="ar-EG"/>
        </w:rPr>
        <w:t xml:space="preserve">) تحديثات للجدول </w:t>
      </w:r>
      <w:r>
        <w:rPr>
          <w:lang w:bidi="ar-EG"/>
        </w:rPr>
        <w:t>3</w:t>
      </w:r>
      <w:r>
        <w:rPr>
          <w:rFonts w:hint="cs"/>
          <w:rtl/>
          <w:lang w:bidi="ar-EG"/>
        </w:rPr>
        <w:t xml:space="preserve"> والملاحظات الواردة فيه،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حذف ملاحظة واحدة؛ </w:t>
      </w:r>
      <w:r>
        <w:rPr>
          <w:lang w:bidi="ar-EG"/>
        </w:rPr>
        <w:t>3</w:t>
      </w:r>
      <w:r>
        <w:rPr>
          <w:rFonts w:hint="cs"/>
          <w:rtl/>
          <w:lang w:bidi="ar-EG"/>
        </w:rPr>
        <w:t>) إضافة ملاحظتين جديدتين بشأن تقييم التداخل الناجم عن مصادر نبضية.</w:t>
      </w:r>
    </w:p>
    <w:p w:rsidR="000F6C99" w:rsidRPr="000C74D4" w:rsidRDefault="000F6C99" w:rsidP="00656306">
      <w:pPr>
        <w:tabs>
          <w:tab w:val="right" w:pos="9639"/>
        </w:tabs>
        <w:spacing w:before="360"/>
      </w:pPr>
      <w:r w:rsidRPr="000C74D4">
        <w:rPr>
          <w:rFonts w:hint="cs"/>
          <w:u w:val="single"/>
          <w:rtl/>
        </w:rPr>
        <w:t xml:space="preserve">مشروع مراجعة التوصية </w:t>
      </w:r>
      <w:r w:rsidRPr="000C74D4">
        <w:rPr>
          <w:u w:val="single"/>
        </w:rPr>
        <w:t>ITU</w:t>
      </w:r>
      <w:r w:rsidRPr="000C74D4">
        <w:rPr>
          <w:u w:val="single"/>
        </w:rPr>
        <w:noBreakHyphen/>
        <w:t>R M.1902</w:t>
      </w:r>
      <w:r w:rsidR="00656306">
        <w:rPr>
          <w:u w:val="single"/>
        </w:rPr>
        <w:t>-</w:t>
      </w:r>
      <w:r w:rsidRPr="000C74D4">
        <w:rPr>
          <w:u w:val="single"/>
        </w:rPr>
        <w:t>0</w:t>
      </w:r>
      <w:r w:rsidRPr="00926F76">
        <w:rPr>
          <w:rFonts w:hint="cs"/>
          <w:rtl/>
        </w:rPr>
        <w:tab/>
        <w:t xml:space="preserve">الوثيقة </w:t>
      </w:r>
      <w:r w:rsidRPr="00926F76">
        <w:t>4/</w:t>
      </w:r>
      <w:r>
        <w:t>53</w:t>
      </w:r>
      <w:r w:rsidRPr="00220F98">
        <w:t>(Rev.1)</w:t>
      </w:r>
    </w:p>
    <w:p w:rsidR="000F6C99" w:rsidRDefault="000F6C99" w:rsidP="00CA6C59">
      <w:pPr>
        <w:pStyle w:val="Rectitle"/>
        <w:rPr>
          <w:rtl/>
        </w:rPr>
      </w:pPr>
      <w:r w:rsidRPr="00D318A1">
        <w:rPr>
          <w:rtl/>
        </w:rPr>
        <w:t>الخصائص</w:t>
      </w:r>
      <w:r w:rsidRPr="00D318A1">
        <w:rPr>
          <w:rFonts w:hint="cs"/>
          <w:rtl/>
        </w:rPr>
        <w:t xml:space="preserve"> </w:t>
      </w:r>
      <w:r w:rsidRPr="00D318A1">
        <w:rPr>
          <w:rtl/>
        </w:rPr>
        <w:t>ومعايير الحماية لمحطات الاستقبال الأرضية في خدمة</w:t>
      </w:r>
      <w:r w:rsidRPr="00D318A1">
        <w:rPr>
          <w:rFonts w:hint="cs"/>
          <w:rtl/>
        </w:rPr>
        <w:t xml:space="preserve"> </w:t>
      </w:r>
      <w:r w:rsidRPr="00D318A1">
        <w:rPr>
          <w:rtl/>
        </w:rPr>
        <w:t>الملاحة الراديوية</w:t>
      </w:r>
      <w:r w:rsidRPr="00D318A1">
        <w:rPr>
          <w:rFonts w:hint="cs"/>
          <w:rtl/>
        </w:rPr>
        <w:t xml:space="preserve"> </w:t>
      </w:r>
      <w:r w:rsidRPr="00D318A1">
        <w:rPr>
          <w:rtl/>
        </w:rPr>
        <w:t>الساتلية</w:t>
      </w:r>
      <w:r w:rsidRPr="00D318A1">
        <w:rPr>
          <w:rFonts w:hint="cs"/>
          <w:rtl/>
        </w:rPr>
        <w:t xml:space="preserve"> </w:t>
      </w:r>
      <w:r w:rsidRPr="00D318A1">
        <w:rPr>
          <w:rtl/>
        </w:rPr>
        <w:t>(فضاء-أرض) العاملة</w:t>
      </w:r>
      <w:r w:rsidRPr="00D318A1">
        <w:rPr>
          <w:rFonts w:hint="cs"/>
          <w:rtl/>
        </w:rPr>
        <w:t xml:space="preserve"> </w:t>
      </w:r>
      <w:r w:rsidRPr="00D318A1">
        <w:rPr>
          <w:rtl/>
        </w:rPr>
        <w:t xml:space="preserve">في النطاق </w:t>
      </w:r>
      <w:r w:rsidRPr="00D318A1">
        <w:t>MHz 1 300</w:t>
      </w:r>
      <w:r w:rsidR="00656306">
        <w:t>-</w:t>
      </w:r>
      <w:r w:rsidRPr="00D318A1">
        <w:t>1 215</w:t>
      </w:r>
    </w:p>
    <w:p w:rsidR="000F6C99" w:rsidRDefault="000F6C99" w:rsidP="000F6C99">
      <w:pPr>
        <w:rPr>
          <w:lang w:bidi="ar-EG"/>
        </w:rPr>
      </w:pPr>
      <w:r>
        <w:rPr>
          <w:rFonts w:hint="cs"/>
          <w:rtl/>
        </w:rPr>
        <w:t xml:space="preserve">تشمل هذه المراجعة تحديثات لمعلومات النظام العالمي للملاحة الساتلية </w:t>
      </w:r>
      <w:r>
        <w:t>(GLONASS)</w:t>
      </w:r>
      <w:r>
        <w:rPr>
          <w:rFonts w:hint="cs"/>
          <w:rtl/>
        </w:rPr>
        <w:t xml:space="preserve"> لإتاحة أحدث تفاصيل هذا النظام بما</w:t>
      </w:r>
      <w:r>
        <w:rPr>
          <w:rFonts w:hint="eastAsia"/>
          <w:rtl/>
        </w:rPr>
        <w:t> </w:t>
      </w:r>
      <w:r>
        <w:rPr>
          <w:rFonts w:hint="cs"/>
          <w:rtl/>
        </w:rPr>
        <w:t>في</w:t>
      </w:r>
      <w:r>
        <w:rPr>
          <w:rFonts w:hint="eastAsia"/>
          <w:rtl/>
        </w:rPr>
        <w:t> </w:t>
      </w:r>
      <w:r>
        <w:rPr>
          <w:rFonts w:hint="cs"/>
          <w:rtl/>
        </w:rPr>
        <w:t xml:space="preserve">ذلك الإشارات الجديدة لنظام النفاذ المتعدد بتقسيم </w:t>
      </w:r>
      <w:r>
        <w:rPr>
          <w:rFonts w:hint="cs"/>
          <w:rtl/>
          <w:lang w:bidi="ar-EG"/>
        </w:rPr>
        <w:t>ال</w:t>
      </w:r>
      <w:r>
        <w:rPr>
          <w:rFonts w:hint="cs"/>
          <w:rtl/>
        </w:rPr>
        <w:t xml:space="preserve">شفرة </w:t>
      </w:r>
      <w:r>
        <w:t>(CDMA)</w:t>
      </w:r>
      <w:r>
        <w:rPr>
          <w:rFonts w:hint="cs"/>
          <w:rtl/>
        </w:rPr>
        <w:t xml:space="preserve">. وتقترح أيضاً تحديثات للمعلومات المتعلقة بالخصائص ومعايير الحماية لمحطات الاستقبال الأرضية في خدمة الملاحة الراديوية الساتلية </w:t>
      </w:r>
      <w:r>
        <w:t>(RNSS)</w:t>
      </w:r>
      <w:r>
        <w:rPr>
          <w:rFonts w:hint="cs"/>
          <w:rtl/>
        </w:rPr>
        <w:t xml:space="preserve"> العاملة في النطاق </w:t>
      </w:r>
      <w:r>
        <w:rPr>
          <w:lang w:bidi="ar-EG"/>
        </w:rPr>
        <w:t>MHz</w:t>
      </w:r>
      <w:r>
        <w:t> 1 300-1 215</w:t>
      </w:r>
      <w:r>
        <w:rPr>
          <w:rFonts w:hint="cs"/>
          <w:rtl/>
          <w:lang w:bidi="ar-EG"/>
        </w:rPr>
        <w:t xml:space="preserve">، مع مراعاة المعلومات المحدَّثة بشأن النظام </w:t>
      </w:r>
      <w:r>
        <w:t>GLONASS</w:t>
      </w:r>
      <w:r>
        <w:rPr>
          <w:rFonts w:hint="cs"/>
          <w:rtl/>
        </w:rPr>
        <w:t xml:space="preserve">. وأُدخلت بعض التحديثات أيضاً على الحاشية </w:t>
      </w:r>
      <w:r>
        <w:t>1</w:t>
      </w:r>
      <w:r>
        <w:rPr>
          <w:rFonts w:hint="cs"/>
          <w:rtl/>
          <w:lang w:bidi="ar-EG"/>
        </w:rPr>
        <w:t xml:space="preserve"> التي تعرِّف النظامين </w:t>
      </w:r>
      <w:r>
        <w:t>CDMA</w:t>
      </w:r>
      <w:r>
        <w:rPr>
          <w:rFonts w:hint="cs"/>
          <w:rtl/>
        </w:rPr>
        <w:t xml:space="preserve"> و</w:t>
      </w:r>
      <w:r>
        <w:t>FDMA</w:t>
      </w:r>
      <w:r>
        <w:rPr>
          <w:rFonts w:hint="cs"/>
          <w:rtl/>
        </w:rPr>
        <w:t xml:space="preserve"> مع توضيح القصد من مصطلح "التداخل النبضي" في جميع أجزاء الملحق</w:t>
      </w:r>
      <w:r>
        <w:rPr>
          <w:rFonts w:hint="eastAsia"/>
          <w:rtl/>
        </w:rPr>
        <w:t> </w:t>
      </w:r>
      <w:r>
        <w:t>1</w:t>
      </w:r>
      <w:r>
        <w:rPr>
          <w:rFonts w:hint="cs"/>
          <w:rtl/>
          <w:lang w:bidi="ar-EG"/>
        </w:rPr>
        <w:t>. ويرد في الملحق</w:t>
      </w:r>
      <w:r>
        <w:rPr>
          <w:rFonts w:hint="eastAsia"/>
          <w:rtl/>
          <w:lang w:bidi="ar-EG"/>
        </w:rPr>
        <w:t> </w:t>
      </w:r>
      <w:r>
        <w:rPr>
          <w:lang w:bidi="ar-EG"/>
        </w:rPr>
        <w:t>1</w:t>
      </w:r>
      <w:r>
        <w:rPr>
          <w:rFonts w:hint="cs"/>
          <w:rtl/>
          <w:lang w:bidi="ar-EG"/>
        </w:rPr>
        <w:t xml:space="preserve"> أيضاً عدد من التوضيحات المقدمة بشأن الجدول </w:t>
      </w:r>
      <w:r>
        <w:rPr>
          <w:lang w:bidi="ar-EG"/>
        </w:rPr>
        <w:t>1-1</w:t>
      </w:r>
      <w:r>
        <w:rPr>
          <w:rFonts w:hint="cs"/>
          <w:rtl/>
          <w:lang w:bidi="ar-EG"/>
        </w:rPr>
        <w:t xml:space="preserve"> والملاحظات المتعلقة به.</w:t>
      </w:r>
    </w:p>
    <w:p w:rsidR="00656306" w:rsidRDefault="00656306" w:rsidP="00656306">
      <w:pPr>
        <w:rPr>
          <w:rtl/>
          <w:lang w:bidi="ar-EG"/>
        </w:rPr>
      </w:pPr>
      <w:r>
        <w:rPr>
          <w:rtl/>
          <w:lang w:bidi="ar-EG"/>
        </w:rPr>
        <w:br w:type="page"/>
      </w:r>
    </w:p>
    <w:p w:rsidR="000F6C99" w:rsidRPr="000C74D4" w:rsidRDefault="000F6C99" w:rsidP="000F6C99">
      <w:pPr>
        <w:tabs>
          <w:tab w:val="right" w:pos="9639"/>
        </w:tabs>
        <w:spacing w:before="240"/>
      </w:pPr>
      <w:r w:rsidRPr="000C74D4">
        <w:rPr>
          <w:rFonts w:hint="cs"/>
          <w:u w:val="single"/>
          <w:rtl/>
        </w:rPr>
        <w:lastRenderedPageBreak/>
        <w:t xml:space="preserve">مشروع مراجعة التوصية </w:t>
      </w:r>
      <w:r w:rsidRPr="000C74D4">
        <w:rPr>
          <w:u w:val="single"/>
        </w:rPr>
        <w:t>ITU</w:t>
      </w:r>
      <w:r w:rsidRPr="000C74D4">
        <w:rPr>
          <w:u w:val="single"/>
        </w:rPr>
        <w:noBreakHyphen/>
        <w:t>R M.1903</w:t>
      </w:r>
      <w:r>
        <w:rPr>
          <w:u w:val="single"/>
        </w:rPr>
        <w:t>-0</w:t>
      </w:r>
      <w:r w:rsidRPr="00926F76">
        <w:rPr>
          <w:rFonts w:hint="cs"/>
          <w:rtl/>
        </w:rPr>
        <w:tab/>
        <w:t xml:space="preserve">الوثيقة </w:t>
      </w:r>
      <w:r w:rsidRPr="00926F76">
        <w:t>4/</w:t>
      </w:r>
      <w:r>
        <w:t>54</w:t>
      </w:r>
      <w:r w:rsidRPr="00220F98">
        <w:t>(Rev.1)</w:t>
      </w:r>
    </w:p>
    <w:p w:rsidR="000F6C99" w:rsidRDefault="000F6C99" w:rsidP="00CA6C59">
      <w:pPr>
        <w:pStyle w:val="Rectitle"/>
      </w:pPr>
      <w:r w:rsidRPr="00D318A1">
        <w:rPr>
          <w:rtl/>
        </w:rPr>
        <w:t>الخصائص ومعايير الحماية لمحطات الاستقبال الأرضية في خدمة الملاحة الراديوية الساتلية</w:t>
      </w:r>
      <w:r w:rsidRPr="00D318A1">
        <w:rPr>
          <w:rFonts w:hint="cs"/>
          <w:rtl/>
        </w:rPr>
        <w:t xml:space="preserve"> </w:t>
      </w:r>
      <w:r w:rsidRPr="00D318A1">
        <w:rPr>
          <w:rtl/>
        </w:rPr>
        <w:t>(فضاء-أرض) والمستقب</w:t>
      </w:r>
      <w:r w:rsidRPr="00D318A1">
        <w:rPr>
          <w:rFonts w:hint="cs"/>
          <w:rtl/>
        </w:rPr>
        <w:t>ِ</w:t>
      </w:r>
      <w:r w:rsidRPr="00D318A1">
        <w:rPr>
          <w:rtl/>
        </w:rPr>
        <w:t>لات في خدمة</w:t>
      </w:r>
      <w:r w:rsidRPr="00D318A1">
        <w:rPr>
          <w:rFonts w:hint="cs"/>
          <w:rtl/>
        </w:rPr>
        <w:t xml:space="preserve"> </w:t>
      </w:r>
      <w:r w:rsidRPr="00D318A1">
        <w:rPr>
          <w:rtl/>
        </w:rPr>
        <w:t>الملاحة الراديوية للطيران العاملة</w:t>
      </w:r>
      <w:r>
        <w:rPr>
          <w:rFonts w:hint="eastAsia"/>
          <w:rtl/>
        </w:rPr>
        <w:t> </w:t>
      </w:r>
      <w:r w:rsidRPr="00D318A1">
        <w:rPr>
          <w:rtl/>
        </w:rPr>
        <w:t>في</w:t>
      </w:r>
      <w:r>
        <w:rPr>
          <w:rFonts w:hint="cs"/>
          <w:rtl/>
        </w:rPr>
        <w:t> </w:t>
      </w:r>
      <w:r w:rsidRPr="00D318A1">
        <w:rPr>
          <w:rtl/>
        </w:rPr>
        <w:t>النطاق </w:t>
      </w:r>
      <w:r w:rsidRPr="00D318A1">
        <w:t>MHz 1 610</w:t>
      </w:r>
      <w:r w:rsidR="00656306">
        <w:t>-</w:t>
      </w:r>
      <w:r w:rsidRPr="00D318A1">
        <w:t>1 559</w:t>
      </w:r>
    </w:p>
    <w:p w:rsidR="000F6C99" w:rsidRPr="0046406A" w:rsidRDefault="000F6C99" w:rsidP="000F6C99">
      <w:pPr>
        <w:rPr>
          <w:highlight w:val="cyan"/>
          <w:rtl/>
          <w:lang w:bidi="ar-EG"/>
        </w:rPr>
      </w:pPr>
      <w:r>
        <w:rPr>
          <w:rFonts w:hint="cs"/>
          <w:rtl/>
        </w:rPr>
        <w:t xml:space="preserve">تشمل هذه المراجعة تحديثات لمعلومات النظام العالمي للملاحة الساتلية </w:t>
      </w:r>
      <w:r>
        <w:t>(GLONASS)</w:t>
      </w:r>
      <w:r>
        <w:rPr>
          <w:rFonts w:hint="cs"/>
          <w:rtl/>
        </w:rPr>
        <w:t xml:space="preserve"> لإتاحة أحدث تفاصيل هذا النظام بما في</w:t>
      </w:r>
      <w:r>
        <w:rPr>
          <w:rFonts w:hint="eastAsia"/>
          <w:rtl/>
        </w:rPr>
        <w:t> </w:t>
      </w:r>
      <w:r>
        <w:rPr>
          <w:rFonts w:hint="cs"/>
          <w:rtl/>
        </w:rPr>
        <w:t xml:space="preserve">ذلك الإشارات الجديدة لنظام النفاذ المتعدد بتقسيم </w:t>
      </w:r>
      <w:r>
        <w:rPr>
          <w:rFonts w:hint="cs"/>
          <w:rtl/>
          <w:lang w:bidi="ar-EG"/>
        </w:rPr>
        <w:t>ال</w:t>
      </w:r>
      <w:r>
        <w:rPr>
          <w:rFonts w:hint="cs"/>
          <w:rtl/>
        </w:rPr>
        <w:t xml:space="preserve">شفرة </w:t>
      </w:r>
      <w:r>
        <w:t>(CDMA)</w:t>
      </w:r>
      <w:r>
        <w:rPr>
          <w:rFonts w:hint="cs"/>
          <w:rtl/>
        </w:rPr>
        <w:t xml:space="preserve">. وتقترح أيضاً تحديثات للمعلومات المتعلقة بالخصائص ومعايير الحماية لمحطات الاستقبال الأرضية في خدمة الملاحة الراديوية الساتلية </w:t>
      </w:r>
      <w:r>
        <w:t>(RNSS)</w:t>
      </w:r>
      <w:r>
        <w:rPr>
          <w:rFonts w:hint="cs"/>
          <w:rtl/>
        </w:rPr>
        <w:t xml:space="preserve"> العاملة في النطاق </w:t>
      </w:r>
      <w:r>
        <w:t>MHz 1 610-1 559</w:t>
      </w:r>
      <w:r>
        <w:rPr>
          <w:rFonts w:hint="cs"/>
          <w:rtl/>
          <w:lang w:bidi="ar-EG"/>
        </w:rPr>
        <w:t xml:space="preserve">، مع مراعاة المعلومات المحدَّثة بشأن النظام </w:t>
      </w:r>
      <w:r>
        <w:t>GLONASS</w:t>
      </w:r>
      <w:r>
        <w:rPr>
          <w:rFonts w:hint="cs"/>
          <w:rtl/>
        </w:rPr>
        <w:t>.</w:t>
      </w:r>
    </w:p>
    <w:p w:rsidR="000F6C99" w:rsidRDefault="000F6C99" w:rsidP="00DA69C4">
      <w:pPr>
        <w:rPr>
          <w:lang w:bidi="ar-EG"/>
        </w:rPr>
      </w:pPr>
      <w:r>
        <w:rPr>
          <w:rFonts w:hint="cs"/>
          <w:rtl/>
          <w:lang w:bidi="ar-EG"/>
        </w:rPr>
        <w:t>وتشمل هذه المراجعة أيضاً الاستعاضة عن الحاشية</w:t>
      </w:r>
      <w:r>
        <w:rPr>
          <w:rFonts w:hint="eastAsia"/>
          <w:rtl/>
          <w:lang w:bidi="ar-EG"/>
        </w:rPr>
        <w:t> </w:t>
      </w:r>
      <w:r>
        <w:rPr>
          <w:lang w:bidi="ar-EG"/>
        </w:rPr>
        <w:t>1</w:t>
      </w:r>
      <w:r>
        <w:rPr>
          <w:rFonts w:hint="cs"/>
          <w:rtl/>
          <w:lang w:bidi="ar-EG"/>
        </w:rPr>
        <w:t xml:space="preserve"> للعنوان بشأن </w:t>
      </w:r>
      <w:r w:rsidR="00DA69C4">
        <w:rPr>
          <w:rFonts w:hint="cs"/>
          <w:rtl/>
          <w:lang w:bidi="ar-EG"/>
        </w:rPr>
        <w:t>مرسِلات</w:t>
      </w:r>
      <w:r>
        <w:rPr>
          <w:rFonts w:hint="cs"/>
          <w:rtl/>
          <w:lang w:bidi="ar-EG"/>
        </w:rPr>
        <w:t xml:space="preserve"> الأرض في خدمة الملاحة الراديوية للطيران بالإشارة إلى الملاحظة</w:t>
      </w:r>
      <w:r>
        <w:rPr>
          <w:rFonts w:hint="eastAsia"/>
          <w:rtl/>
          <w:lang w:bidi="ar-EG"/>
        </w:rPr>
        <w:t> </w:t>
      </w:r>
      <w:r>
        <w:rPr>
          <w:lang w:bidi="ar-EG"/>
        </w:rPr>
        <w:t>3</w:t>
      </w:r>
      <w:r>
        <w:rPr>
          <w:rFonts w:hint="cs"/>
          <w:rtl/>
          <w:lang w:bidi="ar-EG"/>
        </w:rPr>
        <w:t xml:space="preserve"> الجديدة من التوصية. وإضافةً إلى ذلك، ألغى المؤتمر العالمي للاتصالات الراديوية لعام </w:t>
      </w:r>
      <w:r>
        <w:rPr>
          <w:lang w:bidi="ar-EG"/>
        </w:rPr>
        <w:t>2015</w:t>
      </w:r>
      <w:r>
        <w:rPr>
          <w:rFonts w:hint="cs"/>
          <w:rtl/>
          <w:lang w:bidi="ar-EG"/>
        </w:rPr>
        <w:t xml:space="preserve"> الرقمين </w:t>
      </w:r>
      <w:r w:rsidRPr="00F01178">
        <w:rPr>
          <w:b/>
          <w:bCs/>
          <w:lang w:bidi="ar-EG"/>
        </w:rPr>
        <w:t>362B.5</w:t>
      </w:r>
      <w:r>
        <w:rPr>
          <w:rFonts w:hint="cs"/>
          <w:rtl/>
          <w:lang w:bidi="ar-EG"/>
        </w:rPr>
        <w:t xml:space="preserve"> و</w:t>
      </w:r>
      <w:r w:rsidRPr="00F01178">
        <w:rPr>
          <w:b/>
          <w:bCs/>
          <w:lang w:bidi="ar-EG"/>
        </w:rPr>
        <w:t>362C.5</w:t>
      </w:r>
      <w:r>
        <w:rPr>
          <w:rFonts w:hint="cs"/>
          <w:rtl/>
          <w:lang w:bidi="ar-EG"/>
        </w:rPr>
        <w:t xml:space="preserve"> من لوائح الراديو، وبالتالي فإن الإحالتين المرجعيتين إلى هذين الحكمين السابقين في الفقرتين </w:t>
      </w:r>
      <w:r w:rsidRPr="008232BC">
        <w:rPr>
          <w:rFonts w:hint="cs"/>
          <w:i/>
          <w:iCs/>
          <w:rtl/>
          <w:lang w:bidi="ar-EG"/>
        </w:rPr>
        <w:t>ه</w:t>
      </w:r>
      <w:r w:rsidRPr="008232BC">
        <w:rPr>
          <w:rFonts w:hint="eastAsia"/>
          <w:i/>
          <w:iCs/>
          <w:rtl/>
          <w:lang w:bidi="ar-EG"/>
        </w:rPr>
        <w:t> </w:t>
      </w:r>
      <w:r w:rsidRPr="008232BC">
        <w:rPr>
          <w:rFonts w:hint="cs"/>
          <w:i/>
          <w:iCs/>
          <w:rtl/>
          <w:lang w:bidi="ar-EG"/>
        </w:rPr>
        <w:t>)</w:t>
      </w:r>
      <w:r>
        <w:rPr>
          <w:rFonts w:hint="cs"/>
          <w:rtl/>
          <w:lang w:bidi="ar-EG"/>
        </w:rPr>
        <w:t xml:space="preserve"> و</w:t>
      </w:r>
      <w:r w:rsidRPr="008232BC">
        <w:rPr>
          <w:rFonts w:hint="cs"/>
          <w:i/>
          <w:iCs/>
          <w:rtl/>
          <w:lang w:bidi="ar-EG"/>
        </w:rPr>
        <w:t>و</w:t>
      </w:r>
      <w:r w:rsidRPr="008232BC">
        <w:rPr>
          <w:rFonts w:hint="eastAsia"/>
          <w:i/>
          <w:iCs/>
          <w:rtl/>
          <w:lang w:bidi="ar-EG"/>
        </w:rPr>
        <w:t> </w:t>
      </w:r>
      <w:r w:rsidRPr="008232BC">
        <w:rPr>
          <w:rFonts w:hint="cs"/>
          <w:i/>
          <w:iCs/>
          <w:rtl/>
          <w:lang w:bidi="ar-EG"/>
        </w:rPr>
        <w:t xml:space="preserve">) </w:t>
      </w:r>
      <w:r>
        <w:rPr>
          <w:rFonts w:hint="cs"/>
          <w:rtl/>
          <w:lang w:bidi="ar-EG"/>
        </w:rPr>
        <w:t xml:space="preserve">من </w:t>
      </w:r>
      <w:r w:rsidRPr="00F01178">
        <w:rPr>
          <w:rFonts w:hint="cs"/>
          <w:i/>
          <w:iCs/>
          <w:rtl/>
          <w:lang w:bidi="ar-EG"/>
        </w:rPr>
        <w:t>"وإذ تدرك"</w:t>
      </w:r>
      <w:r>
        <w:rPr>
          <w:rFonts w:hint="cs"/>
          <w:rtl/>
          <w:lang w:bidi="ar-EG"/>
        </w:rPr>
        <w:t xml:space="preserve"> لم</w:t>
      </w:r>
      <w:r>
        <w:rPr>
          <w:rFonts w:hint="eastAsia"/>
          <w:rtl/>
          <w:lang w:bidi="ar-EG"/>
        </w:rPr>
        <w:t> </w:t>
      </w:r>
      <w:r>
        <w:rPr>
          <w:rFonts w:hint="cs"/>
          <w:rtl/>
          <w:lang w:bidi="ar-EG"/>
        </w:rPr>
        <w:t xml:space="preserve">تعودا مناسبتين وبالتالي تم حذفهما. وأُدخلت بعض التحديثات أيضاً على الحاشيتين اللتين تعرِّفان النظامين </w:t>
      </w:r>
      <w:r>
        <w:t>CDMA</w:t>
      </w:r>
      <w:r>
        <w:rPr>
          <w:rFonts w:hint="cs"/>
          <w:rtl/>
        </w:rPr>
        <w:t xml:space="preserve"> و</w:t>
      </w:r>
      <w:r>
        <w:t>FDMA</w:t>
      </w:r>
      <w:r>
        <w:rPr>
          <w:rFonts w:hint="cs"/>
          <w:rtl/>
        </w:rPr>
        <w:t xml:space="preserve"> وكذلك توضيح القصد من مصطلح "التداخل النبضي" في جميع أجزاء الملحق</w:t>
      </w:r>
      <w:r>
        <w:rPr>
          <w:rFonts w:hint="eastAsia"/>
          <w:rtl/>
        </w:rPr>
        <w:t> </w:t>
      </w:r>
      <w:r>
        <w:t>2</w:t>
      </w:r>
      <w:r>
        <w:rPr>
          <w:rFonts w:hint="cs"/>
          <w:rtl/>
          <w:lang w:bidi="ar-EG"/>
        </w:rPr>
        <w:t>. ويرد في الملحق</w:t>
      </w:r>
      <w:r>
        <w:rPr>
          <w:rFonts w:hint="eastAsia"/>
          <w:rtl/>
          <w:lang w:bidi="ar-EG"/>
        </w:rPr>
        <w:t> </w:t>
      </w:r>
      <w:r>
        <w:rPr>
          <w:lang w:bidi="ar-EG"/>
        </w:rPr>
        <w:t>2</w:t>
      </w:r>
      <w:r>
        <w:rPr>
          <w:rFonts w:hint="cs"/>
          <w:rtl/>
          <w:lang w:bidi="ar-EG"/>
        </w:rPr>
        <w:t xml:space="preserve"> أيضاً عدد من التوضيحات المقدمة بشأن عنوانيْ الشكل</w:t>
      </w:r>
      <w:r>
        <w:rPr>
          <w:rFonts w:hint="eastAsia"/>
          <w:rtl/>
          <w:lang w:bidi="ar-EG"/>
        </w:rPr>
        <w:t> </w:t>
      </w:r>
      <w:r>
        <w:rPr>
          <w:lang w:bidi="ar-EG"/>
        </w:rPr>
        <w:t>1</w:t>
      </w:r>
      <w:r>
        <w:rPr>
          <w:rFonts w:hint="cs"/>
          <w:rtl/>
          <w:lang w:bidi="ar-EG"/>
        </w:rPr>
        <w:t xml:space="preserve"> والجدول</w:t>
      </w:r>
      <w:r>
        <w:rPr>
          <w:rFonts w:hint="eastAsia"/>
          <w:rtl/>
          <w:lang w:bidi="ar-EG"/>
        </w:rPr>
        <w:t> </w:t>
      </w:r>
      <w:r>
        <w:rPr>
          <w:lang w:bidi="ar-EG"/>
        </w:rPr>
        <w:t>1</w:t>
      </w:r>
      <w:r>
        <w:rPr>
          <w:rFonts w:hint="cs"/>
          <w:rtl/>
          <w:lang w:bidi="ar-EG"/>
        </w:rPr>
        <w:t xml:space="preserve"> وبشأن الجدول</w:t>
      </w:r>
      <w:r>
        <w:rPr>
          <w:rFonts w:hint="eastAsia"/>
          <w:rtl/>
          <w:lang w:bidi="ar-EG"/>
        </w:rPr>
        <w:t> </w:t>
      </w:r>
      <w:r>
        <w:rPr>
          <w:lang w:bidi="ar-EG"/>
        </w:rPr>
        <w:t>2</w:t>
      </w:r>
      <w:r>
        <w:rPr>
          <w:rFonts w:hint="cs"/>
          <w:rtl/>
          <w:lang w:bidi="ar-EG"/>
        </w:rPr>
        <w:t xml:space="preserve"> والملاحظات المتعلقة به. وتم كذلك استبدال الشكل</w:t>
      </w:r>
      <w:r>
        <w:rPr>
          <w:rFonts w:hint="eastAsia"/>
          <w:rtl/>
          <w:lang w:bidi="ar-EG"/>
        </w:rPr>
        <w:t> </w:t>
      </w:r>
      <w:r>
        <w:rPr>
          <w:lang w:bidi="ar-EG"/>
        </w:rPr>
        <w:t>2</w:t>
      </w:r>
      <w:r>
        <w:rPr>
          <w:rFonts w:hint="cs"/>
          <w:rtl/>
          <w:lang w:bidi="ar-EG"/>
        </w:rPr>
        <w:t>.</w:t>
      </w:r>
    </w:p>
    <w:p w:rsidR="000F6C99" w:rsidRPr="000C74D4" w:rsidRDefault="000F6C99" w:rsidP="00656306">
      <w:pPr>
        <w:tabs>
          <w:tab w:val="right" w:pos="9639"/>
        </w:tabs>
        <w:spacing w:before="360"/>
      </w:pPr>
      <w:r w:rsidRPr="000C74D4">
        <w:rPr>
          <w:rFonts w:hint="cs"/>
          <w:u w:val="single"/>
          <w:rtl/>
        </w:rPr>
        <w:t xml:space="preserve">مشروع مراجعة التوصية </w:t>
      </w:r>
      <w:r w:rsidRPr="000C74D4">
        <w:rPr>
          <w:u w:val="single"/>
        </w:rPr>
        <w:t>ITU</w:t>
      </w:r>
      <w:r w:rsidR="00656306">
        <w:rPr>
          <w:u w:val="single"/>
        </w:rPr>
        <w:t>-</w:t>
      </w:r>
      <w:r w:rsidRPr="000C74D4">
        <w:rPr>
          <w:u w:val="single"/>
        </w:rPr>
        <w:t>R M.1904</w:t>
      </w:r>
      <w:r>
        <w:rPr>
          <w:u w:val="single"/>
        </w:rPr>
        <w:t>-0</w:t>
      </w:r>
      <w:r w:rsidRPr="00926F76">
        <w:rPr>
          <w:rFonts w:hint="cs"/>
          <w:rtl/>
        </w:rPr>
        <w:tab/>
        <w:t xml:space="preserve">الوثيقة </w:t>
      </w:r>
      <w:r w:rsidRPr="00926F76">
        <w:t>4/</w:t>
      </w:r>
      <w:r>
        <w:t>55</w:t>
      </w:r>
      <w:r w:rsidRPr="00220F98">
        <w:t>(Rev.1)</w:t>
      </w:r>
    </w:p>
    <w:p w:rsidR="000F6C99" w:rsidRDefault="000F6C99" w:rsidP="00CA6C59">
      <w:pPr>
        <w:pStyle w:val="Rectitle"/>
      </w:pPr>
      <w:r w:rsidRPr="00D318A1">
        <w:rPr>
          <w:rFonts w:hint="cs"/>
          <w:rtl/>
        </w:rPr>
        <w:t xml:space="preserve">الخصائص ومتطلبات الأداء ومعايير الحماية لمحطات الاستقبال في خدمة الملاحة الراديوية الساتلية (فضاء-فضاء) العاملة في نطاقات </w:t>
      </w:r>
      <w:r>
        <w:rPr>
          <w:rFonts w:hint="cs"/>
          <w:rtl/>
        </w:rPr>
        <w:t>التردد</w:t>
      </w:r>
      <w:r w:rsidRPr="00D318A1">
        <w:rPr>
          <w:rFonts w:hint="cs"/>
          <w:rtl/>
        </w:rPr>
        <w:t xml:space="preserve"> </w:t>
      </w:r>
      <w:r w:rsidRPr="00D318A1">
        <w:t>MHz 1</w:t>
      </w:r>
      <w:r>
        <w:t> </w:t>
      </w:r>
      <w:r w:rsidRPr="00D318A1">
        <w:t>215</w:t>
      </w:r>
      <w:r w:rsidR="00656306">
        <w:t>-</w:t>
      </w:r>
      <w:r w:rsidRPr="00D318A1">
        <w:t>1 164</w:t>
      </w:r>
      <w:r w:rsidRPr="00D318A1">
        <w:rPr>
          <w:rFonts w:hint="cs"/>
          <w:rtl/>
        </w:rPr>
        <w:t xml:space="preserve"> و</w:t>
      </w:r>
      <w:r w:rsidRPr="00D318A1">
        <w:t>MHz 1 300</w:t>
      </w:r>
      <w:r w:rsidR="00656306">
        <w:t>-</w:t>
      </w:r>
      <w:r w:rsidRPr="00D318A1">
        <w:t>1 215</w:t>
      </w:r>
      <w:r w:rsidRPr="00D318A1">
        <w:rPr>
          <w:rFonts w:hint="cs"/>
          <w:rtl/>
        </w:rPr>
        <w:t xml:space="preserve"> و</w:t>
      </w:r>
      <w:r w:rsidRPr="00D318A1">
        <w:t>MHz 1 610</w:t>
      </w:r>
      <w:r w:rsidR="00656306">
        <w:t>-</w:t>
      </w:r>
      <w:r w:rsidRPr="00D318A1">
        <w:t>1 559</w:t>
      </w:r>
    </w:p>
    <w:p w:rsidR="000F6C99" w:rsidRDefault="000F6C99" w:rsidP="000F6C99">
      <w:pPr>
        <w:rPr>
          <w:lang w:bidi="ar-EG"/>
        </w:rPr>
      </w:pPr>
      <w:r>
        <w:rPr>
          <w:rFonts w:hint="cs"/>
          <w:rtl/>
        </w:rPr>
        <w:t xml:space="preserve">تشمل هذه المراجعة تحديثات لمعلومات النظام العالمي للملاحة الساتلية </w:t>
      </w:r>
      <w:r>
        <w:t>(GLONASS)</w:t>
      </w:r>
      <w:r>
        <w:rPr>
          <w:rFonts w:hint="cs"/>
          <w:rtl/>
        </w:rPr>
        <w:t xml:space="preserve"> لإتاحة أحدث تفاصيل هذا النظام بما</w:t>
      </w:r>
      <w:r>
        <w:rPr>
          <w:rFonts w:hint="eastAsia"/>
          <w:rtl/>
        </w:rPr>
        <w:t> </w:t>
      </w:r>
      <w:r>
        <w:rPr>
          <w:rFonts w:hint="cs"/>
          <w:rtl/>
        </w:rPr>
        <w:t>في</w:t>
      </w:r>
      <w:r>
        <w:rPr>
          <w:rFonts w:hint="eastAsia"/>
          <w:rtl/>
        </w:rPr>
        <w:t> </w:t>
      </w:r>
      <w:r>
        <w:rPr>
          <w:rFonts w:hint="cs"/>
          <w:rtl/>
        </w:rPr>
        <w:t xml:space="preserve">ذلك الإشارات الجديدة لنظام النفاذ المتعدد بتقسيم </w:t>
      </w:r>
      <w:r>
        <w:rPr>
          <w:rFonts w:hint="cs"/>
          <w:rtl/>
          <w:lang w:bidi="ar-EG"/>
        </w:rPr>
        <w:t>ال</w:t>
      </w:r>
      <w:r>
        <w:rPr>
          <w:rFonts w:hint="cs"/>
          <w:rtl/>
        </w:rPr>
        <w:t xml:space="preserve">شفرة </w:t>
      </w:r>
      <w:r>
        <w:t>(CDMA)</w:t>
      </w:r>
      <w:r w:rsidR="008A7DDD">
        <w:rPr>
          <w:rFonts w:hint="cs"/>
          <w:rtl/>
        </w:rPr>
        <w:t>.</w:t>
      </w:r>
      <w:r>
        <w:rPr>
          <w:rFonts w:hint="cs"/>
          <w:rtl/>
        </w:rPr>
        <w:t xml:space="preserve"> وتقترح أيضاً تحديثات للمعلومات المتعلقة بالخصائص ومتطلبات الأداء ومعايير الحماية لمحطات الاستقبال المحمولة على متن مركبة فضائية في خدمة الملاحة الراديوية الساتلية </w:t>
      </w:r>
      <w:r>
        <w:t>(RNSS)</w:t>
      </w:r>
      <w:r>
        <w:rPr>
          <w:rFonts w:hint="cs"/>
          <w:rtl/>
          <w:lang w:bidi="ar-EG"/>
        </w:rPr>
        <w:t xml:space="preserve">، مع مراعاة المعلومات المحدَّثة بشأن النظام </w:t>
      </w:r>
      <w:r>
        <w:t>GLONASS</w:t>
      </w:r>
      <w:r w:rsidR="00E264FB">
        <w:rPr>
          <w:rFonts w:hint="cs"/>
          <w:rtl/>
        </w:rPr>
        <w:t>.</w:t>
      </w:r>
      <w:r>
        <w:rPr>
          <w:rFonts w:hint="cs"/>
          <w:rtl/>
        </w:rPr>
        <w:t xml:space="preserve"> وتقتصر التحديثات المقترحة الأخرى على الجداول والملاحظات المرتبطة بها في</w:t>
      </w:r>
      <w:r>
        <w:rPr>
          <w:rFonts w:hint="eastAsia"/>
          <w:rtl/>
        </w:rPr>
        <w:t> </w:t>
      </w:r>
      <w:r>
        <w:rPr>
          <w:rFonts w:hint="cs"/>
          <w:rtl/>
        </w:rPr>
        <w:t>الملحقات</w:t>
      </w:r>
      <w:r>
        <w:rPr>
          <w:rFonts w:hint="eastAsia"/>
          <w:rtl/>
        </w:rPr>
        <w:t> </w:t>
      </w:r>
      <w: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w:t>
      </w:r>
    </w:p>
    <w:p w:rsidR="00656306" w:rsidRDefault="00656306" w:rsidP="00656306">
      <w:pPr>
        <w:rPr>
          <w:rtl/>
          <w:lang w:bidi="ar-EG"/>
        </w:rPr>
      </w:pPr>
      <w:r>
        <w:rPr>
          <w:rtl/>
          <w:lang w:bidi="ar-EG"/>
        </w:rPr>
        <w:br w:type="page"/>
      </w:r>
    </w:p>
    <w:p w:rsidR="000F6C99" w:rsidRPr="000C74D4" w:rsidRDefault="000F6C99" w:rsidP="00656306">
      <w:pPr>
        <w:tabs>
          <w:tab w:val="right" w:pos="9639"/>
        </w:tabs>
        <w:spacing w:before="240"/>
        <w:rPr>
          <w:rtl/>
        </w:rPr>
      </w:pPr>
      <w:r w:rsidRPr="000C74D4">
        <w:rPr>
          <w:rFonts w:hint="cs"/>
          <w:u w:val="single"/>
          <w:rtl/>
        </w:rPr>
        <w:lastRenderedPageBreak/>
        <w:t xml:space="preserve">مشروع مراجعة التوصية </w:t>
      </w:r>
      <w:r w:rsidRPr="000C74D4">
        <w:rPr>
          <w:u w:val="single"/>
        </w:rPr>
        <w:t>ITU</w:t>
      </w:r>
      <w:r w:rsidR="00656306">
        <w:rPr>
          <w:u w:val="single"/>
        </w:rPr>
        <w:t>-</w:t>
      </w:r>
      <w:r w:rsidRPr="000C74D4">
        <w:rPr>
          <w:u w:val="single"/>
        </w:rPr>
        <w:t>R M.1905</w:t>
      </w:r>
      <w:r>
        <w:rPr>
          <w:u w:val="single"/>
        </w:rPr>
        <w:t>-0</w:t>
      </w:r>
      <w:r w:rsidRPr="00926F76">
        <w:rPr>
          <w:rFonts w:hint="cs"/>
          <w:rtl/>
        </w:rPr>
        <w:tab/>
        <w:t xml:space="preserve">الوثيقة </w:t>
      </w:r>
      <w:r w:rsidRPr="00926F76">
        <w:t>4/</w:t>
      </w:r>
      <w:r>
        <w:t>56</w:t>
      </w:r>
      <w:r w:rsidRPr="00220F98">
        <w:t>(Rev.1)</w:t>
      </w:r>
    </w:p>
    <w:p w:rsidR="000F6C99" w:rsidRDefault="000F6C99" w:rsidP="00CA6C59">
      <w:pPr>
        <w:pStyle w:val="Rectitle"/>
      </w:pPr>
      <w:r w:rsidRPr="00D564EA">
        <w:rPr>
          <w:rtl/>
        </w:rPr>
        <w:t>الخصائص ومعايير الحماية لمحطات الاستقبال الأرضية في خدمة الملاحة الراديوية</w:t>
      </w:r>
      <w:r w:rsidRPr="00D564EA">
        <w:rPr>
          <w:rFonts w:hint="cs"/>
          <w:rtl/>
        </w:rPr>
        <w:t xml:space="preserve"> </w:t>
      </w:r>
      <w:r w:rsidRPr="00D564EA">
        <w:rPr>
          <w:rtl/>
        </w:rPr>
        <w:t>الساتلية</w:t>
      </w:r>
      <w:r w:rsidRPr="00D564EA">
        <w:rPr>
          <w:rFonts w:hint="cs"/>
          <w:rtl/>
        </w:rPr>
        <w:t xml:space="preserve"> </w:t>
      </w:r>
      <w:r w:rsidRPr="00D564EA">
        <w:rPr>
          <w:rtl/>
        </w:rPr>
        <w:t>(فضاء-أرض) العاملة</w:t>
      </w:r>
      <w:r w:rsidRPr="00D564EA">
        <w:rPr>
          <w:rFonts w:hint="cs"/>
          <w:rtl/>
        </w:rPr>
        <w:t xml:space="preserve"> </w:t>
      </w:r>
      <w:r w:rsidRPr="00D564EA">
        <w:rPr>
          <w:rtl/>
        </w:rPr>
        <w:t>في</w:t>
      </w:r>
      <w:r w:rsidRPr="00D564EA">
        <w:rPr>
          <w:rFonts w:hint="cs"/>
          <w:rtl/>
        </w:rPr>
        <w:t xml:space="preserve"> </w:t>
      </w:r>
      <w:r w:rsidRPr="00D564EA">
        <w:rPr>
          <w:rtl/>
        </w:rPr>
        <w:t>النطاق</w:t>
      </w:r>
      <w:r>
        <w:rPr>
          <w:rFonts w:hint="cs"/>
          <w:rtl/>
        </w:rPr>
        <w:t xml:space="preserve"> </w:t>
      </w:r>
      <w:r w:rsidRPr="00D564EA">
        <w:t>MHz 1 215</w:t>
      </w:r>
      <w:r w:rsidR="00656306">
        <w:t>-</w:t>
      </w:r>
      <w:r w:rsidRPr="00D564EA">
        <w:t>1 164</w:t>
      </w:r>
    </w:p>
    <w:p w:rsidR="000F6C99" w:rsidRPr="00904A33" w:rsidRDefault="000F6C99" w:rsidP="00656306">
      <w:pPr>
        <w:rPr>
          <w:rtl/>
          <w:lang w:bidi="ar-EG"/>
        </w:rPr>
      </w:pPr>
      <w:r>
        <w:rPr>
          <w:rFonts w:hint="cs"/>
          <w:rtl/>
        </w:rPr>
        <w:t xml:space="preserve">تشمل هذه المراجعة تحديثات لمعلومات النظام العالمي للملاحة الساتلية </w:t>
      </w:r>
      <w:r>
        <w:t>(GLONASS)</w:t>
      </w:r>
      <w:r>
        <w:rPr>
          <w:rFonts w:hint="cs"/>
          <w:rtl/>
        </w:rPr>
        <w:t xml:space="preserve"> لإتاحة أحدث تفاصيل هذا النظام بما</w:t>
      </w:r>
      <w:r>
        <w:rPr>
          <w:rFonts w:hint="eastAsia"/>
          <w:rtl/>
        </w:rPr>
        <w:t> </w:t>
      </w:r>
      <w:r>
        <w:rPr>
          <w:rFonts w:hint="cs"/>
          <w:rtl/>
        </w:rPr>
        <w:t>في</w:t>
      </w:r>
      <w:r>
        <w:rPr>
          <w:rFonts w:hint="eastAsia"/>
          <w:rtl/>
        </w:rPr>
        <w:t> </w:t>
      </w:r>
      <w:r>
        <w:rPr>
          <w:rFonts w:hint="cs"/>
          <w:rtl/>
        </w:rPr>
        <w:t xml:space="preserve">ذلك الإشارات الجديدة لنظام النفاذ المتعدد بتقسيم </w:t>
      </w:r>
      <w:r>
        <w:rPr>
          <w:rFonts w:hint="cs"/>
          <w:rtl/>
          <w:lang w:bidi="ar-EG"/>
        </w:rPr>
        <w:t>ال</w:t>
      </w:r>
      <w:r>
        <w:rPr>
          <w:rFonts w:hint="cs"/>
          <w:rtl/>
        </w:rPr>
        <w:t xml:space="preserve">شفرة </w:t>
      </w:r>
      <w:r>
        <w:t>(CDMA)</w:t>
      </w:r>
      <w:r w:rsidR="00EA06C3">
        <w:rPr>
          <w:rFonts w:hint="cs"/>
          <w:rtl/>
        </w:rPr>
        <w:t>.</w:t>
      </w:r>
      <w:r>
        <w:rPr>
          <w:rFonts w:hint="cs"/>
          <w:rtl/>
        </w:rPr>
        <w:t xml:space="preserve"> وتقترح أيضاً تحديثات للمعلومات المتعلقة بالخصائص ومعايير الحماية لمحطات الاستقبال الأرضية في خدمة الملاحة الراديوية الساتلية العاملة في النطاق </w:t>
      </w:r>
      <w:r>
        <w:t>MHz 1 215-1 164</w:t>
      </w:r>
      <w:r>
        <w:rPr>
          <w:rFonts w:hint="cs"/>
          <w:rtl/>
          <w:lang w:bidi="ar-EG"/>
        </w:rPr>
        <w:t xml:space="preserve">، مع مراعاة المعلومات المحدَّثة بشأن النظام </w:t>
      </w:r>
      <w:r>
        <w:t>GLONASS</w:t>
      </w:r>
      <w:r w:rsidR="00EA06C3">
        <w:rPr>
          <w:rFonts w:hint="cs"/>
          <w:rtl/>
        </w:rPr>
        <w:t>.</w:t>
      </w:r>
      <w:r>
        <w:rPr>
          <w:rFonts w:hint="cs"/>
          <w:rtl/>
        </w:rPr>
        <w:t xml:space="preserve"> وأُدخلت بعض التحديثات أيضاً لأغراض التوضيح في مختلف أجزاء الملحق</w:t>
      </w:r>
      <w:r>
        <w:rPr>
          <w:rFonts w:hint="eastAsia"/>
          <w:rtl/>
        </w:rPr>
        <w:t> </w:t>
      </w:r>
      <w:r>
        <w:t>2</w:t>
      </w:r>
      <w:r>
        <w:rPr>
          <w:rFonts w:hint="cs"/>
          <w:rtl/>
          <w:lang w:bidi="ar-EG"/>
        </w:rPr>
        <w:t>، بما</w:t>
      </w:r>
      <w:r>
        <w:rPr>
          <w:rFonts w:hint="eastAsia"/>
          <w:rtl/>
          <w:lang w:bidi="ar-EG"/>
        </w:rPr>
        <w:t> </w:t>
      </w:r>
      <w:r>
        <w:rPr>
          <w:rFonts w:hint="cs"/>
          <w:rtl/>
          <w:lang w:bidi="ar-EG"/>
        </w:rPr>
        <w:t>في ذلك الجدول</w:t>
      </w:r>
      <w:r>
        <w:rPr>
          <w:rFonts w:hint="eastAsia"/>
          <w:rtl/>
          <w:lang w:bidi="ar-EG"/>
        </w:rPr>
        <w:t> </w:t>
      </w:r>
      <w:r>
        <w:rPr>
          <w:lang w:bidi="ar-EG"/>
        </w:rPr>
        <w:t>1-2</w:t>
      </w:r>
      <w:r>
        <w:rPr>
          <w:rFonts w:hint="cs"/>
          <w:rtl/>
          <w:lang w:bidi="ar-EG"/>
        </w:rPr>
        <w:t xml:space="preserve"> والملاحظات المتعلقة به.</w:t>
      </w:r>
    </w:p>
    <w:p w:rsidR="004C0A39" w:rsidRDefault="004C0A39" w:rsidP="004C0A39">
      <w:pPr>
        <w:spacing w:before="600"/>
        <w:jc w:val="center"/>
        <w:rPr>
          <w:rtl/>
          <w:lang w:bidi="ar-EG"/>
        </w:rPr>
      </w:pPr>
      <w:r>
        <w:rPr>
          <w:rFonts w:hint="cs"/>
          <w:rtl/>
          <w:lang w:bidi="ar-EG"/>
        </w:rPr>
        <w:t>___________</w:t>
      </w:r>
    </w:p>
    <w:sectPr w:rsidR="004C0A39" w:rsidSect="008B5B5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98" w:rsidRDefault="00151F98" w:rsidP="00E07379">
      <w:pPr>
        <w:spacing w:before="0" w:line="240" w:lineRule="auto"/>
      </w:pPr>
      <w:r>
        <w:separator/>
      </w:r>
    </w:p>
  </w:endnote>
  <w:endnote w:type="continuationSeparator" w:id="0">
    <w:p w:rsidR="00151F98" w:rsidRDefault="00151F9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FB" w:rsidRDefault="00357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357CFB" w:rsidRDefault="002D4DD1" w:rsidP="00357CF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98" w:rsidRDefault="00151F98" w:rsidP="00E07379">
      <w:pPr>
        <w:spacing w:before="0" w:line="240" w:lineRule="auto"/>
      </w:pPr>
      <w:r>
        <w:separator/>
      </w:r>
    </w:p>
  </w:footnote>
  <w:footnote w:type="continuationSeparator" w:id="0">
    <w:p w:rsidR="00151F98" w:rsidRDefault="00151F9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FB" w:rsidRDefault="00357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357CFB">
      <w:rPr>
        <w:rStyle w:val="PageNumber"/>
        <w:noProof/>
      </w:rPr>
      <w:t>2</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C31F7F" w:rsidRDefault="00BD72FA" w:rsidP="00042DF1">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F60A2E" w:rsidRPr="00F36590" w:rsidRDefault="00F60A2E" w:rsidP="00042DF1">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39"/>
    <w:rsid w:val="000124CC"/>
    <w:rsid w:val="00041F8B"/>
    <w:rsid w:val="00042DF1"/>
    <w:rsid w:val="00046444"/>
    <w:rsid w:val="0006023B"/>
    <w:rsid w:val="0008638B"/>
    <w:rsid w:val="00090574"/>
    <w:rsid w:val="00092FC2"/>
    <w:rsid w:val="000A1677"/>
    <w:rsid w:val="000B407F"/>
    <w:rsid w:val="000C13C2"/>
    <w:rsid w:val="000F0B1C"/>
    <w:rsid w:val="000F1D42"/>
    <w:rsid w:val="000F4D07"/>
    <w:rsid w:val="000F63F8"/>
    <w:rsid w:val="000F6C99"/>
    <w:rsid w:val="00102A03"/>
    <w:rsid w:val="001040A3"/>
    <w:rsid w:val="00151F98"/>
    <w:rsid w:val="00154102"/>
    <w:rsid w:val="00173915"/>
    <w:rsid w:val="001E56B7"/>
    <w:rsid w:val="001F2ED3"/>
    <w:rsid w:val="0021544D"/>
    <w:rsid w:val="0022345D"/>
    <w:rsid w:val="00225854"/>
    <w:rsid w:val="0023283D"/>
    <w:rsid w:val="00252E0C"/>
    <w:rsid w:val="00276881"/>
    <w:rsid w:val="002916BE"/>
    <w:rsid w:val="002978F4"/>
    <w:rsid w:val="002B028D"/>
    <w:rsid w:val="002B435E"/>
    <w:rsid w:val="002C4DAE"/>
    <w:rsid w:val="002D4DD1"/>
    <w:rsid w:val="002D6669"/>
    <w:rsid w:val="002E6541"/>
    <w:rsid w:val="002E7A05"/>
    <w:rsid w:val="002F5560"/>
    <w:rsid w:val="002F7232"/>
    <w:rsid w:val="0030486B"/>
    <w:rsid w:val="003231B9"/>
    <w:rsid w:val="003275AC"/>
    <w:rsid w:val="00333D29"/>
    <w:rsid w:val="003409F4"/>
    <w:rsid w:val="00357185"/>
    <w:rsid w:val="00357CFB"/>
    <w:rsid w:val="003C475F"/>
    <w:rsid w:val="003E4132"/>
    <w:rsid w:val="003F678F"/>
    <w:rsid w:val="0042686F"/>
    <w:rsid w:val="004367CE"/>
    <w:rsid w:val="00443869"/>
    <w:rsid w:val="004712C6"/>
    <w:rsid w:val="00497703"/>
    <w:rsid w:val="004C0A39"/>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0EAE"/>
    <w:rsid w:val="005E5283"/>
    <w:rsid w:val="005E58F5"/>
    <w:rsid w:val="00606660"/>
    <w:rsid w:val="006157A3"/>
    <w:rsid w:val="00620E60"/>
    <w:rsid w:val="0063315A"/>
    <w:rsid w:val="0065591D"/>
    <w:rsid w:val="00656306"/>
    <w:rsid w:val="00662C5A"/>
    <w:rsid w:val="00670AF5"/>
    <w:rsid w:val="00677EDD"/>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87CF1"/>
    <w:rsid w:val="008A1810"/>
    <w:rsid w:val="008A7DDD"/>
    <w:rsid w:val="008B0945"/>
    <w:rsid w:val="008B5B5D"/>
    <w:rsid w:val="00917694"/>
    <w:rsid w:val="00923199"/>
    <w:rsid w:val="009263CD"/>
    <w:rsid w:val="00930E6D"/>
    <w:rsid w:val="00933E83"/>
    <w:rsid w:val="009455C1"/>
    <w:rsid w:val="009721B9"/>
    <w:rsid w:val="00972CA2"/>
    <w:rsid w:val="009734C8"/>
    <w:rsid w:val="00982B28"/>
    <w:rsid w:val="00984EA5"/>
    <w:rsid w:val="009857A9"/>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66B9A"/>
    <w:rsid w:val="00B82089"/>
    <w:rsid w:val="00B970AE"/>
    <w:rsid w:val="00BA1427"/>
    <w:rsid w:val="00BD72FA"/>
    <w:rsid w:val="00BE49D0"/>
    <w:rsid w:val="00BF2C38"/>
    <w:rsid w:val="00C23331"/>
    <w:rsid w:val="00C265DA"/>
    <w:rsid w:val="00C31F7F"/>
    <w:rsid w:val="00C442F2"/>
    <w:rsid w:val="00C674FE"/>
    <w:rsid w:val="00C7297D"/>
    <w:rsid w:val="00C75633"/>
    <w:rsid w:val="00C8242E"/>
    <w:rsid w:val="00C82615"/>
    <w:rsid w:val="00C867DB"/>
    <w:rsid w:val="00C938A9"/>
    <w:rsid w:val="00CA2A38"/>
    <w:rsid w:val="00CA50FF"/>
    <w:rsid w:val="00CA6C59"/>
    <w:rsid w:val="00CC3CD2"/>
    <w:rsid w:val="00CC43BE"/>
    <w:rsid w:val="00CD123C"/>
    <w:rsid w:val="00CD2085"/>
    <w:rsid w:val="00CE2EE1"/>
    <w:rsid w:val="00CF3FFD"/>
    <w:rsid w:val="00CF5ED3"/>
    <w:rsid w:val="00D023A4"/>
    <w:rsid w:val="00D0494C"/>
    <w:rsid w:val="00D14BEB"/>
    <w:rsid w:val="00D21C89"/>
    <w:rsid w:val="00D34647"/>
    <w:rsid w:val="00D37B45"/>
    <w:rsid w:val="00D45542"/>
    <w:rsid w:val="00D77D0F"/>
    <w:rsid w:val="00DA1CF0"/>
    <w:rsid w:val="00DA25F1"/>
    <w:rsid w:val="00DA26BF"/>
    <w:rsid w:val="00DA69C4"/>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264FB"/>
    <w:rsid w:val="00E32189"/>
    <w:rsid w:val="00E45211"/>
    <w:rsid w:val="00E4621E"/>
    <w:rsid w:val="00E7380C"/>
    <w:rsid w:val="00E74BE7"/>
    <w:rsid w:val="00E86CC9"/>
    <w:rsid w:val="00E96624"/>
    <w:rsid w:val="00EA06C3"/>
    <w:rsid w:val="00F126F1"/>
    <w:rsid w:val="00F2106A"/>
    <w:rsid w:val="00F36D8B"/>
    <w:rsid w:val="00F378DF"/>
    <w:rsid w:val="00F401D0"/>
    <w:rsid w:val="00F45F2B"/>
    <w:rsid w:val="00F57AE4"/>
    <w:rsid w:val="00F60A2E"/>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AF222D-F24B-4623-9960-BB975FB5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AE"/>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CA6C59"/>
    <w:pPr>
      <w:spacing w:before="240" w:after="24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4C0A39"/>
    <w:pPr>
      <w:keepNext/>
      <w:keepLines/>
      <w:spacing w:before="120" w:after="360"/>
    </w:pPr>
    <w:rPr>
      <w:b/>
      <w:bCs/>
      <w:sz w:val="28"/>
      <w:szCs w:val="40"/>
    </w:rPr>
  </w:style>
  <w:style w:type="paragraph" w:customStyle="1" w:styleId="enumlev10">
    <w:name w:val="enumlev 1"/>
    <w:basedOn w:val="Normal"/>
    <w:qFormat/>
    <w:rsid w:val="004C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character" w:customStyle="1" w:styleId="AnnexNoChar">
    <w:name w:val="Annex_No Char"/>
    <w:basedOn w:val="DefaultParagraphFont"/>
    <w:link w:val="AnnexNo"/>
    <w:rsid w:val="000F6C99"/>
    <w:rPr>
      <w:rFonts w:ascii="Calibri" w:eastAsia="Times New Roman" w:hAnsi="Calibri"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3-C-009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hyperlink" Target="http://www.itu.int/md/R15-SG04-C/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SG03-C-009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R15-SG03-C-0097/en" TargetMode="External"/><Relationship Id="rId23" Type="http://schemas.openxmlformats.org/officeDocument/2006/relationships/footer" Target="footer3.xml"/><Relationship Id="rId10" Type="http://schemas.openxmlformats.org/officeDocument/2006/relationships/hyperlink" Target="mailto:brsgd@itu.in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3-C-0095/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8641\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EE46A73-6B3C-4232-9650-5AFB3D78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66</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Limousin, Catherine</cp:lastModifiedBy>
  <cp:revision>18</cp:revision>
  <cp:lastPrinted>2019-07-15T12:18:00Z</cp:lastPrinted>
  <dcterms:created xsi:type="dcterms:W3CDTF">2019-07-11T08:53:00Z</dcterms:created>
  <dcterms:modified xsi:type="dcterms:W3CDTF">2019-07-15T12:19:00Z</dcterms:modified>
  <cp:category>Conference document</cp:category>
</cp:coreProperties>
</file>