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00A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A96D3A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D00AD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D00AD1" w:rsidRDefault="00E53DCE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D00AD1" w:rsidRDefault="00E53DCE" w:rsidP="00CD169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D00AD1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D00AD1" w:rsidRDefault="00A96D3A" w:rsidP="00CD1697">
            <w:pPr>
              <w:spacing w:before="0"/>
              <w:jc w:val="left"/>
              <w:rPr>
                <w:szCs w:val="24"/>
                <w:lang w:val="es-ES_tradnl"/>
              </w:rPr>
            </w:pPr>
            <w:r w:rsidRPr="00D00AD1">
              <w:rPr>
                <w:szCs w:val="24"/>
                <w:lang w:val="es-ES_tradnl"/>
              </w:rPr>
              <w:t>Circular Administrativa</w:t>
            </w:r>
          </w:p>
          <w:p w:rsidR="00E53DCE" w:rsidRPr="00D00AD1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szCs w:val="24"/>
                <w:lang w:val="es-ES_tradnl"/>
              </w:rPr>
              <w:t>CA</w:t>
            </w:r>
            <w:r w:rsidR="002E6646" w:rsidRPr="00D00AD1">
              <w:rPr>
                <w:b/>
                <w:bCs/>
                <w:szCs w:val="24"/>
                <w:lang w:val="es-ES_tradnl"/>
              </w:rPr>
              <w:t>CE</w:t>
            </w:r>
            <w:r w:rsidRPr="00D00AD1">
              <w:rPr>
                <w:b/>
                <w:bCs/>
                <w:szCs w:val="24"/>
                <w:lang w:val="es-ES_tradnl"/>
              </w:rPr>
              <w:t>/</w:t>
            </w:r>
            <w:r w:rsidR="009E4570">
              <w:rPr>
                <w:b/>
                <w:bCs/>
                <w:szCs w:val="24"/>
                <w:lang w:val="es-ES_tradnl"/>
              </w:rPr>
              <w:t>906</w:t>
            </w:r>
          </w:p>
        </w:tc>
        <w:tc>
          <w:tcPr>
            <w:tcW w:w="2835" w:type="dxa"/>
            <w:shd w:val="clear" w:color="auto" w:fill="auto"/>
          </w:tcPr>
          <w:p w:rsidR="00E53DCE" w:rsidRPr="00D00AD1" w:rsidRDefault="009E4570" w:rsidP="00CD1697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21 de junio de 2019</w:t>
            </w:r>
          </w:p>
        </w:tc>
      </w:tr>
      <w:tr w:rsidR="00E53DCE" w:rsidRPr="00D00A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D00A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86E6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2E6646" w:rsidP="009E4570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Comisión de Estudio </w:t>
            </w:r>
            <w:r w:rsidR="009E4570">
              <w:rPr>
                <w:b/>
                <w:bCs/>
                <w:lang w:val="es-ES_tradnl"/>
              </w:rPr>
              <w:t>1</w:t>
            </w:r>
            <w:r w:rsidRPr="00D00AD1">
              <w:rPr>
                <w:b/>
                <w:bCs/>
                <w:lang w:val="es-ES_tradnl"/>
              </w:rPr>
              <w:t xml:space="preserve"> de Radiocomunicaciones y a las Instituciones Académicas de la UIT</w:t>
            </w:r>
          </w:p>
        </w:tc>
      </w:tr>
      <w:tr w:rsidR="00E53DCE" w:rsidRPr="00D86E6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86E6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86E6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0AD1" w:rsidRDefault="002E6646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3428EF">
              <w:rPr>
                <w:szCs w:val="24"/>
                <w:lang w:val="es-ES_tradnl"/>
              </w:rPr>
              <w:t>Asunto</w:t>
            </w:r>
            <w:r w:rsidR="00A96D3A" w:rsidRPr="003428EF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D00AD1" w:rsidRDefault="009E4570" w:rsidP="009E4570">
            <w:pPr>
              <w:tabs>
                <w:tab w:val="clear" w:pos="1588"/>
                <w:tab w:val="left" w:pos="1560"/>
              </w:tabs>
              <w:spacing w:before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Comisión de Estudio 1</w:t>
            </w:r>
            <w:r w:rsidR="002E6646" w:rsidRPr="00D00AD1">
              <w:rPr>
                <w:b/>
                <w:lang w:val="es-ES_tradnl"/>
              </w:rPr>
              <w:t xml:space="preserve"> de Radiocomunicaciones</w:t>
            </w:r>
            <w:r w:rsidR="00470826">
              <w:rPr>
                <w:b/>
                <w:lang w:val="es-ES_tradnl"/>
              </w:rPr>
              <w:t xml:space="preserve"> (</w:t>
            </w:r>
            <w:proofErr w:type="spellStart"/>
            <w:r>
              <w:rPr>
                <w:b/>
                <w:lang w:val="es-ES_tradnl"/>
              </w:rPr>
              <w:t>Gesti</w:t>
            </w:r>
            <w:r>
              <w:rPr>
                <w:b/>
                <w:lang w:val="es-ES"/>
              </w:rPr>
              <w:t>ón</w:t>
            </w:r>
            <w:proofErr w:type="spellEnd"/>
            <w:r>
              <w:rPr>
                <w:b/>
                <w:lang w:val="es-ES"/>
              </w:rPr>
              <w:t xml:space="preserve"> del espectro</w:t>
            </w:r>
            <w:r w:rsidR="00470826">
              <w:rPr>
                <w:b/>
                <w:lang w:val="es-ES_tradnl"/>
              </w:rPr>
              <w:t>)</w:t>
            </w:r>
          </w:p>
          <w:p w:rsidR="002E6646" w:rsidRPr="009E4570" w:rsidRDefault="002E6646" w:rsidP="009E4570">
            <w:pPr>
              <w:spacing w:before="120"/>
              <w:ind w:left="794" w:hanging="794"/>
              <w:jc w:val="left"/>
              <w:rPr>
                <w:b/>
                <w:bCs/>
                <w:lang w:val="es-ES"/>
              </w:rPr>
            </w:pPr>
            <w:r w:rsidRPr="003428EF">
              <w:rPr>
                <w:b/>
                <w:bCs/>
                <w:lang w:val="es-ES"/>
              </w:rPr>
              <w:t>–</w:t>
            </w:r>
            <w:r w:rsidRPr="003428EF">
              <w:rPr>
                <w:b/>
                <w:bCs/>
                <w:lang w:val="es-ES"/>
              </w:rPr>
              <w:tab/>
            </w:r>
            <w:r w:rsidR="009E4570">
              <w:rPr>
                <w:b/>
                <w:bCs/>
                <w:lang w:val="es-ES"/>
              </w:rPr>
              <w:t>Propuesta de adopción de 1</w:t>
            </w:r>
            <w:r w:rsidRPr="003428EF">
              <w:rPr>
                <w:b/>
                <w:bCs/>
                <w:lang w:val="es-ES"/>
              </w:rPr>
              <w:t xml:space="preserve"> proyecto</w:t>
            </w:r>
            <w:r w:rsidR="00470826">
              <w:rPr>
                <w:b/>
                <w:bCs/>
                <w:lang w:val="es-ES"/>
              </w:rPr>
              <w:t xml:space="preserve"> de nueva Recomendaci</w:t>
            </w:r>
            <w:r w:rsidR="009E4570">
              <w:rPr>
                <w:b/>
                <w:bCs/>
                <w:lang w:val="es-ES"/>
              </w:rPr>
              <w:t>ón</w:t>
            </w:r>
            <w:r w:rsidR="00470826">
              <w:rPr>
                <w:b/>
                <w:bCs/>
                <w:lang w:val="es-ES"/>
              </w:rPr>
              <w:t xml:space="preserve"> </w:t>
            </w:r>
            <w:r w:rsidR="00470826">
              <w:rPr>
                <w:b/>
                <w:bCs/>
                <w:lang w:val="es-ES"/>
              </w:rPr>
              <w:br/>
            </w:r>
            <w:r w:rsidR="00552165">
              <w:rPr>
                <w:b/>
                <w:bCs/>
                <w:lang w:val="es-ES"/>
              </w:rPr>
              <w:t>UIT-</w:t>
            </w:r>
            <w:r w:rsidRPr="003428EF">
              <w:rPr>
                <w:b/>
                <w:bCs/>
                <w:lang w:val="es-ES"/>
              </w:rPr>
              <w:t xml:space="preserve">R y </w:t>
            </w:r>
            <w:r w:rsidR="009E4570">
              <w:rPr>
                <w:b/>
                <w:bCs/>
                <w:lang w:val="es-ES"/>
              </w:rPr>
              <w:t>3</w:t>
            </w:r>
            <w:r w:rsidRPr="003428EF">
              <w:rPr>
                <w:b/>
                <w:bCs/>
                <w:lang w:val="es-ES"/>
              </w:rPr>
              <w:t xml:space="preserve"> proyectos de Recomendaciones UIT-R revisadas y su aprobación simultánea por correspondencia de conformidad con el § A2.6.2.4 de la Resolución UIT</w:t>
            </w:r>
            <w:r w:rsidRPr="003428EF">
              <w:rPr>
                <w:b/>
                <w:bCs/>
                <w:lang w:val="es-ES"/>
              </w:rPr>
              <w:noBreakHyphen/>
              <w:t>R 1</w:t>
            </w:r>
            <w:r w:rsidRPr="003428EF">
              <w:rPr>
                <w:b/>
                <w:bCs/>
                <w:lang w:val="es-ES"/>
              </w:rPr>
              <w:noBreakHyphen/>
              <w:t>7 (Procedimiento para la adopción y aprobación simultánea por correspondencia)</w:t>
            </w:r>
          </w:p>
        </w:tc>
      </w:tr>
      <w:tr w:rsidR="00E53DCE" w:rsidRPr="00D86E6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86E6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86E6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86E6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470826" w:rsidRDefault="002E6646" w:rsidP="009E4570">
      <w:pPr>
        <w:rPr>
          <w:lang w:val="es-ES_tradnl"/>
        </w:rPr>
      </w:pPr>
      <w:r w:rsidRPr="00D00AD1">
        <w:rPr>
          <w:lang w:val="es-ES_tradnl"/>
        </w:rPr>
        <w:t xml:space="preserve">En la reunión de la Comisión de Estudio </w:t>
      </w:r>
      <w:r w:rsidR="009E4570">
        <w:rPr>
          <w:lang w:val="es-ES_tradnl"/>
        </w:rPr>
        <w:t>1</w:t>
      </w:r>
      <w:r w:rsidRPr="00D00AD1">
        <w:rPr>
          <w:lang w:val="es-ES_tradnl"/>
        </w:rPr>
        <w:t xml:space="preserve"> de Radiocomunicaciones celebrada del </w:t>
      </w:r>
      <w:r w:rsidR="009E4570">
        <w:rPr>
          <w:lang w:val="es-ES_tradnl"/>
        </w:rPr>
        <w:t>6 al 7 de junio de 2019</w:t>
      </w:r>
      <w:r w:rsidRPr="00D00AD1">
        <w:rPr>
          <w:lang w:val="es-ES_tradnl"/>
        </w:rPr>
        <w:t xml:space="preserve">, la Comisión de Estudio decidió solicitar la adopción de </w:t>
      </w:r>
      <w:r w:rsidR="009E4570">
        <w:rPr>
          <w:lang w:val="es-ES_tradnl"/>
        </w:rPr>
        <w:t>1</w:t>
      </w:r>
      <w:r w:rsidRPr="00D00AD1">
        <w:rPr>
          <w:lang w:val="es-ES_tradnl"/>
        </w:rPr>
        <w:t xml:space="preserve"> proyecto de nueva Recomendaci</w:t>
      </w:r>
      <w:r w:rsidR="009E4570">
        <w:rPr>
          <w:lang w:val="es-ES_tradnl"/>
        </w:rPr>
        <w:t>ón</w:t>
      </w:r>
      <w:r w:rsidRPr="00D00AD1">
        <w:rPr>
          <w:lang w:val="es-ES_tradnl"/>
        </w:rPr>
        <w:t xml:space="preserve"> UIT-R y de </w:t>
      </w:r>
      <w:r w:rsidR="009E4570">
        <w:rPr>
          <w:lang w:val="es-ES_tradnl"/>
        </w:rPr>
        <w:t>3</w:t>
      </w:r>
      <w:r w:rsidRPr="00D00AD1">
        <w:rPr>
          <w:lang w:val="es-ES_tradnl"/>
        </w:rPr>
        <w:t xml:space="preserve"> proyectos de Recomendaciones UIT-R revisadas por correspondencia (§ A2.6.2 de la Resolución UIT</w:t>
      </w:r>
      <w:r w:rsidRPr="00D00AD1">
        <w:rPr>
          <w:lang w:val="es-ES_tradnl"/>
        </w:rPr>
        <w:noBreakHyphen/>
        <w:t>R 1</w:t>
      </w:r>
      <w:r w:rsidRPr="00D00AD1">
        <w:rPr>
          <w:lang w:val="es-ES_tradnl"/>
        </w:rPr>
        <w:noBreakHyphen/>
        <w:t>7) y además decidió aplicar el procedimiento de adopción y aprobación simultáneas por correspondencia (PAAS</w:t>
      </w:r>
      <w:r w:rsidR="00470826">
        <w:rPr>
          <w:lang w:val="es-ES_tradnl"/>
        </w:rPr>
        <w:t xml:space="preserve">, </w:t>
      </w:r>
      <w:r w:rsidRPr="00D00AD1">
        <w:rPr>
          <w:lang w:val="es-ES_tradnl"/>
        </w:rPr>
        <w:t>§ A2.6.2.4 de la Resolución UIT</w:t>
      </w:r>
      <w:r w:rsidRPr="00D00AD1">
        <w:rPr>
          <w:lang w:val="es-ES_tradnl"/>
        </w:rPr>
        <w:noBreakHyphen/>
        <w:t>R 1</w:t>
      </w:r>
      <w:r w:rsidRPr="00D00AD1">
        <w:rPr>
          <w:lang w:val="es-ES_tradnl"/>
        </w:rPr>
        <w:noBreakHyphen/>
        <w:t xml:space="preserve">7). Los títulos y resúmenes de los proyectos de Recomendaciones aparecen en el Anexo a la presente </w:t>
      </w:r>
      <w:r w:rsidR="009E4570">
        <w:rPr>
          <w:lang w:val="es-ES_tradnl"/>
        </w:rPr>
        <w:t>c</w:t>
      </w:r>
      <w:r w:rsidR="00D51756" w:rsidRPr="00D00AD1">
        <w:rPr>
          <w:lang w:val="es-ES_tradnl"/>
        </w:rPr>
        <w:t>arta</w:t>
      </w:r>
      <w:r w:rsidRPr="00D00AD1">
        <w:rPr>
          <w:lang w:val="es-ES_tradnl"/>
        </w:rPr>
        <w:t>. Todo Estado Miembro que objete la adopción de un proyecto de Recomendación debe informar al Director y al Presidente de la Comisión de Estudio de los motivos de dicha objeción.</w:t>
      </w:r>
    </w:p>
    <w:p w:rsidR="002E6646" w:rsidRPr="00D00AD1" w:rsidRDefault="00CD1697" w:rsidP="009E4570">
      <w:pPr>
        <w:rPr>
          <w:lang w:val="es-ES_tradnl"/>
        </w:rPr>
      </w:pPr>
      <w:r w:rsidRPr="00CD1697">
        <w:rPr>
          <w:lang w:val="es-ES_tradnl"/>
        </w:rPr>
        <w:t>El periodo de consideración se extenderá durante 2 meses finalizando el</w:t>
      </w:r>
      <w:r>
        <w:rPr>
          <w:lang w:val="es-ES_tradnl"/>
        </w:rPr>
        <w:t xml:space="preserve"> </w:t>
      </w:r>
      <w:r w:rsidR="009E4570">
        <w:rPr>
          <w:u w:val="single"/>
          <w:lang w:val="es-ES_tradnl"/>
        </w:rPr>
        <w:t>21 de agosto de 2019</w:t>
      </w:r>
      <w:r>
        <w:rPr>
          <w:lang w:val="es-ES_tradnl"/>
        </w:rPr>
        <w:t xml:space="preserve">. </w:t>
      </w:r>
      <w:r w:rsidRPr="00CD1697">
        <w:rPr>
          <w:lang w:val="es-ES_tradnl"/>
        </w:rPr>
        <w:t>Si durante este periodo no se reciben objeciones de los Estados Miembros, se considerará</w:t>
      </w:r>
      <w:r>
        <w:rPr>
          <w:lang w:val="es-ES_tradnl"/>
        </w:rPr>
        <w:t>n</w:t>
      </w:r>
      <w:r w:rsidRPr="00CD1697">
        <w:rPr>
          <w:lang w:val="es-ES_tradnl"/>
        </w:rPr>
        <w:t xml:space="preserve"> </w:t>
      </w:r>
      <w:r>
        <w:rPr>
          <w:lang w:val="es-ES_tradnl"/>
        </w:rPr>
        <w:t>adoptados</w:t>
      </w:r>
      <w:r w:rsidRPr="00CD1697">
        <w:rPr>
          <w:lang w:val="es-ES_tradnl"/>
        </w:rPr>
        <w:t xml:space="preserve"> los proyectos de Recomendación por la Comisión de Estudio </w:t>
      </w:r>
      <w:r w:rsidR="009E4570">
        <w:rPr>
          <w:lang w:val="es-ES_tradnl"/>
        </w:rPr>
        <w:t>1</w:t>
      </w:r>
      <w:r w:rsidRPr="00CD1697">
        <w:rPr>
          <w:lang w:val="es-ES_tradnl"/>
        </w:rPr>
        <w:t xml:space="preserve">. Además, </w:t>
      </w:r>
      <w:r>
        <w:rPr>
          <w:lang w:val="es-ES_tradnl"/>
        </w:rPr>
        <w:t xml:space="preserve">dado que </w:t>
      </w:r>
      <w:r w:rsidRPr="00CD1697">
        <w:rPr>
          <w:lang w:val="es-ES_tradnl"/>
        </w:rPr>
        <w:t xml:space="preserve">se ha seguido el </w:t>
      </w:r>
      <w:r>
        <w:rPr>
          <w:lang w:val="es-ES_tradnl"/>
        </w:rPr>
        <w:t xml:space="preserve">procedimiento de </w:t>
      </w:r>
      <w:r w:rsidRPr="00CD1697">
        <w:rPr>
          <w:lang w:val="es-ES_tradnl"/>
        </w:rPr>
        <w:t>PAAS, los proyectos de Recomendaci</w:t>
      </w:r>
      <w:r w:rsidR="009E4570">
        <w:rPr>
          <w:lang w:val="es-ES_tradnl"/>
        </w:rPr>
        <w:t>ones</w:t>
      </w:r>
      <w:r w:rsidRPr="00CD1697">
        <w:rPr>
          <w:lang w:val="es-ES_tradnl"/>
        </w:rPr>
        <w:t xml:space="preserve"> también se considerarán aprobados.</w:t>
      </w:r>
    </w:p>
    <w:p w:rsidR="002E6646" w:rsidRPr="00D00AD1" w:rsidRDefault="002E6646" w:rsidP="009E4570">
      <w:pPr>
        <w:rPr>
          <w:lang w:val="es-ES_tradnl"/>
        </w:rPr>
      </w:pPr>
      <w:r w:rsidRPr="00D00AD1">
        <w:rPr>
          <w:lang w:val="es-ES_tradnl"/>
        </w:rPr>
        <w:t xml:space="preserve">Tras la fecha límite mencionada, los resultados </w:t>
      </w:r>
      <w:r w:rsidR="00D45A40">
        <w:rPr>
          <w:lang w:val="es-ES_tradnl"/>
        </w:rPr>
        <w:t xml:space="preserve">de </w:t>
      </w:r>
      <w:r w:rsidR="004B6204">
        <w:rPr>
          <w:lang w:val="es-ES_tradnl"/>
        </w:rPr>
        <w:t>los procedimientos arriba citados</w:t>
      </w:r>
      <w:r w:rsidRPr="00D00AD1">
        <w:rPr>
          <w:lang w:val="es-ES_tradnl"/>
        </w:rPr>
        <w:t xml:space="preserve"> se comunicarán mediante Circular Administrativa y se publicarán las Recomendaci</w:t>
      </w:r>
      <w:r w:rsidR="009E4570">
        <w:rPr>
          <w:lang w:val="es-ES_tradnl"/>
        </w:rPr>
        <w:t>ones</w:t>
      </w:r>
      <w:r w:rsidRPr="00D00AD1">
        <w:rPr>
          <w:lang w:val="es-ES_tradnl"/>
        </w:rPr>
        <w:t xml:space="preserve"> aprobadas tan pronto como sea posible (véase </w:t>
      </w:r>
      <w:hyperlink r:id="rId8" w:history="1">
        <w:r w:rsidRPr="00D00AD1">
          <w:rPr>
            <w:color w:val="0000FF"/>
            <w:u w:val="single"/>
            <w:lang w:val="es-ES_tradnl"/>
          </w:rPr>
          <w:t>http://www.itu.int/pub/R-REC</w:t>
        </w:r>
      </w:hyperlink>
      <w:r w:rsidRPr="00D00AD1">
        <w:rPr>
          <w:lang w:val="es-ES_tradnl"/>
        </w:rPr>
        <w:t>).</w:t>
      </w:r>
    </w:p>
    <w:p w:rsidR="009E4570" w:rsidRDefault="009E457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6A124F" w:rsidRDefault="002E6646" w:rsidP="002E6646">
      <w:pPr>
        <w:keepLines/>
        <w:rPr>
          <w:lang w:val="es-ES_tradnl"/>
        </w:rPr>
      </w:pPr>
      <w:r w:rsidRPr="00D00AD1">
        <w:rPr>
          <w:lang w:val="es-ES_tradnl"/>
        </w:rPr>
        <w:lastRenderedPageBreak/>
        <w:t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UIT-T/UIT-R/ISO/CEI puede consultarse en</w:t>
      </w:r>
      <w:r w:rsidR="006A124F">
        <w:rPr>
          <w:lang w:val="es-ES_tradnl"/>
        </w:rPr>
        <w:t xml:space="preserve"> </w:t>
      </w:r>
      <w:r w:rsidR="00D86E65">
        <w:fldChar w:fldCharType="begin"/>
      </w:r>
      <w:r w:rsidR="00D86E65" w:rsidRPr="00D86E65">
        <w:rPr>
          <w:lang w:val="es-ES"/>
        </w:rPr>
        <w:instrText xml:space="preserve"> HYPERLINK "http://www.itu.int/en/ITU-T/ipr/Pages/policy.aspx" </w:instrText>
      </w:r>
      <w:r w:rsidR="00D86E65">
        <w:fldChar w:fldCharType="separate"/>
      </w:r>
      <w:r w:rsidR="006A124F" w:rsidRPr="006A124F">
        <w:rPr>
          <w:rStyle w:val="Hyperlink"/>
          <w:lang w:val="es-ES_tradnl"/>
        </w:rPr>
        <w:t>http://www.itu.int/en/ITU-T/ipr/Pages/policy.aspx</w:t>
      </w:r>
      <w:r w:rsidR="00D86E65">
        <w:rPr>
          <w:rStyle w:val="Hyperlink"/>
          <w:lang w:val="es-ES_tradnl"/>
        </w:rPr>
        <w:fldChar w:fldCharType="end"/>
      </w:r>
      <w:r w:rsidR="006A124F">
        <w:rPr>
          <w:lang w:val="es-ES_tradnl"/>
        </w:rPr>
        <w:t>.</w:t>
      </w:r>
    </w:p>
    <w:p w:rsidR="002E6646" w:rsidRPr="0062522E" w:rsidRDefault="00320724" w:rsidP="009F1A2F">
      <w:pPr>
        <w:spacing w:before="1440" w:line="240" w:lineRule="auto"/>
        <w:jc w:val="left"/>
        <w:rPr>
          <w:szCs w:val="24"/>
          <w:lang w:val="es-ES_tradnl"/>
        </w:rPr>
      </w:pPr>
      <w:r w:rsidRPr="009E4570">
        <w:rPr>
          <w:szCs w:val="24"/>
          <w:lang w:val="es-ES"/>
        </w:rPr>
        <w:t xml:space="preserve">Mario </w:t>
      </w:r>
      <w:proofErr w:type="spellStart"/>
      <w:r w:rsidRPr="009E4570">
        <w:rPr>
          <w:szCs w:val="24"/>
          <w:lang w:val="es-ES"/>
        </w:rPr>
        <w:t>Maniewicz</w:t>
      </w:r>
      <w:proofErr w:type="spellEnd"/>
      <w:r w:rsidR="0062522E" w:rsidRPr="0012191D">
        <w:rPr>
          <w:szCs w:val="24"/>
          <w:lang w:val="es-ES_tradnl"/>
        </w:rPr>
        <w:br/>
      </w:r>
      <w:r w:rsidR="002E6646" w:rsidRPr="0062522E">
        <w:rPr>
          <w:szCs w:val="24"/>
          <w:lang w:val="es-ES_tradnl"/>
        </w:rPr>
        <w:t>Director</w:t>
      </w:r>
    </w:p>
    <w:p w:rsidR="009E4570" w:rsidRDefault="002E6646" w:rsidP="009E4570">
      <w:pPr>
        <w:spacing w:before="1560"/>
        <w:rPr>
          <w:lang w:val="es-ES_tradnl"/>
        </w:rPr>
      </w:pPr>
      <w:r w:rsidRPr="00D00AD1">
        <w:rPr>
          <w:b/>
          <w:bCs/>
          <w:lang w:val="es-ES_tradnl"/>
        </w:rPr>
        <w:t>Anexo:</w:t>
      </w:r>
      <w:r w:rsidRPr="00D00AD1">
        <w:rPr>
          <w:lang w:val="es-ES_tradnl"/>
        </w:rPr>
        <w:t xml:space="preserve"> </w:t>
      </w:r>
      <w:r w:rsidR="001F1D56">
        <w:rPr>
          <w:lang w:val="es-ES_tradnl"/>
        </w:rPr>
        <w:tab/>
      </w:r>
      <w:r w:rsidRPr="00D00AD1">
        <w:rPr>
          <w:lang w:val="es-ES_tradnl"/>
        </w:rPr>
        <w:t>Títulos y res</w:t>
      </w:r>
      <w:r w:rsidR="009E4570">
        <w:rPr>
          <w:lang w:val="es-ES_tradnl"/>
        </w:rPr>
        <w:t>ú</w:t>
      </w:r>
      <w:r w:rsidRPr="00D00AD1">
        <w:rPr>
          <w:lang w:val="es-ES_tradnl"/>
        </w:rPr>
        <w:t>menes de los proyectos de Recomendaci</w:t>
      </w:r>
      <w:r w:rsidR="009E4570">
        <w:rPr>
          <w:lang w:val="es-ES_tradnl"/>
        </w:rPr>
        <w:t>ones</w:t>
      </w:r>
    </w:p>
    <w:p w:rsidR="002E6646" w:rsidRPr="00D00AD1" w:rsidRDefault="002E6646" w:rsidP="009E4570">
      <w:pPr>
        <w:spacing w:before="1080"/>
        <w:rPr>
          <w:lang w:val="es-ES_tradnl"/>
        </w:rPr>
      </w:pPr>
      <w:r w:rsidRPr="00D00AD1">
        <w:rPr>
          <w:b/>
          <w:bCs/>
          <w:lang w:val="es-ES_tradnl"/>
        </w:rPr>
        <w:t>Documentos:</w:t>
      </w:r>
      <w:r w:rsidRPr="00D00AD1">
        <w:rPr>
          <w:lang w:val="es-ES_tradnl"/>
        </w:rPr>
        <w:t xml:space="preserve"> </w:t>
      </w:r>
      <w:r w:rsidR="001F1D56">
        <w:rPr>
          <w:lang w:val="es-ES_tradnl"/>
        </w:rPr>
        <w:tab/>
      </w:r>
      <w:r w:rsidRPr="00D00AD1">
        <w:rPr>
          <w:lang w:val="es-ES_tradnl"/>
        </w:rPr>
        <w:t>Documento</w:t>
      </w:r>
      <w:r w:rsidR="009E4570">
        <w:rPr>
          <w:lang w:val="es-ES_tradnl"/>
        </w:rPr>
        <w:t>s</w:t>
      </w:r>
      <w:r w:rsidRPr="00D00AD1">
        <w:rPr>
          <w:lang w:val="es-ES_tradnl"/>
        </w:rPr>
        <w:t xml:space="preserve"> </w:t>
      </w:r>
      <w:r w:rsidR="00D86E65">
        <w:fldChar w:fldCharType="begin"/>
      </w:r>
      <w:r w:rsidR="00D86E65" w:rsidRPr="00D86E65">
        <w:rPr>
          <w:lang w:val="es-ES"/>
        </w:rPr>
        <w:instrText xml:space="preserve"> HYP</w:instrText>
      </w:r>
      <w:r w:rsidR="00D86E65" w:rsidRPr="00D86E65">
        <w:rPr>
          <w:lang w:val="es-ES"/>
        </w:rPr>
        <w:instrText xml:space="preserve">ERLINK "https://www.itu.int/md/R15-SG01-C-0206/en" </w:instrText>
      </w:r>
      <w:r w:rsidR="00D86E65">
        <w:fldChar w:fldCharType="separate"/>
      </w:r>
      <w:r w:rsidR="009E4570" w:rsidRPr="009E4570">
        <w:rPr>
          <w:rStyle w:val="Hyperlink"/>
          <w:szCs w:val="24"/>
          <w:lang w:val="es-ES"/>
        </w:rPr>
        <w:t>1/206(Rev.1)</w:t>
      </w:r>
      <w:r w:rsidR="00D86E65">
        <w:rPr>
          <w:rStyle w:val="Hyperlink"/>
          <w:szCs w:val="24"/>
          <w:lang w:val="es-ES"/>
        </w:rPr>
        <w:fldChar w:fldCharType="end"/>
      </w:r>
      <w:r w:rsidR="009E4570" w:rsidRPr="009E4570">
        <w:rPr>
          <w:szCs w:val="24"/>
          <w:lang w:val="es-ES"/>
        </w:rPr>
        <w:t xml:space="preserve">, </w:t>
      </w:r>
      <w:r w:rsidR="00D86E65">
        <w:fldChar w:fldCharType="begin"/>
      </w:r>
      <w:r w:rsidR="00D86E65" w:rsidRPr="00D86E65">
        <w:rPr>
          <w:lang w:val="es-ES"/>
        </w:rPr>
        <w:instrText xml:space="preserve"> HYPERLINK "https://www.itu.int/md/R15-SG01-C-0208/en" </w:instrText>
      </w:r>
      <w:r w:rsidR="00D86E65">
        <w:fldChar w:fldCharType="separate"/>
      </w:r>
      <w:r w:rsidR="009E4570" w:rsidRPr="009E4570">
        <w:rPr>
          <w:rStyle w:val="Hyperlink"/>
          <w:szCs w:val="24"/>
          <w:lang w:val="es-ES"/>
        </w:rPr>
        <w:t>1/208(Rev.1)</w:t>
      </w:r>
      <w:r w:rsidR="00D86E65">
        <w:rPr>
          <w:rStyle w:val="Hyperlink"/>
          <w:szCs w:val="24"/>
          <w:lang w:val="es-ES"/>
        </w:rPr>
        <w:fldChar w:fldCharType="end"/>
      </w:r>
      <w:r w:rsidR="009E4570" w:rsidRPr="009E4570">
        <w:rPr>
          <w:szCs w:val="24"/>
          <w:lang w:val="es-ES"/>
        </w:rPr>
        <w:t xml:space="preserve">, </w:t>
      </w:r>
      <w:r w:rsidR="00D86E65">
        <w:fldChar w:fldCharType="begin"/>
      </w:r>
      <w:r w:rsidR="00D86E65" w:rsidRPr="00D86E65">
        <w:rPr>
          <w:lang w:val="es-ES"/>
        </w:rPr>
        <w:instrText xml:space="preserve"> HYPERLINK "https://www.itu.int/md/R15-SG01-C-0212/en" </w:instrText>
      </w:r>
      <w:r w:rsidR="00D86E65">
        <w:fldChar w:fldCharType="separate"/>
      </w:r>
      <w:r w:rsidR="009E4570" w:rsidRPr="009E4570">
        <w:rPr>
          <w:rStyle w:val="Hyperlink"/>
          <w:szCs w:val="24"/>
          <w:lang w:val="es-ES"/>
        </w:rPr>
        <w:t>1/212(Rev.1)</w:t>
      </w:r>
      <w:r w:rsidR="00D86E65">
        <w:rPr>
          <w:rStyle w:val="Hyperlink"/>
          <w:szCs w:val="24"/>
          <w:lang w:val="es-ES"/>
        </w:rPr>
        <w:fldChar w:fldCharType="end"/>
      </w:r>
      <w:r w:rsidR="009E4570" w:rsidRPr="009E4570">
        <w:rPr>
          <w:szCs w:val="24"/>
          <w:lang w:val="es-ES"/>
        </w:rPr>
        <w:t xml:space="preserve">, </w:t>
      </w:r>
      <w:r w:rsidR="00D86E65">
        <w:fldChar w:fldCharType="begin"/>
      </w:r>
      <w:r w:rsidR="00D86E65" w:rsidRPr="00D86E65">
        <w:rPr>
          <w:lang w:val="es-ES"/>
        </w:rPr>
        <w:instrText xml:space="preserve"> HYPERLINK "https://www.itu.int/md/R15-SG01-C-0216/en" </w:instrText>
      </w:r>
      <w:r w:rsidR="00D86E65">
        <w:fldChar w:fldCharType="separate"/>
      </w:r>
      <w:r w:rsidR="009E4570" w:rsidRPr="009E4570">
        <w:rPr>
          <w:rStyle w:val="Hyperlink"/>
          <w:szCs w:val="24"/>
          <w:lang w:val="es-ES"/>
        </w:rPr>
        <w:t>1/216(Rev.1)</w:t>
      </w:r>
      <w:r w:rsidR="00D86E65">
        <w:rPr>
          <w:rStyle w:val="Hyperlink"/>
          <w:szCs w:val="24"/>
          <w:lang w:val="es-ES"/>
        </w:rPr>
        <w:fldChar w:fldCharType="end"/>
      </w:r>
    </w:p>
    <w:p w:rsidR="009E4570" w:rsidRPr="00D00AD1" w:rsidRDefault="002E6646" w:rsidP="009E4570">
      <w:pPr>
        <w:jc w:val="left"/>
        <w:rPr>
          <w:lang w:val="es-ES_tradnl"/>
        </w:rPr>
      </w:pPr>
      <w:r w:rsidRPr="00D00AD1">
        <w:rPr>
          <w:lang w:val="es-ES_tradnl"/>
        </w:rPr>
        <w:t>Dichos documentos están disponibles en formato electrónico en la dirección:</w:t>
      </w:r>
      <w:r w:rsidR="009E4570">
        <w:rPr>
          <w:lang w:val="es-ES_tradnl"/>
        </w:rPr>
        <w:br/>
      </w:r>
      <w:r w:rsidR="00D86E65">
        <w:fldChar w:fldCharType="begin"/>
      </w:r>
      <w:r w:rsidR="00D86E65" w:rsidRPr="00D86E65">
        <w:rPr>
          <w:lang w:val="es-ES"/>
        </w:rPr>
        <w:instrText xml:space="preserve"> HYPERLINK "https://www.itu.int/md/R15-SG01-C/en" </w:instrText>
      </w:r>
      <w:r w:rsidR="00D86E65">
        <w:fldChar w:fldCharType="separate"/>
      </w:r>
      <w:r w:rsidR="009E4570" w:rsidRPr="009E4570">
        <w:rPr>
          <w:rStyle w:val="Hyperlink"/>
          <w:szCs w:val="24"/>
          <w:lang w:val="es-ES_tradnl"/>
        </w:rPr>
        <w:t>https://www.itu.int/md/R15-SG01-C/en</w:t>
      </w:r>
      <w:r w:rsidR="00D86E65">
        <w:rPr>
          <w:rStyle w:val="Hyperlink"/>
          <w:szCs w:val="24"/>
          <w:lang w:val="es-ES_tradnl"/>
        </w:rPr>
        <w:fldChar w:fldCharType="end"/>
      </w:r>
    </w:p>
    <w:p w:rsidR="002E6646" w:rsidRPr="00D00AD1" w:rsidRDefault="002E6646" w:rsidP="00654557">
      <w:pPr>
        <w:tabs>
          <w:tab w:val="left" w:pos="284"/>
          <w:tab w:val="left" w:pos="568"/>
        </w:tabs>
        <w:spacing w:before="4800" w:after="40"/>
        <w:rPr>
          <w:b/>
          <w:bCs/>
          <w:sz w:val="18"/>
          <w:szCs w:val="18"/>
          <w:lang w:val="es-ES_tradnl"/>
        </w:rPr>
      </w:pPr>
      <w:r w:rsidRPr="00D00AD1">
        <w:rPr>
          <w:b/>
          <w:bCs/>
          <w:sz w:val="18"/>
          <w:szCs w:val="18"/>
          <w:lang w:val="es-ES_tradnl"/>
        </w:rPr>
        <w:t>Distribución:</w:t>
      </w:r>
    </w:p>
    <w:p w:rsidR="002E6646" w:rsidRPr="00D00AD1" w:rsidRDefault="002E6646" w:rsidP="0065455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Administraciones de los Estados </w:t>
      </w:r>
      <w:r w:rsidR="00421D59">
        <w:rPr>
          <w:sz w:val="18"/>
          <w:szCs w:val="18"/>
          <w:lang w:val="es-ES_tradnl"/>
        </w:rPr>
        <w:t xml:space="preserve">Miembros de la UIT y </w:t>
      </w:r>
      <w:r w:rsidRPr="00D00AD1">
        <w:rPr>
          <w:sz w:val="18"/>
          <w:szCs w:val="18"/>
          <w:lang w:val="es-ES_tradnl"/>
        </w:rPr>
        <w:t xml:space="preserve">Miembros del Sector de Radiocomunicaciones que participan en los trabajos de la Comisión de Estudio </w:t>
      </w:r>
      <w:r w:rsidR="00654557">
        <w:rPr>
          <w:sz w:val="18"/>
          <w:szCs w:val="18"/>
          <w:lang w:val="es-ES_tradnl"/>
        </w:rPr>
        <w:t>1</w:t>
      </w:r>
      <w:r w:rsidRPr="00D00AD1">
        <w:rPr>
          <w:sz w:val="18"/>
          <w:szCs w:val="18"/>
          <w:lang w:val="es-ES_tradnl"/>
        </w:rPr>
        <w:t xml:space="preserve"> de Radiocomunicaciones</w:t>
      </w:r>
    </w:p>
    <w:p w:rsidR="002E6646" w:rsidRPr="00D00AD1" w:rsidRDefault="002E6646" w:rsidP="0065455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654557">
        <w:rPr>
          <w:sz w:val="18"/>
          <w:szCs w:val="18"/>
          <w:lang w:val="es-ES_tradnl"/>
        </w:rPr>
        <w:t>1</w:t>
      </w:r>
      <w:r w:rsidRPr="00D00AD1">
        <w:rPr>
          <w:sz w:val="18"/>
          <w:szCs w:val="18"/>
          <w:lang w:val="es-ES_tradnl"/>
        </w:rPr>
        <w:t xml:space="preserve"> de Radiocomunicaciones</w:t>
      </w:r>
    </w:p>
    <w:p w:rsidR="002E6646" w:rsidRPr="00D00AD1" w:rsidRDefault="002E6646" w:rsidP="002E664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Instituciones Académicas de la UIT</w:t>
      </w:r>
    </w:p>
    <w:p w:rsidR="002E6646" w:rsidRPr="00D00AD1" w:rsidRDefault="002E6646" w:rsidP="004B6204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2E6646" w:rsidRPr="00D00AD1" w:rsidRDefault="002E6646" w:rsidP="002E664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2E6646" w:rsidRPr="00D00AD1" w:rsidRDefault="002E6646" w:rsidP="002E664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Miembros de la Junta del Reglamento de Radiocomunicaciones</w:t>
      </w:r>
    </w:p>
    <w:p w:rsidR="0051672E" w:rsidRPr="00D00AD1" w:rsidRDefault="002E6646" w:rsidP="009F1A2F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  <w:r w:rsidR="00623AE3">
        <w:rPr>
          <w:sz w:val="18"/>
          <w:szCs w:val="18"/>
          <w:lang w:val="es-ES_tradnl"/>
        </w:rPr>
        <w:br w:type="page"/>
      </w:r>
    </w:p>
    <w:p w:rsidR="002E6646" w:rsidRPr="00246179" w:rsidRDefault="00D86E65" w:rsidP="00654557">
      <w:pPr>
        <w:pStyle w:val="AnnexNotitle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Anexo</w:t>
      </w:r>
      <w:bookmarkStart w:id="0" w:name="_GoBack"/>
      <w:bookmarkEnd w:id="0"/>
      <w:r w:rsidR="00623AE3" w:rsidRPr="00246179">
        <w:rPr>
          <w:rFonts w:asciiTheme="minorHAnsi" w:hAnsiTheme="minorHAnsi"/>
        </w:rPr>
        <w:br/>
      </w:r>
      <w:r w:rsidR="00623AE3" w:rsidRPr="00246179">
        <w:rPr>
          <w:rFonts w:asciiTheme="minorHAnsi" w:hAnsiTheme="minorHAnsi"/>
        </w:rPr>
        <w:br/>
      </w:r>
      <w:r w:rsidR="001E212A" w:rsidRPr="00246179">
        <w:rPr>
          <w:rFonts w:asciiTheme="minorHAnsi" w:hAnsiTheme="minorHAnsi"/>
        </w:rPr>
        <w:t>Título</w:t>
      </w:r>
      <w:r w:rsidR="00654557">
        <w:rPr>
          <w:rFonts w:asciiTheme="minorHAnsi" w:hAnsiTheme="minorHAnsi"/>
        </w:rPr>
        <w:t>s y resú</w:t>
      </w:r>
      <w:r w:rsidR="002E6646" w:rsidRPr="00246179">
        <w:rPr>
          <w:rFonts w:asciiTheme="minorHAnsi" w:hAnsiTheme="minorHAnsi"/>
        </w:rPr>
        <w:t>menes de los proyectos de Recomendación</w:t>
      </w:r>
    </w:p>
    <w:p w:rsidR="00000DAB" w:rsidRPr="004D636B" w:rsidRDefault="00000DAB" w:rsidP="00000DAB">
      <w:pPr>
        <w:tabs>
          <w:tab w:val="right" w:pos="9639"/>
        </w:tabs>
        <w:spacing w:before="600" w:line="240" w:lineRule="auto"/>
        <w:rPr>
          <w:rFonts w:asciiTheme="minorHAnsi" w:hAnsiTheme="minorHAnsi" w:cstheme="minorHAnsi"/>
          <w:szCs w:val="24"/>
          <w:lang w:val="es-ES_tradnl"/>
        </w:rPr>
      </w:pPr>
      <w:r w:rsidRPr="004D636B">
        <w:rPr>
          <w:rFonts w:eastAsia="SimSun"/>
          <w:szCs w:val="24"/>
          <w:u w:val="single"/>
          <w:lang w:val="es-ES_tradnl" w:eastAsia="zh-CN"/>
        </w:rPr>
        <w:t xml:space="preserve">Proyecto de nueva </w:t>
      </w:r>
      <w:r w:rsidRPr="004D636B">
        <w:rPr>
          <w:rFonts w:asciiTheme="minorHAnsi" w:hAnsiTheme="minorHAnsi" w:cstheme="minorHAnsi"/>
          <w:szCs w:val="24"/>
          <w:u w:val="single"/>
          <w:lang w:val="es-ES_tradnl"/>
        </w:rPr>
        <w:t>Recomendación</w:t>
      </w:r>
      <w:r w:rsidRPr="004D636B">
        <w:rPr>
          <w:rFonts w:eastAsia="SimSun"/>
          <w:szCs w:val="24"/>
          <w:u w:val="single"/>
          <w:lang w:val="es-ES_tradnl" w:eastAsia="zh-CN"/>
        </w:rPr>
        <w:t xml:space="preserve"> UIT-R </w:t>
      </w:r>
      <w:proofErr w:type="gramStart"/>
      <w:r w:rsidRPr="004D636B">
        <w:rPr>
          <w:rFonts w:eastAsia="SimSun"/>
          <w:szCs w:val="24"/>
          <w:u w:val="single"/>
          <w:lang w:val="es-ES_tradnl" w:eastAsia="zh-CN"/>
        </w:rPr>
        <w:t>SM.[</w:t>
      </w:r>
      <w:proofErr w:type="gramEnd"/>
      <w:r w:rsidRPr="004D636B">
        <w:rPr>
          <w:rFonts w:eastAsia="SimSun"/>
          <w:szCs w:val="24"/>
          <w:u w:val="single"/>
          <w:lang w:val="es-ES_tradnl" w:eastAsia="zh-CN"/>
        </w:rPr>
        <w:t>WPT_MOBILE]</w:t>
      </w:r>
      <w:r w:rsidRPr="004D636B">
        <w:rPr>
          <w:rFonts w:eastAsia="SimSun"/>
          <w:szCs w:val="24"/>
          <w:lang w:val="es-ES_tradnl" w:eastAsia="zh-CN"/>
        </w:rPr>
        <w:tab/>
      </w:r>
      <w:r w:rsidRPr="004D636B">
        <w:rPr>
          <w:rFonts w:asciiTheme="minorHAnsi" w:hAnsiTheme="minorHAnsi" w:cstheme="minorHAnsi"/>
          <w:szCs w:val="24"/>
          <w:lang w:val="es-ES_tradnl"/>
        </w:rPr>
        <w:t xml:space="preserve">Doc. </w:t>
      </w:r>
      <w:r w:rsidRPr="00D92F48">
        <w:rPr>
          <w:rFonts w:asciiTheme="minorHAnsi" w:hAnsiTheme="minorHAnsi" w:cstheme="minorHAnsi"/>
          <w:szCs w:val="24"/>
          <w:lang w:val="es-ES_tradnl"/>
        </w:rPr>
        <w:t>1/216(Rev.1)</w:t>
      </w:r>
    </w:p>
    <w:p w:rsidR="00000DAB" w:rsidRPr="004D636B" w:rsidRDefault="00000DAB" w:rsidP="00000DAB">
      <w:pPr>
        <w:pStyle w:val="Rectitle"/>
        <w:rPr>
          <w:lang w:val="es-ES_tradnl"/>
        </w:rPr>
      </w:pPr>
      <w:r w:rsidRPr="004D636B">
        <w:rPr>
          <w:lang w:val="es-ES_tradnl"/>
        </w:rPr>
        <w:t>Orientaciones sobre las gamas de frecuencias para la explotación de</w:t>
      </w:r>
      <w:r w:rsidRPr="004D636B">
        <w:rPr>
          <w:lang w:val="es-ES_tradnl"/>
        </w:rPr>
        <w:br/>
        <w:t>sistemas de transmisión inalámbrica de potencia sin haces</w:t>
      </w:r>
      <w:r w:rsidRPr="004D636B">
        <w:rPr>
          <w:lang w:val="es-ES_tradnl"/>
        </w:rPr>
        <w:br/>
        <w:t>radioeléctricos para dispositivos móviles y portátiles</w:t>
      </w:r>
    </w:p>
    <w:p w:rsidR="00000DAB" w:rsidRPr="004D636B" w:rsidRDefault="00000DAB" w:rsidP="00000DAB">
      <w:pPr>
        <w:pStyle w:val="Normalaftertitle"/>
        <w:rPr>
          <w:lang w:val="es-ES_tradnl"/>
        </w:rPr>
      </w:pPr>
      <w:r w:rsidRPr="004D636B">
        <w:rPr>
          <w:rFonts w:eastAsia="SimSun"/>
          <w:lang w:val="es-ES_tradnl" w:eastAsia="zh-CN"/>
        </w:rPr>
        <w:t>En esta Recomendación se facilitan directrices para el uso de gamas de frecuencias para la explotación de sistemas de transmisión inalámbrica de potencia (TIP) para la carga de dispositivos móviles y portátiles.</w:t>
      </w:r>
    </w:p>
    <w:p w:rsidR="00000DAB" w:rsidRPr="004D636B" w:rsidRDefault="00000DAB" w:rsidP="00000DAB">
      <w:pPr>
        <w:tabs>
          <w:tab w:val="right" w:pos="9639"/>
        </w:tabs>
        <w:spacing w:before="600" w:line="240" w:lineRule="auto"/>
        <w:rPr>
          <w:rFonts w:asciiTheme="minorHAnsi" w:hAnsiTheme="minorHAnsi" w:cstheme="minorHAnsi"/>
          <w:szCs w:val="24"/>
          <w:lang w:val="es-ES_tradnl"/>
        </w:rPr>
      </w:pPr>
      <w:r w:rsidRPr="004D636B">
        <w:rPr>
          <w:rFonts w:eastAsia="SimSun"/>
          <w:szCs w:val="24"/>
          <w:u w:val="single"/>
          <w:lang w:val="es-ES_tradnl" w:eastAsia="zh-CN"/>
        </w:rPr>
        <w:t xml:space="preserve">Proyecto de revisión de la </w:t>
      </w:r>
      <w:r w:rsidRPr="004D636B">
        <w:rPr>
          <w:rFonts w:asciiTheme="minorHAnsi" w:hAnsiTheme="minorHAnsi" w:cstheme="minorHAnsi"/>
          <w:szCs w:val="24"/>
          <w:u w:val="single"/>
          <w:lang w:val="es-ES_tradnl"/>
        </w:rPr>
        <w:t>Recomendación</w:t>
      </w:r>
      <w:r w:rsidRPr="004D636B">
        <w:rPr>
          <w:rFonts w:eastAsia="SimSun"/>
          <w:szCs w:val="24"/>
          <w:u w:val="single"/>
          <w:lang w:val="es-ES_tradnl" w:eastAsia="zh-CN"/>
        </w:rPr>
        <w:t xml:space="preserve"> UIT-R SM.1268-4</w:t>
      </w:r>
      <w:r w:rsidRPr="004D636B">
        <w:rPr>
          <w:rFonts w:eastAsia="SimSun"/>
          <w:szCs w:val="24"/>
          <w:lang w:val="es-ES_tradnl" w:eastAsia="zh-CN"/>
        </w:rPr>
        <w:tab/>
      </w:r>
      <w:r w:rsidRPr="004D636B">
        <w:rPr>
          <w:rFonts w:asciiTheme="minorHAnsi" w:hAnsiTheme="minorHAnsi" w:cstheme="minorHAnsi"/>
          <w:szCs w:val="24"/>
          <w:lang w:val="es-ES_tradnl"/>
        </w:rPr>
        <w:t xml:space="preserve">Doc. </w:t>
      </w:r>
      <w:r w:rsidRPr="00D92F48">
        <w:rPr>
          <w:rFonts w:asciiTheme="minorHAnsi" w:hAnsiTheme="minorHAnsi" w:cstheme="minorHAnsi"/>
          <w:szCs w:val="24"/>
          <w:lang w:val="es-ES_tradnl"/>
        </w:rPr>
        <w:t>1/206(Rev.1)</w:t>
      </w:r>
    </w:p>
    <w:p w:rsidR="00000DAB" w:rsidRPr="004D636B" w:rsidRDefault="00000DAB" w:rsidP="00000DAB">
      <w:pPr>
        <w:pStyle w:val="Rectitle"/>
        <w:rPr>
          <w:lang w:val="es-ES_tradnl"/>
        </w:rPr>
      </w:pPr>
      <w:r w:rsidRPr="004D636B">
        <w:rPr>
          <w:lang w:val="es-ES_tradnl"/>
        </w:rPr>
        <w:t>Método de medición de la máxima desviación de frecuencia de las</w:t>
      </w:r>
      <w:r w:rsidRPr="004D636B">
        <w:rPr>
          <w:lang w:val="es-ES_tradnl"/>
        </w:rPr>
        <w:br/>
        <w:t>emisiones de radiodifusión en frecuencia modulada (FM) a</w:t>
      </w:r>
      <w:r w:rsidRPr="004D636B">
        <w:rPr>
          <w:lang w:val="es-ES_tradnl"/>
        </w:rPr>
        <w:br/>
        <w:t>utilizar en las estaciones de comprobación técnica</w:t>
      </w:r>
    </w:p>
    <w:p w:rsidR="00000DAB" w:rsidRPr="004D636B" w:rsidRDefault="00000DAB" w:rsidP="00000DAB">
      <w:pPr>
        <w:pStyle w:val="Normalaftertitle"/>
        <w:rPr>
          <w:rFonts w:asciiTheme="minorHAnsi" w:hAnsiTheme="minorHAnsi" w:cstheme="minorHAnsi"/>
          <w:szCs w:val="20"/>
          <w:lang w:val="es-ES_tradnl"/>
        </w:rPr>
      </w:pPr>
      <w:r w:rsidRPr="004D636B">
        <w:rPr>
          <w:rFonts w:eastAsia="SimSun"/>
          <w:lang w:val="es-ES_tradnl" w:eastAsia="zh-CN"/>
        </w:rPr>
        <w:t xml:space="preserve">En esta propuesta de revisión de la Recomendación UIT-R SM.1268-4 se especifican más detalladamente los métodos de evaluación de la reflexión en el punto de medición, lo que era necesario para armonizar los resultados conseguidos con los más recientes </w:t>
      </w:r>
      <w:proofErr w:type="spellStart"/>
      <w:r w:rsidRPr="004D636B">
        <w:rPr>
          <w:rFonts w:eastAsia="SimSun"/>
          <w:lang w:val="es-ES_tradnl" w:eastAsia="zh-CN"/>
        </w:rPr>
        <w:t>reflectómetros</w:t>
      </w:r>
      <w:proofErr w:type="spellEnd"/>
      <w:r w:rsidRPr="004D636B">
        <w:rPr>
          <w:rFonts w:eastAsia="SimSun"/>
          <w:lang w:val="es-ES_tradnl" w:eastAsia="zh-CN"/>
        </w:rPr>
        <w:t xml:space="preserve"> digitales con los resultados obtenidos con los </w:t>
      </w:r>
      <w:proofErr w:type="spellStart"/>
      <w:r w:rsidRPr="004D636B">
        <w:rPr>
          <w:rFonts w:eastAsia="SimSun"/>
          <w:lang w:val="es-ES_tradnl" w:eastAsia="zh-CN"/>
        </w:rPr>
        <w:t>reflectómetros</w:t>
      </w:r>
      <w:proofErr w:type="spellEnd"/>
      <w:r w:rsidRPr="004D636B">
        <w:rPr>
          <w:rFonts w:eastAsia="SimSun"/>
          <w:lang w:val="es-ES_tradnl" w:eastAsia="zh-CN"/>
        </w:rPr>
        <w:t xml:space="preserve"> analógicos.</w:t>
      </w:r>
    </w:p>
    <w:p w:rsidR="00000DAB" w:rsidRPr="004D636B" w:rsidRDefault="00000DAB" w:rsidP="00000DAB">
      <w:pPr>
        <w:rPr>
          <w:rFonts w:asciiTheme="minorHAnsi" w:hAnsiTheme="minorHAnsi" w:cstheme="minorHAnsi"/>
          <w:szCs w:val="20"/>
          <w:lang w:val="es-ES_tradnl"/>
        </w:rPr>
      </w:pPr>
      <w:r w:rsidRPr="004D636B">
        <w:rPr>
          <w:rFonts w:eastAsia="SimSun"/>
          <w:lang w:val="es-ES_tradnl" w:eastAsia="zh-CN"/>
        </w:rPr>
        <w:t>Las modificaciones propuestas sólo atañen al Anexo 2.</w:t>
      </w:r>
    </w:p>
    <w:p w:rsidR="00000DAB" w:rsidRPr="004D636B" w:rsidRDefault="00000DAB" w:rsidP="00000DAB">
      <w:pPr>
        <w:tabs>
          <w:tab w:val="right" w:pos="9639"/>
        </w:tabs>
        <w:spacing w:before="600" w:line="240" w:lineRule="auto"/>
        <w:rPr>
          <w:rFonts w:asciiTheme="minorHAnsi" w:hAnsiTheme="minorHAnsi" w:cstheme="minorHAnsi"/>
          <w:szCs w:val="24"/>
          <w:lang w:val="es-ES_tradnl"/>
        </w:rPr>
      </w:pPr>
      <w:r w:rsidRPr="004D636B">
        <w:rPr>
          <w:rFonts w:asciiTheme="minorHAnsi" w:hAnsiTheme="minorHAnsi" w:cstheme="minorHAnsi"/>
          <w:szCs w:val="24"/>
          <w:u w:val="single"/>
          <w:lang w:val="es-ES_tradnl"/>
        </w:rPr>
        <w:t>Proyecto de revisión de la Recomendación UIT-R SM.1054-0</w:t>
      </w:r>
      <w:r w:rsidRPr="004D636B">
        <w:rPr>
          <w:rFonts w:asciiTheme="minorHAnsi" w:hAnsiTheme="minorHAnsi" w:cstheme="minorHAnsi"/>
          <w:szCs w:val="24"/>
          <w:lang w:val="es-ES_tradnl"/>
        </w:rPr>
        <w:tab/>
        <w:t xml:space="preserve">Doc. </w:t>
      </w:r>
      <w:r w:rsidRPr="00D92F48">
        <w:rPr>
          <w:rFonts w:asciiTheme="minorHAnsi" w:hAnsiTheme="minorHAnsi" w:cstheme="minorHAnsi"/>
          <w:szCs w:val="24"/>
          <w:lang w:val="es-ES_tradnl"/>
        </w:rPr>
        <w:t>1/208(Rev.1)</w:t>
      </w:r>
    </w:p>
    <w:p w:rsidR="00000DAB" w:rsidRPr="004D636B" w:rsidRDefault="00000DAB" w:rsidP="00000DAB">
      <w:pPr>
        <w:pStyle w:val="Rectitle"/>
        <w:rPr>
          <w:lang w:val="es-ES_tradnl"/>
        </w:rPr>
      </w:pPr>
      <w:r w:rsidRPr="004D636B">
        <w:rPr>
          <w:lang w:val="es-ES_tradnl"/>
        </w:rPr>
        <w:t>Comprobación técnica de las emisiones de vehículos espaciales</w:t>
      </w:r>
      <w:r w:rsidRPr="004D636B">
        <w:rPr>
          <w:lang w:val="es-ES_tradnl"/>
        </w:rPr>
        <w:br/>
        <w:t>en las estaciones de comprobación técnica</w:t>
      </w:r>
    </w:p>
    <w:p w:rsidR="00000DAB" w:rsidRPr="004D636B" w:rsidRDefault="00000DAB" w:rsidP="00000DAB">
      <w:pPr>
        <w:pStyle w:val="Normalaftertitle"/>
        <w:rPr>
          <w:lang w:val="es-ES_tradnl" w:eastAsia="zh-CN"/>
        </w:rPr>
      </w:pPr>
      <w:r w:rsidRPr="004D636B">
        <w:rPr>
          <w:lang w:val="es-ES_tradnl" w:eastAsia="zh-CN"/>
        </w:rPr>
        <w:t>El objetivo de esta revisión es actualizar la Recomendación con los datos del nuevo Informe UIT-R SM.2453-0 sobre cooperación en materia de comprobación técnica de satélites y que el documento conservara su vigencia.</w:t>
      </w:r>
    </w:p>
    <w:p w:rsidR="00000DAB" w:rsidRPr="004D636B" w:rsidRDefault="00000DAB" w:rsidP="00000DA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line="240" w:lineRule="auto"/>
        <w:rPr>
          <w:rFonts w:asciiTheme="minorHAnsi" w:hAnsiTheme="minorHAnsi" w:cstheme="minorHAnsi"/>
          <w:szCs w:val="20"/>
          <w:lang w:val="es-ES_tradnl" w:eastAsia="zh-CN"/>
        </w:rPr>
      </w:pPr>
      <w:r w:rsidRPr="004D636B">
        <w:rPr>
          <w:rFonts w:asciiTheme="minorHAnsi" w:hAnsiTheme="minorHAnsi" w:cstheme="minorHAnsi"/>
          <w:szCs w:val="20"/>
          <w:lang w:val="es-ES_tradnl" w:eastAsia="zh-CN"/>
        </w:rPr>
        <w:br w:type="page"/>
      </w:r>
    </w:p>
    <w:p w:rsidR="00000DAB" w:rsidRPr="004D636B" w:rsidRDefault="00000DAB" w:rsidP="00000DAB">
      <w:pPr>
        <w:tabs>
          <w:tab w:val="right" w:pos="9639"/>
        </w:tabs>
        <w:spacing w:before="600" w:line="240" w:lineRule="auto"/>
        <w:rPr>
          <w:rFonts w:asciiTheme="minorHAnsi" w:hAnsiTheme="minorHAnsi" w:cstheme="minorHAnsi"/>
          <w:szCs w:val="24"/>
          <w:lang w:val="es-ES_tradnl"/>
        </w:rPr>
      </w:pPr>
      <w:r w:rsidRPr="004D636B">
        <w:rPr>
          <w:rFonts w:eastAsia="SimSun"/>
          <w:szCs w:val="24"/>
          <w:u w:val="single"/>
          <w:lang w:val="es-ES_tradnl" w:eastAsia="zh-CN"/>
        </w:rPr>
        <w:lastRenderedPageBreak/>
        <w:t xml:space="preserve">Proyecto de revisión de la </w:t>
      </w:r>
      <w:r w:rsidRPr="004D636B">
        <w:rPr>
          <w:rFonts w:asciiTheme="minorHAnsi" w:hAnsiTheme="minorHAnsi" w:cstheme="minorHAnsi"/>
          <w:szCs w:val="24"/>
          <w:u w:val="single"/>
          <w:lang w:val="es-ES_tradnl"/>
        </w:rPr>
        <w:t>Recomendación</w:t>
      </w:r>
      <w:r w:rsidRPr="004D636B">
        <w:rPr>
          <w:rFonts w:eastAsia="SimSun"/>
          <w:szCs w:val="24"/>
          <w:u w:val="single"/>
          <w:lang w:val="es-ES_tradnl" w:eastAsia="zh-CN"/>
        </w:rPr>
        <w:t xml:space="preserve"> UIT-R SM.1875-2</w:t>
      </w:r>
      <w:r w:rsidRPr="004D636B">
        <w:rPr>
          <w:rFonts w:eastAsia="SimSun"/>
          <w:szCs w:val="24"/>
          <w:lang w:val="es-ES_tradnl" w:eastAsia="zh-CN"/>
        </w:rPr>
        <w:tab/>
      </w:r>
      <w:r w:rsidRPr="004D636B">
        <w:rPr>
          <w:rFonts w:asciiTheme="minorHAnsi" w:hAnsiTheme="minorHAnsi" w:cstheme="minorHAnsi"/>
          <w:szCs w:val="24"/>
          <w:lang w:val="es-ES_tradnl"/>
        </w:rPr>
        <w:t xml:space="preserve">Doc. </w:t>
      </w:r>
      <w:r w:rsidRPr="00D92F48">
        <w:rPr>
          <w:rFonts w:asciiTheme="minorHAnsi" w:hAnsiTheme="minorHAnsi" w:cstheme="minorHAnsi"/>
          <w:szCs w:val="24"/>
          <w:lang w:val="es-ES_tradnl"/>
        </w:rPr>
        <w:t>1/212(Rev.1)</w:t>
      </w:r>
    </w:p>
    <w:p w:rsidR="00000DAB" w:rsidRPr="004D636B" w:rsidRDefault="00000DAB" w:rsidP="00000DAB">
      <w:pPr>
        <w:pStyle w:val="Rectitle"/>
        <w:rPr>
          <w:lang w:val="es-ES_tradnl"/>
        </w:rPr>
      </w:pPr>
      <w:r w:rsidRPr="004D636B">
        <w:rPr>
          <w:lang w:val="es-ES_tradnl"/>
        </w:rPr>
        <w:t>Mediciones de la cobertura de la DVB-T y verificación</w:t>
      </w:r>
      <w:r w:rsidRPr="004D636B">
        <w:rPr>
          <w:lang w:val="es-ES_tradnl"/>
        </w:rPr>
        <w:br/>
        <w:t>de los criterios de planificación</w:t>
      </w:r>
    </w:p>
    <w:p w:rsidR="00000DAB" w:rsidRPr="004D636B" w:rsidRDefault="00000DAB" w:rsidP="00000DAB">
      <w:pPr>
        <w:pStyle w:val="Normalaftertitle"/>
        <w:rPr>
          <w:rFonts w:asciiTheme="minorHAnsi" w:hAnsiTheme="minorHAnsi" w:cstheme="minorHAnsi"/>
          <w:b/>
          <w:lang w:val="es-ES_tradnl"/>
        </w:rPr>
      </w:pPr>
      <w:r w:rsidRPr="004D636B">
        <w:rPr>
          <w:rFonts w:eastAsia="SimSun"/>
          <w:lang w:val="es-ES_tradnl"/>
        </w:rPr>
        <w:t>Este proyecto de revisión de la Recomendación contiene las siguientes modificaciones:</w:t>
      </w:r>
    </w:p>
    <w:p w:rsidR="00000DAB" w:rsidRPr="004D636B" w:rsidRDefault="00000DAB" w:rsidP="00000DAB">
      <w:pPr>
        <w:pStyle w:val="enumlev1"/>
        <w:rPr>
          <w:rFonts w:asciiTheme="minorHAnsi" w:hAnsiTheme="minorHAnsi" w:cstheme="minorHAnsi"/>
          <w:szCs w:val="20"/>
          <w:lang w:val="es-ES_tradnl"/>
        </w:rPr>
      </w:pPr>
      <w:r w:rsidRPr="004D636B">
        <w:rPr>
          <w:rFonts w:asciiTheme="minorHAnsi" w:hAnsiTheme="minorHAnsi" w:cstheme="minorHAnsi"/>
          <w:szCs w:val="20"/>
          <w:lang w:val="es-ES_tradnl"/>
        </w:rPr>
        <w:t>–</w:t>
      </w:r>
      <w:r w:rsidRPr="004D636B">
        <w:rPr>
          <w:rFonts w:asciiTheme="minorHAnsi" w:hAnsiTheme="minorHAnsi" w:cstheme="minorHAnsi"/>
          <w:szCs w:val="20"/>
          <w:lang w:val="es-ES_tradnl"/>
        </w:rPr>
        <w:tab/>
      </w:r>
      <w:r w:rsidRPr="004D636B">
        <w:rPr>
          <w:rFonts w:eastAsia="SimSun"/>
          <w:lang w:val="es-ES_tradnl"/>
        </w:rPr>
        <w:t>Aclaración del método de medición actual para la recepción fija;</w:t>
      </w:r>
    </w:p>
    <w:p w:rsidR="00000DAB" w:rsidRPr="004D636B" w:rsidRDefault="00000DAB" w:rsidP="00000DAB">
      <w:pPr>
        <w:pStyle w:val="enumlev1"/>
        <w:rPr>
          <w:rFonts w:asciiTheme="minorHAnsi" w:hAnsiTheme="minorHAnsi" w:cstheme="minorHAnsi"/>
          <w:szCs w:val="20"/>
          <w:lang w:val="es-ES_tradnl"/>
        </w:rPr>
      </w:pPr>
      <w:r w:rsidRPr="004D636B">
        <w:rPr>
          <w:rFonts w:asciiTheme="minorHAnsi" w:hAnsiTheme="minorHAnsi" w:cstheme="minorHAnsi"/>
          <w:szCs w:val="20"/>
          <w:lang w:val="es-ES_tradnl"/>
        </w:rPr>
        <w:t>–</w:t>
      </w:r>
      <w:r w:rsidRPr="004D636B">
        <w:rPr>
          <w:rFonts w:asciiTheme="minorHAnsi" w:hAnsiTheme="minorHAnsi" w:cstheme="minorHAnsi"/>
          <w:szCs w:val="20"/>
          <w:lang w:val="es-ES_tradnl"/>
        </w:rPr>
        <w:tab/>
      </w:r>
      <w:r w:rsidRPr="004D636B">
        <w:rPr>
          <w:rFonts w:eastAsia="SimSun"/>
          <w:lang w:val="es-ES_tradnl"/>
        </w:rPr>
        <w:t>Presentación de dos métodos de medición alternativos para la recepción fija, que se pueden utilizar bajo determinadas condiciones;</w:t>
      </w:r>
    </w:p>
    <w:p w:rsidR="00000DAB" w:rsidRPr="004D636B" w:rsidRDefault="00000DAB" w:rsidP="00000DAB">
      <w:pPr>
        <w:pStyle w:val="enumlev1"/>
        <w:rPr>
          <w:rFonts w:asciiTheme="minorHAnsi" w:hAnsiTheme="minorHAnsi" w:cstheme="minorHAnsi"/>
          <w:szCs w:val="20"/>
          <w:lang w:val="es-ES_tradnl"/>
        </w:rPr>
      </w:pPr>
      <w:r w:rsidRPr="004D636B">
        <w:rPr>
          <w:rFonts w:asciiTheme="minorHAnsi" w:hAnsiTheme="minorHAnsi" w:cstheme="minorHAnsi"/>
          <w:szCs w:val="20"/>
          <w:lang w:val="es-ES_tradnl"/>
        </w:rPr>
        <w:t>–</w:t>
      </w:r>
      <w:r w:rsidRPr="004D636B">
        <w:rPr>
          <w:rFonts w:asciiTheme="minorHAnsi" w:hAnsiTheme="minorHAnsi" w:cstheme="minorHAnsi"/>
          <w:szCs w:val="20"/>
          <w:lang w:val="es-ES_tradnl"/>
        </w:rPr>
        <w:tab/>
      </w:r>
      <w:r w:rsidRPr="004D636B">
        <w:rPr>
          <w:rFonts w:eastAsia="SimSun"/>
          <w:lang w:val="es-ES_tradnl"/>
        </w:rPr>
        <w:t>Inclusión de la DVB-T2;</w:t>
      </w:r>
    </w:p>
    <w:p w:rsidR="00000DAB" w:rsidRPr="004D636B" w:rsidRDefault="00000DAB" w:rsidP="00000DAB">
      <w:pPr>
        <w:pStyle w:val="enumlev1"/>
        <w:rPr>
          <w:rFonts w:asciiTheme="minorHAnsi" w:hAnsiTheme="minorHAnsi" w:cstheme="minorHAnsi"/>
          <w:szCs w:val="20"/>
          <w:lang w:val="es-ES_tradnl"/>
        </w:rPr>
      </w:pPr>
      <w:r w:rsidRPr="004D636B">
        <w:rPr>
          <w:rFonts w:asciiTheme="minorHAnsi" w:hAnsiTheme="minorHAnsi" w:cstheme="minorHAnsi"/>
          <w:szCs w:val="20"/>
          <w:lang w:val="es-ES_tradnl"/>
        </w:rPr>
        <w:t>–</w:t>
      </w:r>
      <w:r w:rsidRPr="004D636B">
        <w:rPr>
          <w:rFonts w:asciiTheme="minorHAnsi" w:hAnsiTheme="minorHAnsi" w:cstheme="minorHAnsi"/>
          <w:szCs w:val="20"/>
          <w:lang w:val="es-ES_tradnl"/>
        </w:rPr>
        <w:tab/>
      </w:r>
      <w:r w:rsidRPr="004D636B">
        <w:rPr>
          <w:rFonts w:eastAsia="SimSun"/>
          <w:lang w:val="es-ES_tradnl"/>
        </w:rPr>
        <w:t>Armonización con el nuevo formato de las Recomendaciones UIT-R.</w:t>
      </w:r>
    </w:p>
    <w:p w:rsidR="002E6646" w:rsidRPr="00D00AD1" w:rsidRDefault="002E6646" w:rsidP="00CD1697">
      <w:pPr>
        <w:tabs>
          <w:tab w:val="left" w:pos="8080"/>
        </w:tabs>
        <w:rPr>
          <w:lang w:val="es-ES_tradnl"/>
        </w:rPr>
      </w:pPr>
    </w:p>
    <w:p w:rsidR="00623AE3" w:rsidRPr="006A124F" w:rsidRDefault="00623AE3" w:rsidP="00CD1697">
      <w:pPr>
        <w:pStyle w:val="Reasons"/>
        <w:rPr>
          <w:lang w:val="es-ES_tradnl"/>
        </w:rPr>
      </w:pPr>
    </w:p>
    <w:p w:rsidR="00623AE3" w:rsidRDefault="00623AE3">
      <w:pPr>
        <w:jc w:val="center"/>
      </w:pPr>
      <w:r>
        <w:t>______________</w:t>
      </w:r>
    </w:p>
    <w:sectPr w:rsidR="00623AE3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697" w:rsidRDefault="00CD1697">
      <w:r>
        <w:separator/>
      </w:r>
    </w:p>
  </w:endnote>
  <w:endnote w:type="continuationSeparator" w:id="0">
    <w:p w:rsidR="00CD1697" w:rsidRDefault="00CD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Arial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24F" w:rsidRPr="0056695E" w:rsidRDefault="0046524F" w:rsidP="0046524F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56695E">
      <w:rPr>
        <w:sz w:val="18"/>
        <w:szCs w:val="18"/>
        <w:lang w:val="es-ES_tradnl"/>
      </w:rPr>
      <w:t>Unión Internacional de Telecomunicaciones • Place des Nations • CH</w:t>
    </w:r>
    <w:r w:rsidRPr="0056695E">
      <w:rPr>
        <w:sz w:val="18"/>
        <w:szCs w:val="18"/>
        <w:lang w:val="es-ES_tradnl"/>
      </w:rPr>
      <w:noBreakHyphen/>
      <w:t>1211 Ginebra 20 • Suiza</w:t>
    </w:r>
    <w:r w:rsidRPr="0056695E">
      <w:rPr>
        <w:sz w:val="18"/>
        <w:szCs w:val="18"/>
        <w:lang w:val="es-ES_tradnl"/>
      </w:rPr>
      <w:br/>
      <w:t>Tel</w:t>
    </w:r>
    <w:r w:rsidR="00FD2A32">
      <w:rPr>
        <w:sz w:val="18"/>
        <w:szCs w:val="18"/>
        <w:lang w:val="es-ES_tradnl"/>
      </w:rPr>
      <w:t>.</w:t>
    </w:r>
    <w:r w:rsidRPr="0056695E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r w:rsidRPr="0056695E">
        <w:rPr>
          <w:rStyle w:val="Hyperlink"/>
          <w:sz w:val="18"/>
          <w:szCs w:val="18"/>
          <w:lang w:val="es-ES_tradnl"/>
        </w:rPr>
        <w:t>itumail@itu.int</w:t>
      </w:r>
    </w:hyperlink>
    <w:r w:rsidRPr="0056695E">
      <w:rPr>
        <w:sz w:val="18"/>
        <w:szCs w:val="18"/>
        <w:lang w:val="es-ES_tradnl"/>
      </w:rPr>
      <w:t xml:space="preserve"> • </w:t>
    </w:r>
    <w:hyperlink r:id="rId2" w:history="1">
      <w:r w:rsidRPr="0056695E">
        <w:rPr>
          <w:rStyle w:val="Hyperlink"/>
          <w:sz w:val="18"/>
          <w:szCs w:val="18"/>
          <w:lang w:val="es-ES_tradnl"/>
        </w:rPr>
        <w:t>www.itu.int</w:t>
      </w:r>
    </w:hyperlink>
    <w:r w:rsidRPr="0056695E">
      <w:rPr>
        <w:sz w:val="18"/>
        <w:szCs w:val="18"/>
        <w:lang w:val="es-ES_tradnl"/>
      </w:rPr>
      <w:t xml:space="preserve"> </w:t>
    </w:r>
    <w:r w:rsidR="00FD2A32" w:rsidRPr="00320724">
      <w:rPr>
        <w:sz w:val="18"/>
        <w:szCs w:val="18"/>
        <w:lang w:val="es-ES_tradnl"/>
      </w:rPr>
      <w:t>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697" w:rsidRDefault="00CD1697">
      <w:r>
        <w:t>____________________</w:t>
      </w:r>
    </w:p>
  </w:footnote>
  <w:footnote w:type="continuationSeparator" w:id="0">
    <w:p w:rsidR="00CD1697" w:rsidRDefault="00CD1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97" w:rsidRPr="00D239B4" w:rsidRDefault="00CD1697" w:rsidP="00246179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D86E65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97" w:rsidRPr="00B13AA0" w:rsidRDefault="00CD1697" w:rsidP="00B13A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D86E65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1D08C0" w:rsidTr="00F77FFB">
      <w:tc>
        <w:tcPr>
          <w:tcW w:w="4800" w:type="dxa"/>
          <w:noWrap/>
          <w:tcMar>
            <w:left w:w="0" w:type="dxa"/>
          </w:tcMar>
        </w:tcPr>
        <w:p w:rsidR="001D08C0" w:rsidRDefault="001D08C0" w:rsidP="001D08C0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en-GB"/>
            </w:rPr>
            <w:drawing>
              <wp:inline distT="0" distB="0" distL="0" distR="0" wp14:anchorId="5AFC78C3" wp14:editId="22B1B027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1D08C0" w:rsidRDefault="001D08C0" w:rsidP="001D08C0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15BF7D72" wp14:editId="6E3C3782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1697" w:rsidRPr="001D08C0" w:rsidRDefault="00CD1697" w:rsidP="001D08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mirrorMargins/>
  <w:activeWritingStyle w:appName="MSWord" w:lang="es-ES_tradnl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E6646"/>
    <w:rsid w:val="00000DAB"/>
    <w:rsid w:val="00006A31"/>
    <w:rsid w:val="00006C82"/>
    <w:rsid w:val="00010E30"/>
    <w:rsid w:val="00015C76"/>
    <w:rsid w:val="00026CF8"/>
    <w:rsid w:val="000273C1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F79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91D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08C0"/>
    <w:rsid w:val="001D2785"/>
    <w:rsid w:val="001D522A"/>
    <w:rsid w:val="001D7070"/>
    <w:rsid w:val="001E212A"/>
    <w:rsid w:val="001F18E3"/>
    <w:rsid w:val="001F1D56"/>
    <w:rsid w:val="001F2170"/>
    <w:rsid w:val="001F3948"/>
    <w:rsid w:val="001F5A49"/>
    <w:rsid w:val="00201097"/>
    <w:rsid w:val="00201B6E"/>
    <w:rsid w:val="0020610F"/>
    <w:rsid w:val="002302B3"/>
    <w:rsid w:val="00230C66"/>
    <w:rsid w:val="00235A29"/>
    <w:rsid w:val="00241526"/>
    <w:rsid w:val="002443A2"/>
    <w:rsid w:val="00246179"/>
    <w:rsid w:val="00266E74"/>
    <w:rsid w:val="0028193E"/>
    <w:rsid w:val="00283C3B"/>
    <w:rsid w:val="002861E6"/>
    <w:rsid w:val="00287D18"/>
    <w:rsid w:val="002A2618"/>
    <w:rsid w:val="002A5DD7"/>
    <w:rsid w:val="002B0CAC"/>
    <w:rsid w:val="002C09A3"/>
    <w:rsid w:val="002D5A15"/>
    <w:rsid w:val="002D5BDD"/>
    <w:rsid w:val="002E3D27"/>
    <w:rsid w:val="002E6646"/>
    <w:rsid w:val="002F0890"/>
    <w:rsid w:val="002F2531"/>
    <w:rsid w:val="002F4967"/>
    <w:rsid w:val="00306452"/>
    <w:rsid w:val="00316935"/>
    <w:rsid w:val="00320724"/>
    <w:rsid w:val="003266ED"/>
    <w:rsid w:val="00326C68"/>
    <w:rsid w:val="0033029C"/>
    <w:rsid w:val="003370B8"/>
    <w:rsid w:val="003428EF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1D59"/>
    <w:rsid w:val="004326DB"/>
    <w:rsid w:val="0043682E"/>
    <w:rsid w:val="00441EBD"/>
    <w:rsid w:val="00447ECB"/>
    <w:rsid w:val="00453CB9"/>
    <w:rsid w:val="004623F7"/>
    <w:rsid w:val="0046524F"/>
    <w:rsid w:val="00470826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6204"/>
    <w:rsid w:val="004B7C9A"/>
    <w:rsid w:val="004C6779"/>
    <w:rsid w:val="004D733B"/>
    <w:rsid w:val="004E0DC4"/>
    <w:rsid w:val="004E0FB5"/>
    <w:rsid w:val="004E43BB"/>
    <w:rsid w:val="004E460D"/>
    <w:rsid w:val="004E772A"/>
    <w:rsid w:val="004F178E"/>
    <w:rsid w:val="004F4543"/>
    <w:rsid w:val="004F57BB"/>
    <w:rsid w:val="00505309"/>
    <w:rsid w:val="0050789B"/>
    <w:rsid w:val="0051672E"/>
    <w:rsid w:val="005224A1"/>
    <w:rsid w:val="00534372"/>
    <w:rsid w:val="00543DF8"/>
    <w:rsid w:val="00546101"/>
    <w:rsid w:val="00552165"/>
    <w:rsid w:val="00553DD7"/>
    <w:rsid w:val="005638CF"/>
    <w:rsid w:val="005654B1"/>
    <w:rsid w:val="0056741E"/>
    <w:rsid w:val="00572C9D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2C35"/>
    <w:rsid w:val="005D3669"/>
    <w:rsid w:val="005E5EB3"/>
    <w:rsid w:val="005F3CB6"/>
    <w:rsid w:val="005F657C"/>
    <w:rsid w:val="00602D53"/>
    <w:rsid w:val="006047E5"/>
    <w:rsid w:val="00623AE3"/>
    <w:rsid w:val="0062522E"/>
    <w:rsid w:val="006259E9"/>
    <w:rsid w:val="0062700F"/>
    <w:rsid w:val="0064371D"/>
    <w:rsid w:val="00650543"/>
    <w:rsid w:val="00650B2A"/>
    <w:rsid w:val="00651777"/>
    <w:rsid w:val="00654557"/>
    <w:rsid w:val="006550F8"/>
    <w:rsid w:val="006829F3"/>
    <w:rsid w:val="006A124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399A"/>
    <w:rsid w:val="00750CFA"/>
    <w:rsid w:val="007553DA"/>
    <w:rsid w:val="00775DB8"/>
    <w:rsid w:val="00782354"/>
    <w:rsid w:val="007921A7"/>
    <w:rsid w:val="007B3DB1"/>
    <w:rsid w:val="007D183E"/>
    <w:rsid w:val="007D43D0"/>
    <w:rsid w:val="007D5338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6BC5"/>
    <w:rsid w:val="009076D7"/>
    <w:rsid w:val="00912DAB"/>
    <w:rsid w:val="009151BA"/>
    <w:rsid w:val="00925023"/>
    <w:rsid w:val="009277BC"/>
    <w:rsid w:val="00927D57"/>
    <w:rsid w:val="00927E24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70"/>
    <w:rsid w:val="009E4595"/>
    <w:rsid w:val="009E4AEC"/>
    <w:rsid w:val="009E5BD8"/>
    <w:rsid w:val="009E681E"/>
    <w:rsid w:val="009F1A2F"/>
    <w:rsid w:val="00A119E6"/>
    <w:rsid w:val="00A20FBC"/>
    <w:rsid w:val="00A243E2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13AA0"/>
    <w:rsid w:val="00B34CF9"/>
    <w:rsid w:val="00B37559"/>
    <w:rsid w:val="00B4054B"/>
    <w:rsid w:val="00B52E07"/>
    <w:rsid w:val="00B579B0"/>
    <w:rsid w:val="00B57D11"/>
    <w:rsid w:val="00B649D7"/>
    <w:rsid w:val="00B81C2F"/>
    <w:rsid w:val="00B90743"/>
    <w:rsid w:val="00B90C45"/>
    <w:rsid w:val="00B933BE"/>
    <w:rsid w:val="00BA50E3"/>
    <w:rsid w:val="00BD6738"/>
    <w:rsid w:val="00BD7E5E"/>
    <w:rsid w:val="00BE63DB"/>
    <w:rsid w:val="00BE6574"/>
    <w:rsid w:val="00C07319"/>
    <w:rsid w:val="00C16FD2"/>
    <w:rsid w:val="00C25A19"/>
    <w:rsid w:val="00C32AAA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6C71"/>
    <w:rsid w:val="00CA3F44"/>
    <w:rsid w:val="00CA4E58"/>
    <w:rsid w:val="00CB3771"/>
    <w:rsid w:val="00CB44BF"/>
    <w:rsid w:val="00CB5153"/>
    <w:rsid w:val="00CD1697"/>
    <w:rsid w:val="00CE076A"/>
    <w:rsid w:val="00CE463D"/>
    <w:rsid w:val="00D00AD1"/>
    <w:rsid w:val="00D10BA0"/>
    <w:rsid w:val="00D21694"/>
    <w:rsid w:val="00D239B4"/>
    <w:rsid w:val="00D24EB5"/>
    <w:rsid w:val="00D35AB9"/>
    <w:rsid w:val="00D41571"/>
    <w:rsid w:val="00D416A0"/>
    <w:rsid w:val="00D45A40"/>
    <w:rsid w:val="00D47672"/>
    <w:rsid w:val="00D5123C"/>
    <w:rsid w:val="00D51756"/>
    <w:rsid w:val="00D55560"/>
    <w:rsid w:val="00D61C5A"/>
    <w:rsid w:val="00D63BFF"/>
    <w:rsid w:val="00D6790C"/>
    <w:rsid w:val="00D73277"/>
    <w:rsid w:val="00D76586"/>
    <w:rsid w:val="00D82657"/>
    <w:rsid w:val="00D86E65"/>
    <w:rsid w:val="00D87E20"/>
    <w:rsid w:val="00D92F48"/>
    <w:rsid w:val="00D97EF5"/>
    <w:rsid w:val="00DA06EA"/>
    <w:rsid w:val="00DA4037"/>
    <w:rsid w:val="00DE66A5"/>
    <w:rsid w:val="00DF2B50"/>
    <w:rsid w:val="00DF4DE1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738A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2A32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8CC2692"/>
  <w15:docId w15:val="{FE6CDA31-6BCA-4389-841C-782C8085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2E664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5167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B13AA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A124F"/>
    <w:rPr>
      <w:color w:val="800080" w:themeColor="followedHyperlink"/>
      <w:u w:val="single"/>
    </w:rPr>
  </w:style>
  <w:style w:type="character" w:customStyle="1" w:styleId="TabletextChar">
    <w:name w:val="Table_text Char"/>
    <w:link w:val="Tabletext"/>
    <w:uiPriority w:val="99"/>
    <w:locked/>
    <w:rsid w:val="001D522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D522A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BAADA-53CE-421A-894E-F867BE82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17</TotalTime>
  <Pages>4</Pages>
  <Words>808</Words>
  <Characters>5274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6070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Soto Romero, Alicia</cp:lastModifiedBy>
  <cp:revision>8</cp:revision>
  <cp:lastPrinted>2019-06-20T07:43:00Z</cp:lastPrinted>
  <dcterms:created xsi:type="dcterms:W3CDTF">2019-06-12T07:54:00Z</dcterms:created>
  <dcterms:modified xsi:type="dcterms:W3CDTF">2019-06-20T12:40:00Z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