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B613FA">
            <w:pPr>
              <w:spacing w:before="0"/>
              <w:jc w:val="left"/>
              <w:rPr>
                <w:b/>
                <w:bCs/>
                <w:szCs w:val="24"/>
                <w:lang w:val="fr-CH"/>
              </w:rPr>
            </w:pPr>
            <w:r w:rsidRPr="00FE08CC">
              <w:rPr>
                <w:b/>
                <w:bCs/>
                <w:szCs w:val="24"/>
                <w:lang w:val="fr-CH"/>
              </w:rPr>
              <w:t>CACE/</w:t>
            </w:r>
            <w:r w:rsidR="00B613FA">
              <w:rPr>
                <w:b/>
                <w:bCs/>
                <w:szCs w:val="24"/>
                <w:lang w:val="fr-CH"/>
              </w:rPr>
              <w:t>906</w:t>
            </w:r>
          </w:p>
        </w:tc>
        <w:tc>
          <w:tcPr>
            <w:tcW w:w="2835" w:type="dxa"/>
            <w:shd w:val="clear" w:color="auto" w:fill="auto"/>
          </w:tcPr>
          <w:p w:rsidR="00E53DCE" w:rsidRPr="00334544" w:rsidRDefault="00721360" w:rsidP="00887C4A">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21</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B96825">
              <w:rPr>
                <w:rFonts w:eastAsia="SimSun" w:hint="eastAsia"/>
                <w:b/>
                <w:bCs/>
                <w:szCs w:val="24"/>
                <w:lang w:eastAsia="zh-CN"/>
              </w:rPr>
              <w:t>1</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721360">
              <w:rPr>
                <w:rFonts w:eastAsia="SimSun" w:hint="eastAsia"/>
                <w:b/>
                <w:bCs/>
                <w:szCs w:val="24"/>
                <w:lang w:eastAsia="zh-CN"/>
              </w:rPr>
              <w:t>1</w:t>
            </w:r>
            <w:r w:rsidRPr="00FE08CC">
              <w:rPr>
                <w:rFonts w:eastAsia="SimSun" w:hint="eastAsia"/>
                <w:b/>
                <w:bCs/>
                <w:szCs w:val="24"/>
                <w:lang w:eastAsia="zh-CN"/>
              </w:rPr>
              <w:t>研究组（</w:t>
            </w:r>
            <w:r w:rsidR="001C205C" w:rsidRPr="001C205C">
              <w:rPr>
                <w:b/>
                <w:bCs/>
                <w:szCs w:val="24"/>
                <w:lang w:eastAsia="zh-CN"/>
              </w:rPr>
              <w:t>频谱管理</w:t>
            </w:r>
            <w:r w:rsidRPr="00FE08CC">
              <w:rPr>
                <w:rFonts w:eastAsia="SimSun" w:hint="eastAsia"/>
                <w:b/>
                <w:bCs/>
                <w:szCs w:val="24"/>
                <w:lang w:eastAsia="zh-CN"/>
              </w:rPr>
              <w:t>）</w:t>
            </w:r>
          </w:p>
          <w:p w:rsidR="00FE08CC" w:rsidRPr="00FE08CC" w:rsidRDefault="00FE08CC" w:rsidP="00AF32FC">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721360">
              <w:rPr>
                <w:rFonts w:eastAsia="SimSun" w:hint="eastAsia"/>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721360">
              <w:rPr>
                <w:rFonts w:eastAsia="SimSun" w:hint="eastAsia"/>
                <w:b/>
                <w:bCs/>
                <w:szCs w:val="24"/>
                <w:lang w:eastAsia="zh-CN"/>
              </w:rPr>
              <w:t>3</w:t>
            </w:r>
            <w:r w:rsidRPr="00FE08CC">
              <w:rPr>
                <w:rFonts w:eastAsia="SimSun" w:hint="eastAsia"/>
                <w:b/>
                <w:bCs/>
                <w:szCs w:val="24"/>
                <w:lang w:eastAsia="zh-CN"/>
              </w:rPr>
              <w:t>份</w:t>
            </w:r>
            <w:r w:rsidRPr="00FE08CC">
              <w:rPr>
                <w:rFonts w:eastAsia="SimSun" w:hint="eastAsia"/>
                <w:b/>
                <w:bCs/>
                <w:szCs w:val="24"/>
                <w:lang w:eastAsia="zh-CN"/>
              </w:rPr>
              <w:t>ITU</w:t>
            </w:r>
            <w:r w:rsidR="00AF32FC">
              <w:rPr>
                <w:rFonts w:eastAsia="SimSun"/>
                <w:b/>
                <w:bCs/>
                <w:szCs w:val="24"/>
                <w:lang w:eastAsia="zh-CN"/>
              </w:rPr>
              <w:noBreakHyphen/>
            </w:r>
            <w:bookmarkStart w:id="0" w:name="_GoBack"/>
            <w:bookmarkEnd w:id="0"/>
            <w:r w:rsidRPr="00FE08CC">
              <w:rPr>
                <w:rFonts w:eastAsia="SimSun" w:hint="eastAsia"/>
                <w:b/>
                <w:bCs/>
                <w:szCs w:val="24"/>
                <w:lang w:eastAsia="zh-CN"/>
              </w:rPr>
              <w:t>R</w:t>
            </w:r>
            <w:r w:rsidRPr="00FE08CC">
              <w:rPr>
                <w:rFonts w:eastAsia="SimSun" w:hint="eastAsia"/>
                <w:b/>
                <w:bCs/>
                <w:szCs w:val="24"/>
                <w:lang w:eastAsia="zh-CN"/>
              </w:rPr>
              <w:t>经修订的建议书草案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721360">
      <w:pPr>
        <w:spacing w:before="240"/>
        <w:ind w:firstLineChars="200" w:firstLine="480"/>
        <w:rPr>
          <w:lang w:eastAsia="zh-CN"/>
        </w:rPr>
      </w:pPr>
      <w:r w:rsidRPr="007947D0">
        <w:rPr>
          <w:rFonts w:hint="eastAsia"/>
          <w:lang w:eastAsia="zh-CN"/>
        </w:rPr>
        <w:t>在</w:t>
      </w:r>
      <w:r w:rsidRPr="007947D0">
        <w:rPr>
          <w:lang w:eastAsia="zh-CN"/>
        </w:rPr>
        <w:t>201</w:t>
      </w:r>
      <w:r w:rsidR="00721360">
        <w:rPr>
          <w:rFonts w:hint="eastAsia"/>
          <w:lang w:eastAsia="zh-CN"/>
        </w:rPr>
        <w:t>9</w:t>
      </w:r>
      <w:r w:rsidRPr="007947D0">
        <w:rPr>
          <w:rFonts w:hint="eastAsia"/>
          <w:lang w:eastAsia="zh-CN"/>
        </w:rPr>
        <w:t>年</w:t>
      </w:r>
      <w:r w:rsidR="00721360">
        <w:rPr>
          <w:rFonts w:hint="eastAsia"/>
          <w:lang w:eastAsia="zh-CN"/>
        </w:rPr>
        <w:t>6</w:t>
      </w:r>
      <w:r w:rsidRPr="007947D0">
        <w:rPr>
          <w:rFonts w:hint="eastAsia"/>
          <w:lang w:eastAsia="zh-CN"/>
        </w:rPr>
        <w:t>月</w:t>
      </w:r>
      <w:r w:rsidR="00721360">
        <w:rPr>
          <w:rFonts w:hint="eastAsia"/>
          <w:lang w:eastAsia="zh-CN"/>
        </w:rPr>
        <w:t>6</w:t>
      </w:r>
      <w:r w:rsidRPr="007947D0">
        <w:rPr>
          <w:rFonts w:hint="eastAsia"/>
          <w:lang w:eastAsia="zh-CN"/>
        </w:rPr>
        <w:t>日至</w:t>
      </w:r>
      <w:r w:rsidR="00721360">
        <w:rPr>
          <w:rFonts w:hint="eastAsia"/>
          <w:lang w:eastAsia="zh-CN"/>
        </w:rPr>
        <w:t>7</w:t>
      </w:r>
      <w:r w:rsidRPr="007947D0">
        <w:rPr>
          <w:rFonts w:hint="eastAsia"/>
          <w:lang w:eastAsia="zh-CN"/>
        </w:rPr>
        <w:t>日召开的无线电通信第</w:t>
      </w:r>
      <w:r w:rsidR="00721360">
        <w:rPr>
          <w:rFonts w:hint="eastAsia"/>
          <w:lang w:eastAsia="zh-CN"/>
        </w:rPr>
        <w:t>1</w:t>
      </w:r>
      <w:r w:rsidRPr="007947D0">
        <w:rPr>
          <w:rFonts w:hint="eastAsia"/>
          <w:lang w:eastAsia="zh-CN"/>
        </w:rPr>
        <w:t>研究组会议上，研究组做出决定，寻求</w:t>
      </w:r>
      <w:r w:rsidRPr="007947D0">
        <w:rPr>
          <w:lang w:eastAsia="zh-CN"/>
        </w:rPr>
        <w:t>以信函方式通过</w:t>
      </w:r>
      <w:r w:rsidR="00721360">
        <w:rPr>
          <w:lang w:eastAsia="zh-CN"/>
        </w:rPr>
        <w:t>1</w:t>
      </w:r>
      <w:r>
        <w:rPr>
          <w:rFonts w:hint="eastAsia"/>
          <w:lang w:eastAsia="zh-CN"/>
        </w:rPr>
        <w:t>份</w:t>
      </w:r>
      <w:r>
        <w:rPr>
          <w:rFonts w:hint="eastAsia"/>
          <w:lang w:eastAsia="zh-CN"/>
        </w:rPr>
        <w:t>ITU-R</w:t>
      </w:r>
      <w:r w:rsidRPr="007947D0">
        <w:rPr>
          <w:rFonts w:hint="eastAsia"/>
          <w:lang w:eastAsia="zh-CN"/>
        </w:rPr>
        <w:t>新建议书草案和</w:t>
      </w:r>
      <w:r w:rsidR="00721360">
        <w:rPr>
          <w:lang w:eastAsia="zh-CN"/>
        </w:rPr>
        <w:t>3</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00C96DA9">
        <w:rPr>
          <w:rFonts w:hint="eastAsia"/>
          <w:lang w:eastAsia="zh-CN"/>
        </w:rPr>
        <w:t>附件</w:t>
      </w:r>
      <w:r w:rsidRPr="007947D0">
        <w:rPr>
          <w:lang w:eastAsia="zh-CN"/>
        </w:rPr>
        <w:t>。</w:t>
      </w:r>
      <w:r w:rsidRPr="007947D0">
        <w:rPr>
          <w:rFonts w:hint="eastAsia"/>
          <w:lang w:eastAsia="zh-CN"/>
        </w:rPr>
        <w:t>请反对批准</w:t>
      </w:r>
      <w:r w:rsidR="00C96DA9">
        <w:rPr>
          <w:rFonts w:hint="eastAsia"/>
          <w:lang w:eastAsia="zh-CN"/>
        </w:rPr>
        <w:t>一</w:t>
      </w:r>
      <w:r w:rsidRPr="007947D0">
        <w:rPr>
          <w:rFonts w:hint="eastAsia"/>
          <w:lang w:eastAsia="zh-CN"/>
        </w:rPr>
        <w:t>建议书草案的成员国向主任和研究组主席阐明反对原因。</w:t>
      </w:r>
    </w:p>
    <w:p w:rsidR="000F622F" w:rsidRPr="007947D0" w:rsidRDefault="000F622F" w:rsidP="000F622F">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721360">
        <w:rPr>
          <w:u w:val="single"/>
          <w:lang w:eastAsia="zh-CN"/>
        </w:rPr>
        <w:t>9</w:t>
      </w:r>
      <w:r w:rsidRPr="00C979CD">
        <w:rPr>
          <w:u w:val="single"/>
          <w:lang w:eastAsia="zh-CN"/>
        </w:rPr>
        <w:t>年</w:t>
      </w:r>
      <w:r w:rsidR="00721360">
        <w:rPr>
          <w:u w:val="single"/>
          <w:lang w:eastAsia="zh-CN"/>
        </w:rPr>
        <w:t>8</w:t>
      </w:r>
      <w:r w:rsidRPr="00C979CD">
        <w:rPr>
          <w:u w:val="single"/>
          <w:lang w:eastAsia="zh-CN"/>
        </w:rPr>
        <w:t>月</w:t>
      </w:r>
      <w:r w:rsidR="00721360">
        <w:rPr>
          <w:u w:val="single"/>
          <w:lang w:eastAsia="zh-CN"/>
        </w:rPr>
        <w:t>21</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721360">
        <w:rPr>
          <w:lang w:eastAsia="zh-CN"/>
        </w:rPr>
        <w:t>1</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w:t>
      </w:r>
      <w:proofErr w:type="spellEnd"/>
      <w:r w:rsidR="00C96DA9">
        <w:rPr>
          <w:rFonts w:hint="eastAsia"/>
          <w:lang w:eastAsia="zh-CN"/>
        </w:rPr>
        <w:t>将</w:t>
      </w:r>
      <w:proofErr w:type="spellStart"/>
      <w:r w:rsidRPr="007947D0">
        <w:rPr>
          <w:rFonts w:hint="eastAsia"/>
        </w:rPr>
        <w:t>尽可能快地出版已经批准的建议书（见</w:t>
      </w:r>
      <w:hyperlink r:id="rId8" w:history="1">
        <w:r w:rsidRPr="007947D0">
          <w:rPr>
            <w:rStyle w:val="Hyperlink"/>
          </w:rPr>
          <w:t>http</w:t>
        </w:r>
        <w:proofErr w:type="spellEnd"/>
        <w:r w:rsidRPr="007947D0">
          <w:rPr>
            <w:rStyle w:val="Hyperlink"/>
          </w:rPr>
          <w:t>://www.itu.int/pub/R-REC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D6723" w:rsidP="00AF32FC">
      <w:pPr>
        <w:spacing w:before="180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008A1D41">
        <w:rPr>
          <w:rFonts w:ascii="SimSun" w:hAnsi="SimSun" w:hint="eastAsia"/>
          <w:szCs w:val="24"/>
          <w:lang w:eastAsia="zh-CN"/>
        </w:rPr>
        <w:t>马里奥</w:t>
      </w:r>
      <w:r w:rsidR="008A1D41">
        <w:rPr>
          <w:szCs w:val="24"/>
          <w:lang w:eastAsia="zh-CN"/>
        </w:rPr>
        <w:t>·</w:t>
      </w:r>
      <w:r w:rsidR="008A1D41">
        <w:rPr>
          <w:rFonts w:ascii="SimSun" w:hAnsi="SimSun" w:hint="eastAsia"/>
          <w:szCs w:val="24"/>
          <w:lang w:eastAsia="zh-CN"/>
        </w:rPr>
        <w:t>马尼维奇</w:t>
      </w:r>
    </w:p>
    <w:p w:rsidR="00FE08CC" w:rsidRDefault="00FE08CC" w:rsidP="008A1D41">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3D5536">
      <w:pPr>
        <w:spacing w:before="720"/>
        <w:rPr>
          <w:lang w:eastAsia="zh-CN"/>
        </w:rPr>
      </w:pPr>
      <w:r w:rsidRPr="00D17B12">
        <w:rPr>
          <w:rFonts w:hint="eastAsia"/>
          <w:b/>
          <w:bCs/>
          <w:lang w:eastAsia="zh-CN"/>
        </w:rPr>
        <w:t>文件：</w:t>
      </w:r>
      <w:hyperlink r:id="rId10" w:history="1">
        <w:r w:rsidR="008A1D41" w:rsidRPr="008A1D41">
          <w:rPr>
            <w:rStyle w:val="Hyperlink"/>
            <w:szCs w:val="24"/>
          </w:rPr>
          <w:t>1/206(Rev.1)</w:t>
        </w:r>
      </w:hyperlink>
      <w:r w:rsidR="008A1D41">
        <w:rPr>
          <w:szCs w:val="24"/>
          <w:lang w:val="fr-FR"/>
        </w:rPr>
        <w:t>、</w:t>
      </w:r>
      <w:hyperlink r:id="rId11" w:history="1">
        <w:r w:rsidR="008A1D41" w:rsidRPr="008A1D41">
          <w:rPr>
            <w:rStyle w:val="Hyperlink"/>
            <w:szCs w:val="24"/>
          </w:rPr>
          <w:t>1/208(Rev.1)</w:t>
        </w:r>
      </w:hyperlink>
      <w:r w:rsidR="008A1D41">
        <w:rPr>
          <w:szCs w:val="24"/>
          <w:lang w:val="fr-FR"/>
        </w:rPr>
        <w:t>、</w:t>
      </w:r>
      <w:hyperlink r:id="rId12" w:history="1">
        <w:r w:rsidR="008A1D41" w:rsidRPr="008A1D41">
          <w:rPr>
            <w:rStyle w:val="Hyperlink"/>
            <w:szCs w:val="24"/>
          </w:rPr>
          <w:t>1/212(Rev.1)</w:t>
        </w:r>
      </w:hyperlink>
      <w:r w:rsidR="008A1D41">
        <w:rPr>
          <w:rFonts w:hint="eastAsia"/>
          <w:szCs w:val="24"/>
          <w:lang w:val="en-GB" w:eastAsia="zh-CN"/>
        </w:rPr>
        <w:t>和</w:t>
      </w:r>
      <w:hyperlink r:id="rId13" w:history="1">
        <w:r w:rsidR="008A1D41" w:rsidRPr="00AB3735">
          <w:rPr>
            <w:rStyle w:val="Hyperlink"/>
            <w:szCs w:val="24"/>
            <w:lang w:val="en-GB"/>
          </w:rPr>
          <w:t>1/216(Rev.1)</w:t>
        </w:r>
      </w:hyperlink>
      <w:r>
        <w:rPr>
          <w:rFonts w:hint="eastAsia"/>
          <w:lang w:eastAsia="zh-CN"/>
        </w:rPr>
        <w:t>号文件</w:t>
      </w:r>
    </w:p>
    <w:p w:rsidR="00FE08CC" w:rsidRDefault="00FE08CC" w:rsidP="00AF32FC">
      <w:pPr>
        <w:spacing w:before="360"/>
        <w:jc w:val="left"/>
        <w:rPr>
          <w:lang w:eastAsia="zh-CN"/>
        </w:rPr>
      </w:pPr>
      <w:r>
        <w:rPr>
          <w:rFonts w:hint="eastAsia"/>
          <w:lang w:eastAsia="zh-CN"/>
        </w:rPr>
        <w:t>以下网站提供这些文件的电子版：</w:t>
      </w:r>
      <w:r w:rsidR="00AF32FC">
        <w:rPr>
          <w:lang w:eastAsia="zh-CN"/>
        </w:rPr>
        <w:br/>
      </w:r>
      <w:hyperlink r:id="rId14" w:history="1">
        <w:r w:rsidR="008A1D41" w:rsidRPr="00D13D2D">
          <w:rPr>
            <w:rStyle w:val="Hyperlink"/>
            <w:szCs w:val="24"/>
            <w:lang w:eastAsia="zh-CN"/>
          </w:rPr>
          <w:t>https://www.itu.int/md/R15-SG01-C/en</w:t>
        </w:r>
      </w:hyperlink>
    </w:p>
    <w:p w:rsidR="00D13164" w:rsidRDefault="00D13164" w:rsidP="00A805F2">
      <w:pPr>
        <w:spacing w:before="1680"/>
        <w:rPr>
          <w:b/>
          <w:bCs/>
          <w:sz w:val="18"/>
          <w:szCs w:val="18"/>
          <w:lang w:eastAsia="zh-CN"/>
        </w:rPr>
      </w:pPr>
    </w:p>
    <w:p w:rsidR="00FE08CC" w:rsidRPr="00ED6723" w:rsidRDefault="00FE08CC" w:rsidP="00AF32FC">
      <w:pPr>
        <w:spacing w:before="264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B96825">
        <w:rPr>
          <w:sz w:val="18"/>
          <w:szCs w:val="18"/>
          <w:lang w:eastAsia="zh-CN"/>
        </w:rPr>
        <w:t>1</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B96825">
        <w:rPr>
          <w:sz w:val="18"/>
          <w:szCs w:val="18"/>
          <w:lang w:eastAsia="zh-CN"/>
        </w:rPr>
        <w:t>1</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8A1D41" w:rsidRDefault="008A1D41" w:rsidP="008A1D41">
      <w:pPr>
        <w:tabs>
          <w:tab w:val="right" w:pos="9639"/>
        </w:tabs>
        <w:spacing w:before="480"/>
        <w:rPr>
          <w:rFonts w:asciiTheme="minorHAnsi" w:hAnsiTheme="minorHAnsi" w:cstheme="minorHAnsi"/>
          <w:szCs w:val="24"/>
          <w:lang w:eastAsia="zh-CN"/>
        </w:rPr>
      </w:pPr>
      <w:r w:rsidRPr="00DB1344">
        <w:rPr>
          <w:rFonts w:asciiTheme="minorHAnsi" w:hAnsiTheme="minorHAnsi" w:cstheme="minorHAnsi"/>
          <w:szCs w:val="24"/>
          <w:u w:val="single"/>
          <w:lang w:eastAsia="zh-CN"/>
        </w:rPr>
        <w:t>ITU-R SM</w:t>
      </w:r>
      <w:proofErr w:type="gramStart"/>
      <w:r w:rsidRPr="00DB1344">
        <w:rPr>
          <w:rFonts w:asciiTheme="minorHAnsi" w:hAnsiTheme="minorHAnsi" w:cstheme="minorHAnsi"/>
          <w:szCs w:val="24"/>
          <w:u w:val="single"/>
          <w:lang w:eastAsia="zh-CN"/>
        </w:rPr>
        <w:t>.[</w:t>
      </w:r>
      <w:proofErr w:type="gramEnd"/>
      <w:r w:rsidRPr="00DB1344">
        <w:rPr>
          <w:rFonts w:asciiTheme="minorHAnsi" w:hAnsiTheme="minorHAnsi" w:cstheme="minorHAnsi"/>
          <w:szCs w:val="24"/>
          <w:u w:val="single"/>
          <w:lang w:eastAsia="zh-CN"/>
        </w:rPr>
        <w:t>WPT_MOBILE]</w:t>
      </w:r>
      <w:r w:rsidRPr="00ED6723">
        <w:rPr>
          <w:rFonts w:hint="eastAsia"/>
          <w:u w:val="single"/>
          <w:lang w:eastAsia="zh-CN"/>
        </w:rPr>
        <w:t>新</w:t>
      </w:r>
      <w:r w:rsidRPr="00ED6723">
        <w:rPr>
          <w:u w:val="single"/>
          <w:lang w:eastAsia="zh-CN"/>
        </w:rPr>
        <w:t>建议书</w:t>
      </w:r>
      <w:r>
        <w:rPr>
          <w:rFonts w:hint="eastAsia"/>
          <w:u w:val="single"/>
          <w:lang w:eastAsia="zh-CN"/>
        </w:rPr>
        <w:t>草案</w:t>
      </w:r>
      <w:r w:rsidRPr="00DB1344">
        <w:rPr>
          <w:rFonts w:asciiTheme="minorHAnsi" w:hAnsiTheme="minorHAnsi" w:cstheme="minorHAnsi"/>
          <w:szCs w:val="24"/>
          <w:lang w:eastAsia="zh-CN"/>
        </w:rPr>
        <w:tab/>
        <w:t>1/216</w:t>
      </w:r>
      <w:r w:rsidRPr="008D077B">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8A1D41" w:rsidRPr="00A15609" w:rsidRDefault="008B42AF" w:rsidP="008A1D41">
      <w:pPr>
        <w:pStyle w:val="Reptitle"/>
        <w:rPr>
          <w:color w:val="800000"/>
          <w:sz w:val="22"/>
          <w:szCs w:val="24"/>
          <w:highlight w:val="cyan"/>
          <w:lang w:eastAsia="zh-CN"/>
        </w:rPr>
      </w:pPr>
      <w:r w:rsidRPr="008E4156">
        <w:rPr>
          <w:rFonts w:hint="eastAsia"/>
          <w:bCs/>
          <w:szCs w:val="28"/>
          <w:lang w:eastAsia="zh-CN"/>
        </w:rPr>
        <w:t>移动便携设备</w:t>
      </w:r>
      <w:r w:rsidR="00C96DA9">
        <w:rPr>
          <w:rFonts w:hint="eastAsia"/>
          <w:bCs/>
          <w:szCs w:val="28"/>
          <w:lang w:eastAsia="zh-CN"/>
        </w:rPr>
        <w:t>的</w:t>
      </w:r>
      <w:r w:rsidR="003002BF" w:rsidRPr="00457CF3">
        <w:rPr>
          <w:rFonts w:hint="eastAsia"/>
          <w:bCs/>
          <w:szCs w:val="28"/>
          <w:lang w:eastAsia="zh-CN"/>
        </w:rPr>
        <w:t>非波</w:t>
      </w:r>
      <w:r w:rsidR="003002BF" w:rsidRPr="00457CF3">
        <w:rPr>
          <w:bCs/>
          <w:szCs w:val="28"/>
          <w:lang w:eastAsia="zh-CN"/>
        </w:rPr>
        <w:t>束</w:t>
      </w:r>
      <w:r w:rsidR="003002BF" w:rsidRPr="00457CF3">
        <w:rPr>
          <w:rFonts w:hint="eastAsia"/>
          <w:bCs/>
          <w:szCs w:val="28"/>
          <w:lang w:eastAsia="zh-CN"/>
        </w:rPr>
        <w:t>无线</w:t>
      </w:r>
      <w:r w:rsidR="00C96DA9">
        <w:rPr>
          <w:rFonts w:hint="eastAsia"/>
          <w:bCs/>
          <w:szCs w:val="28"/>
          <w:lang w:eastAsia="zh-CN"/>
        </w:rPr>
        <w:t>供</w:t>
      </w:r>
      <w:r w:rsidR="003002BF" w:rsidRPr="00457CF3">
        <w:rPr>
          <w:rFonts w:hint="eastAsia"/>
          <w:bCs/>
          <w:szCs w:val="28"/>
          <w:lang w:eastAsia="zh-CN"/>
        </w:rPr>
        <w:t>电（</w:t>
      </w:r>
      <w:r w:rsidR="003002BF" w:rsidRPr="00457CF3">
        <w:rPr>
          <w:bCs/>
          <w:szCs w:val="28"/>
          <w:lang w:eastAsia="zh-CN"/>
        </w:rPr>
        <w:t>WPT</w:t>
      </w:r>
      <w:r w:rsidR="003002BF" w:rsidRPr="00457CF3">
        <w:rPr>
          <w:rFonts w:hint="eastAsia"/>
          <w:bCs/>
          <w:szCs w:val="28"/>
          <w:lang w:eastAsia="zh-CN"/>
        </w:rPr>
        <w:t>）系统的操作</w:t>
      </w:r>
      <w:r w:rsidR="003002BF" w:rsidRPr="00457CF3">
        <w:rPr>
          <w:bCs/>
          <w:szCs w:val="28"/>
          <w:lang w:eastAsia="zh-CN"/>
        </w:rPr>
        <w:t>频率</w:t>
      </w:r>
      <w:r w:rsidR="003002BF" w:rsidRPr="00457CF3">
        <w:rPr>
          <w:rFonts w:hint="eastAsia"/>
          <w:bCs/>
          <w:szCs w:val="28"/>
          <w:lang w:eastAsia="zh-CN"/>
        </w:rPr>
        <w:t>范围</w:t>
      </w:r>
      <w:r w:rsidR="008A1D41" w:rsidRPr="00A15609">
        <w:rPr>
          <w:color w:val="800000"/>
          <w:sz w:val="22"/>
          <w:lang w:eastAsia="zh-CN"/>
        </w:rPr>
        <w:t xml:space="preserve"> </w:t>
      </w:r>
    </w:p>
    <w:p w:rsidR="008A1D41" w:rsidRPr="003002BF" w:rsidRDefault="00C96DA9" w:rsidP="003D5536">
      <w:pPr>
        <w:pStyle w:val="Summary"/>
        <w:ind w:firstLineChars="200" w:firstLine="480"/>
        <w:rPr>
          <w:rFonts w:eastAsiaTheme="minorEastAsia"/>
          <w:b/>
          <w:color w:val="800000"/>
          <w:sz w:val="22"/>
          <w:highlight w:val="cyan"/>
          <w:lang w:eastAsia="zh-CN"/>
        </w:rPr>
      </w:pPr>
      <w:r>
        <w:rPr>
          <w:rFonts w:eastAsiaTheme="minorEastAsia" w:hint="eastAsia"/>
          <w:lang w:eastAsia="zh-CN"/>
        </w:rPr>
        <w:t>此</w:t>
      </w:r>
      <w:r w:rsidR="003002BF" w:rsidRPr="003002BF">
        <w:rPr>
          <w:rFonts w:eastAsiaTheme="minorEastAsia"/>
          <w:lang w:eastAsia="zh-CN"/>
        </w:rPr>
        <w:t>建议书为</w:t>
      </w:r>
      <w:r w:rsidR="008B42AF">
        <w:rPr>
          <w:rFonts w:eastAsiaTheme="minorEastAsia" w:hint="eastAsia"/>
          <w:lang w:eastAsia="zh-CN"/>
        </w:rPr>
        <w:t>移动便携设备</w:t>
      </w:r>
      <w:r>
        <w:rPr>
          <w:rFonts w:eastAsiaTheme="minorEastAsia" w:hint="eastAsia"/>
          <w:lang w:eastAsia="zh-CN"/>
        </w:rPr>
        <w:t>的</w:t>
      </w:r>
      <w:r>
        <w:rPr>
          <w:rFonts w:eastAsiaTheme="minorEastAsia"/>
          <w:lang w:eastAsia="zh-CN"/>
        </w:rPr>
        <w:t>非波束无线</w:t>
      </w:r>
      <w:r>
        <w:rPr>
          <w:rFonts w:eastAsiaTheme="minorEastAsia" w:hint="eastAsia"/>
          <w:lang w:eastAsia="zh-CN"/>
        </w:rPr>
        <w:t>供</w:t>
      </w:r>
      <w:r w:rsidR="003002BF" w:rsidRPr="003002BF">
        <w:rPr>
          <w:rFonts w:eastAsiaTheme="minorEastAsia"/>
          <w:lang w:eastAsia="zh-CN"/>
        </w:rPr>
        <w:t>电（</w:t>
      </w:r>
      <w:r w:rsidR="003002BF" w:rsidRPr="003002BF">
        <w:rPr>
          <w:rFonts w:eastAsiaTheme="minorEastAsia"/>
          <w:lang w:eastAsia="zh-CN"/>
        </w:rPr>
        <w:t>WPT</w:t>
      </w:r>
      <w:r w:rsidR="003002BF" w:rsidRPr="003002BF">
        <w:rPr>
          <w:rFonts w:eastAsiaTheme="minorEastAsia"/>
          <w:lang w:eastAsia="zh-CN"/>
        </w:rPr>
        <w:t>）操作的频率范围提供了导则</w:t>
      </w:r>
      <w:r>
        <w:rPr>
          <w:rFonts w:eastAsiaTheme="minorEastAsia" w:hint="eastAsia"/>
          <w:lang w:eastAsia="zh-CN"/>
        </w:rPr>
        <w:t>。</w:t>
      </w:r>
      <w:r w:rsidR="008A1D41" w:rsidRPr="003002BF">
        <w:rPr>
          <w:rFonts w:eastAsiaTheme="minorEastAsia"/>
          <w:b/>
          <w:color w:val="800000"/>
          <w:sz w:val="22"/>
          <w:lang w:eastAsia="ko-KR"/>
        </w:rPr>
        <w:t xml:space="preserve"> </w:t>
      </w:r>
    </w:p>
    <w:p w:rsidR="008A1D41" w:rsidRPr="008D077B" w:rsidRDefault="008A1D41" w:rsidP="008A1D41">
      <w:pPr>
        <w:tabs>
          <w:tab w:val="right" w:pos="9639"/>
        </w:tabs>
        <w:spacing w:before="480"/>
        <w:rPr>
          <w:rFonts w:asciiTheme="minorHAnsi" w:hAnsiTheme="minorHAnsi" w:cstheme="minorHAnsi"/>
          <w:szCs w:val="24"/>
          <w:lang w:eastAsia="zh-CN"/>
        </w:rPr>
      </w:pPr>
      <w:r w:rsidRPr="008D077B">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SM.1268-4</w:t>
      </w:r>
      <w:r w:rsidRPr="00ED6723">
        <w:rPr>
          <w:u w:val="single"/>
          <w:lang w:eastAsia="zh-CN"/>
        </w:rPr>
        <w:t>建议书修订草案</w:t>
      </w:r>
      <w:r>
        <w:rPr>
          <w:rFonts w:asciiTheme="minorHAnsi" w:hAnsiTheme="minorHAnsi" w:cstheme="minorHAnsi"/>
          <w:szCs w:val="24"/>
          <w:lang w:eastAsia="zh-CN"/>
        </w:rPr>
        <w:tab/>
        <w:t>1/206</w:t>
      </w:r>
      <w:r w:rsidRPr="008D077B">
        <w:rPr>
          <w:rFonts w:asciiTheme="minorHAnsi" w:hAnsiTheme="minorHAnsi" w:cstheme="minorHAnsi"/>
          <w:szCs w:val="24"/>
          <w:lang w:eastAsia="zh-CN"/>
        </w:rPr>
        <w:t>(Rev.1</w:t>
      </w:r>
      <w:proofErr w:type="gramStart"/>
      <w:r w:rsidRPr="008D077B">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8A1D41" w:rsidRPr="00522A73" w:rsidRDefault="003002BF" w:rsidP="008A1D41">
      <w:pPr>
        <w:pStyle w:val="Reptitle"/>
        <w:rPr>
          <w:color w:val="800000"/>
          <w:sz w:val="22"/>
          <w:highlight w:val="yellow"/>
          <w:lang w:eastAsia="zh-CN"/>
        </w:rPr>
      </w:pPr>
      <w:r>
        <w:rPr>
          <w:rFonts w:hint="eastAsia"/>
          <w:lang w:eastAsia="zh-CN"/>
        </w:rPr>
        <w:t>监测站测量调频（</w:t>
      </w:r>
      <w:r>
        <w:rPr>
          <w:lang w:eastAsia="zh-CN"/>
        </w:rPr>
        <w:t>FM</w:t>
      </w:r>
      <w:r>
        <w:rPr>
          <w:rFonts w:hint="eastAsia"/>
          <w:lang w:eastAsia="zh-CN"/>
        </w:rPr>
        <w:t>）广播发射最大频偏的方法</w:t>
      </w:r>
    </w:p>
    <w:p w:rsidR="008A1D41" w:rsidRPr="00B238F9" w:rsidRDefault="00B57B54" w:rsidP="003D5536">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B57B54">
        <w:rPr>
          <w:rFonts w:asciiTheme="minorHAnsi" w:hAnsiTheme="minorHAnsi" w:cstheme="minorHAnsi" w:hint="eastAsia"/>
          <w:szCs w:val="20"/>
          <w:lang w:val="en-GB" w:eastAsia="zh-CN"/>
        </w:rPr>
        <w:t>ITU-R SM.1268-4</w:t>
      </w:r>
      <w:r>
        <w:rPr>
          <w:rFonts w:asciiTheme="minorHAnsi" w:hAnsiTheme="minorHAnsi" w:cstheme="minorHAnsi" w:hint="eastAsia"/>
          <w:szCs w:val="20"/>
          <w:lang w:val="en-GB" w:eastAsia="zh-CN"/>
        </w:rPr>
        <w:t>建议书</w:t>
      </w:r>
      <w:r w:rsidR="00C96DA9">
        <w:rPr>
          <w:rFonts w:asciiTheme="minorHAnsi" w:hAnsiTheme="minorHAnsi" w:cstheme="minorHAnsi" w:hint="eastAsia"/>
          <w:szCs w:val="20"/>
          <w:lang w:val="en-GB" w:eastAsia="zh-CN"/>
        </w:rPr>
        <w:t>的这一</w:t>
      </w:r>
      <w:r w:rsidRPr="00B57B54">
        <w:rPr>
          <w:rFonts w:asciiTheme="minorHAnsi" w:hAnsiTheme="minorHAnsi" w:cstheme="minorHAnsi" w:hint="eastAsia"/>
          <w:szCs w:val="20"/>
          <w:lang w:val="en-GB" w:eastAsia="zh-CN"/>
        </w:rPr>
        <w:t>拟议修订</w:t>
      </w:r>
      <w:r w:rsidR="00335906">
        <w:rPr>
          <w:rFonts w:asciiTheme="minorHAnsi" w:hAnsiTheme="minorHAnsi" w:cstheme="minorHAnsi" w:hint="eastAsia"/>
          <w:szCs w:val="20"/>
          <w:lang w:val="en-GB" w:eastAsia="zh-CN"/>
        </w:rPr>
        <w:t>进一步规定了评估测量位置反射的方法。</w:t>
      </w:r>
      <w:r w:rsidR="00C96DA9">
        <w:rPr>
          <w:rFonts w:asciiTheme="minorHAnsi" w:hAnsiTheme="minorHAnsi" w:cstheme="minorHAnsi" w:hint="eastAsia"/>
          <w:szCs w:val="20"/>
          <w:lang w:val="en-GB" w:eastAsia="zh-CN"/>
        </w:rPr>
        <w:t>为使更</w:t>
      </w:r>
      <w:r w:rsidR="00335906">
        <w:rPr>
          <w:rFonts w:asciiTheme="minorHAnsi" w:hAnsiTheme="minorHAnsi" w:cstheme="minorHAnsi" w:hint="eastAsia"/>
          <w:szCs w:val="20"/>
          <w:lang w:val="en-GB" w:eastAsia="zh-CN"/>
        </w:rPr>
        <w:t>新</w:t>
      </w:r>
      <w:r w:rsidR="00C96DA9">
        <w:rPr>
          <w:rFonts w:asciiTheme="minorHAnsi" w:hAnsiTheme="minorHAnsi" w:cstheme="minorHAnsi" w:hint="eastAsia"/>
          <w:szCs w:val="20"/>
          <w:lang w:val="en-GB" w:eastAsia="zh-CN"/>
        </w:rPr>
        <w:t>的</w:t>
      </w:r>
      <w:r w:rsidRPr="00B57B54">
        <w:rPr>
          <w:rFonts w:asciiTheme="minorHAnsi" w:hAnsiTheme="minorHAnsi" w:cstheme="minorHAnsi" w:hint="eastAsia"/>
          <w:szCs w:val="20"/>
          <w:lang w:val="en-GB" w:eastAsia="zh-CN"/>
        </w:rPr>
        <w:t>数字反射计的结果与模拟反射计的结果</w:t>
      </w:r>
      <w:r w:rsidR="00335906">
        <w:rPr>
          <w:rFonts w:asciiTheme="minorHAnsi" w:hAnsiTheme="minorHAnsi" w:cstheme="minorHAnsi" w:hint="eastAsia"/>
          <w:szCs w:val="20"/>
          <w:lang w:val="en-GB" w:eastAsia="zh-CN"/>
        </w:rPr>
        <w:t>保持</w:t>
      </w:r>
      <w:r w:rsidRPr="00B57B54">
        <w:rPr>
          <w:rFonts w:asciiTheme="minorHAnsi" w:hAnsiTheme="minorHAnsi" w:cstheme="minorHAnsi" w:hint="eastAsia"/>
          <w:szCs w:val="20"/>
          <w:lang w:val="en-GB" w:eastAsia="zh-CN"/>
        </w:rPr>
        <w:t>一致</w:t>
      </w:r>
      <w:r w:rsidR="00C96DA9">
        <w:rPr>
          <w:rFonts w:asciiTheme="minorHAnsi" w:hAnsiTheme="minorHAnsi" w:cstheme="minorHAnsi" w:hint="eastAsia"/>
          <w:szCs w:val="20"/>
          <w:lang w:val="en-GB" w:eastAsia="zh-CN"/>
        </w:rPr>
        <w:t>，这样做确有必要</w:t>
      </w:r>
      <w:r w:rsidRPr="00B57B54">
        <w:rPr>
          <w:rFonts w:asciiTheme="minorHAnsi" w:hAnsiTheme="minorHAnsi" w:cstheme="minorHAnsi" w:hint="eastAsia"/>
          <w:szCs w:val="20"/>
          <w:lang w:val="en-GB" w:eastAsia="zh-CN"/>
        </w:rPr>
        <w:t>。</w:t>
      </w:r>
    </w:p>
    <w:p w:rsidR="008A1D41" w:rsidRPr="00B238F9" w:rsidRDefault="00335906" w:rsidP="003D5536">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val="en-GB" w:eastAsia="zh-CN"/>
        </w:rPr>
      </w:pPr>
      <w:r>
        <w:rPr>
          <w:rFonts w:asciiTheme="minorHAnsi" w:hAnsiTheme="minorHAnsi" w:cstheme="minorHAnsi" w:hint="eastAsia"/>
          <w:szCs w:val="20"/>
          <w:lang w:val="en-GB" w:eastAsia="zh-CN"/>
        </w:rPr>
        <w:t>拟议</w:t>
      </w:r>
      <w:r w:rsidR="00C96DA9">
        <w:rPr>
          <w:rFonts w:asciiTheme="minorHAnsi" w:hAnsiTheme="minorHAnsi" w:cstheme="minorHAnsi" w:hint="eastAsia"/>
          <w:szCs w:val="20"/>
          <w:lang w:val="en-GB" w:eastAsia="zh-CN"/>
        </w:rPr>
        <w:t>修改仅涉及</w:t>
      </w:r>
      <w:r w:rsidRPr="00335906">
        <w:rPr>
          <w:rFonts w:asciiTheme="minorHAnsi" w:hAnsiTheme="minorHAnsi" w:cstheme="minorHAnsi" w:hint="eastAsia"/>
          <w:szCs w:val="20"/>
          <w:lang w:val="en-GB" w:eastAsia="zh-CN"/>
        </w:rPr>
        <w:t>附件</w:t>
      </w:r>
      <w:r w:rsidRPr="00335906">
        <w:rPr>
          <w:rFonts w:asciiTheme="minorHAnsi" w:hAnsiTheme="minorHAnsi" w:cstheme="minorHAnsi" w:hint="eastAsia"/>
          <w:szCs w:val="20"/>
          <w:lang w:val="en-GB" w:eastAsia="zh-CN"/>
        </w:rPr>
        <w:t>2</w:t>
      </w:r>
      <w:r>
        <w:rPr>
          <w:rFonts w:asciiTheme="minorHAnsi" w:hAnsiTheme="minorHAnsi" w:cstheme="minorHAnsi" w:hint="eastAsia"/>
          <w:szCs w:val="20"/>
          <w:lang w:val="en-GB" w:eastAsia="zh-CN"/>
        </w:rPr>
        <w:t>。</w:t>
      </w:r>
    </w:p>
    <w:p w:rsidR="008A1D41" w:rsidRPr="008D077B" w:rsidRDefault="008A1D41" w:rsidP="008A1D41">
      <w:pPr>
        <w:tabs>
          <w:tab w:val="right" w:pos="9639"/>
        </w:tabs>
        <w:spacing w:before="480"/>
        <w:rPr>
          <w:rFonts w:asciiTheme="minorHAnsi" w:hAnsiTheme="minorHAnsi" w:cstheme="minorHAnsi"/>
          <w:szCs w:val="24"/>
          <w:lang w:eastAsia="zh-CN"/>
        </w:rPr>
      </w:pPr>
      <w:r w:rsidRPr="008D077B">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SM.1054-0</w:t>
      </w:r>
      <w:r w:rsidRPr="00ED6723">
        <w:rPr>
          <w:u w:val="single"/>
          <w:lang w:eastAsia="zh-CN"/>
        </w:rPr>
        <w:t>建议书修订草案</w:t>
      </w:r>
      <w:r>
        <w:rPr>
          <w:rFonts w:asciiTheme="minorHAnsi" w:hAnsiTheme="minorHAnsi" w:cstheme="minorHAnsi"/>
          <w:szCs w:val="24"/>
          <w:lang w:eastAsia="zh-CN"/>
        </w:rPr>
        <w:tab/>
        <w:t>1</w:t>
      </w:r>
      <w:r w:rsidRPr="008D077B">
        <w:rPr>
          <w:rFonts w:asciiTheme="minorHAnsi" w:hAnsiTheme="minorHAnsi" w:cstheme="minorHAnsi"/>
          <w:szCs w:val="24"/>
          <w:lang w:eastAsia="zh-CN"/>
        </w:rPr>
        <w:t>/</w:t>
      </w:r>
      <w:r>
        <w:rPr>
          <w:rFonts w:asciiTheme="minorHAnsi" w:hAnsiTheme="minorHAnsi" w:cstheme="minorHAnsi"/>
          <w:szCs w:val="24"/>
          <w:lang w:eastAsia="zh-CN"/>
        </w:rPr>
        <w:t>208</w:t>
      </w:r>
      <w:r w:rsidRPr="008D077B">
        <w:rPr>
          <w:rFonts w:asciiTheme="minorHAnsi" w:hAnsiTheme="minorHAnsi" w:cstheme="minorHAnsi"/>
          <w:szCs w:val="24"/>
          <w:lang w:eastAsia="zh-CN"/>
        </w:rPr>
        <w:t>(Rev.1</w:t>
      </w:r>
      <w:proofErr w:type="gramStart"/>
      <w:r w:rsidRPr="008D077B">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8A1D41" w:rsidRPr="00522A73" w:rsidRDefault="008B42AF" w:rsidP="008A1D41">
      <w:pPr>
        <w:pStyle w:val="Reptitle"/>
        <w:rPr>
          <w:rStyle w:val="RectitleChar"/>
          <w:b/>
          <w:bCs/>
          <w:color w:val="800000"/>
          <w:szCs w:val="24"/>
          <w:highlight w:val="yellow"/>
          <w:lang w:eastAsia="zh-CN"/>
        </w:rPr>
      </w:pPr>
      <w:r w:rsidRPr="008B42AF">
        <w:rPr>
          <w:rFonts w:hint="eastAsia"/>
          <w:lang w:eastAsia="zh-CN"/>
        </w:rPr>
        <w:t>监测站对宇航器无线电发射的监测</w:t>
      </w:r>
      <w:r w:rsidR="008A1D41" w:rsidRPr="00522A73">
        <w:rPr>
          <w:color w:val="800000"/>
          <w:sz w:val="22"/>
          <w:lang w:eastAsia="zh-CN"/>
        </w:rPr>
        <w:t xml:space="preserve"> </w:t>
      </w:r>
    </w:p>
    <w:p w:rsidR="008A1D41" w:rsidRPr="00D172FF" w:rsidRDefault="00335906" w:rsidP="003D5536">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335906">
        <w:rPr>
          <w:rFonts w:asciiTheme="minorHAnsi" w:hAnsiTheme="minorHAnsi" w:cstheme="minorHAnsi" w:hint="eastAsia"/>
          <w:szCs w:val="20"/>
          <w:lang w:val="en-GB" w:eastAsia="zh-CN"/>
        </w:rPr>
        <w:t>此次修订的目的是</w:t>
      </w:r>
      <w:r w:rsidR="00C96DA9">
        <w:rPr>
          <w:rFonts w:asciiTheme="minorHAnsi" w:hAnsiTheme="minorHAnsi" w:cstheme="minorHAnsi" w:hint="eastAsia"/>
          <w:szCs w:val="20"/>
          <w:lang w:val="en-GB" w:eastAsia="zh-CN"/>
        </w:rPr>
        <w:t>，利</w:t>
      </w:r>
      <w:r>
        <w:rPr>
          <w:rFonts w:asciiTheme="minorHAnsi" w:hAnsiTheme="minorHAnsi" w:cstheme="minorHAnsi" w:hint="eastAsia"/>
          <w:szCs w:val="20"/>
          <w:lang w:val="en-GB" w:eastAsia="zh-CN"/>
        </w:rPr>
        <w:t>用关于卫星监测合作的</w:t>
      </w:r>
      <w:r w:rsidRPr="00D172FF">
        <w:rPr>
          <w:rFonts w:asciiTheme="minorHAnsi" w:hAnsiTheme="minorHAnsi" w:cstheme="minorHAnsi"/>
          <w:szCs w:val="20"/>
          <w:lang w:val="en-GB" w:eastAsia="zh-CN"/>
        </w:rPr>
        <w:t xml:space="preserve">ITU-R </w:t>
      </w:r>
      <w:r>
        <w:rPr>
          <w:rFonts w:asciiTheme="minorHAnsi" w:hAnsiTheme="minorHAnsi" w:cstheme="minorHAnsi"/>
          <w:szCs w:val="20"/>
          <w:lang w:eastAsia="zh-CN"/>
        </w:rPr>
        <w:t>SM.2453</w:t>
      </w:r>
      <w:r>
        <w:rPr>
          <w:rFonts w:asciiTheme="minorHAnsi" w:hAnsiTheme="minorHAnsi" w:cstheme="minorHAnsi"/>
          <w:szCs w:val="20"/>
          <w:lang w:eastAsia="zh-CN"/>
        </w:rPr>
        <w:noBreakHyphen/>
      </w:r>
      <w:r w:rsidRPr="00D172FF">
        <w:rPr>
          <w:rFonts w:asciiTheme="minorHAnsi" w:hAnsiTheme="minorHAnsi" w:cstheme="minorHAnsi"/>
          <w:szCs w:val="20"/>
          <w:lang w:eastAsia="zh-CN"/>
        </w:rPr>
        <w:t>0</w:t>
      </w:r>
      <w:r w:rsidR="00C96DA9">
        <w:rPr>
          <w:rFonts w:asciiTheme="minorHAnsi" w:hAnsiTheme="minorHAnsi" w:cstheme="minorHAnsi" w:hint="eastAsia"/>
          <w:szCs w:val="20"/>
          <w:lang w:eastAsia="zh-CN"/>
        </w:rPr>
        <w:t>号</w:t>
      </w:r>
      <w:r w:rsidR="00C96DA9">
        <w:rPr>
          <w:rFonts w:asciiTheme="minorHAnsi" w:hAnsiTheme="minorHAnsi" w:cstheme="minorHAnsi" w:hint="eastAsia"/>
          <w:szCs w:val="20"/>
          <w:lang w:val="en-GB" w:eastAsia="zh-CN"/>
        </w:rPr>
        <w:t>新报告</w:t>
      </w:r>
      <w:r w:rsidRPr="00335906">
        <w:rPr>
          <w:rFonts w:asciiTheme="minorHAnsi" w:hAnsiTheme="minorHAnsi" w:cstheme="minorHAnsi" w:hint="eastAsia"/>
          <w:szCs w:val="20"/>
          <w:lang w:val="en-GB" w:eastAsia="zh-CN"/>
        </w:rPr>
        <w:t>更新建议</w:t>
      </w:r>
      <w:r>
        <w:rPr>
          <w:rFonts w:asciiTheme="minorHAnsi" w:hAnsiTheme="minorHAnsi" w:cstheme="minorHAnsi" w:hint="eastAsia"/>
          <w:szCs w:val="20"/>
          <w:lang w:val="en-GB" w:eastAsia="zh-CN"/>
        </w:rPr>
        <w:t>书</w:t>
      </w:r>
      <w:r w:rsidRPr="00335906">
        <w:rPr>
          <w:rFonts w:asciiTheme="minorHAnsi" w:hAnsiTheme="minorHAnsi" w:cstheme="minorHAnsi" w:hint="eastAsia"/>
          <w:szCs w:val="20"/>
          <w:lang w:val="en-GB" w:eastAsia="zh-CN"/>
        </w:rPr>
        <w:t>，并</w:t>
      </w:r>
      <w:r w:rsidR="00C96DA9">
        <w:rPr>
          <w:rFonts w:asciiTheme="minorHAnsi" w:hAnsiTheme="minorHAnsi" w:cstheme="minorHAnsi" w:hint="eastAsia"/>
          <w:szCs w:val="20"/>
          <w:lang w:val="en-GB" w:eastAsia="zh-CN"/>
        </w:rPr>
        <w:t>且</w:t>
      </w:r>
      <w:r w:rsidRPr="00335906">
        <w:rPr>
          <w:rFonts w:asciiTheme="minorHAnsi" w:hAnsiTheme="minorHAnsi" w:cstheme="minorHAnsi" w:hint="eastAsia"/>
          <w:szCs w:val="20"/>
          <w:lang w:val="en-GB" w:eastAsia="zh-CN"/>
        </w:rPr>
        <w:t>更新</w:t>
      </w:r>
      <w:r>
        <w:rPr>
          <w:rFonts w:asciiTheme="minorHAnsi" w:hAnsiTheme="minorHAnsi" w:cstheme="minorHAnsi" w:hint="eastAsia"/>
          <w:szCs w:val="20"/>
          <w:lang w:val="en-GB" w:eastAsia="zh-CN"/>
        </w:rPr>
        <w:t>此</w:t>
      </w:r>
      <w:r w:rsidRPr="00335906">
        <w:rPr>
          <w:rFonts w:asciiTheme="minorHAnsi" w:hAnsiTheme="minorHAnsi" w:cstheme="minorHAnsi" w:hint="eastAsia"/>
          <w:szCs w:val="20"/>
          <w:lang w:val="en-GB" w:eastAsia="zh-CN"/>
        </w:rPr>
        <w:t>文件。</w:t>
      </w:r>
    </w:p>
    <w:p w:rsidR="00AF32FC" w:rsidRDefault="00AF32FC">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8A1D41" w:rsidRPr="008D077B" w:rsidRDefault="008A1D41" w:rsidP="008A1D41">
      <w:pPr>
        <w:tabs>
          <w:tab w:val="right" w:pos="9639"/>
        </w:tabs>
        <w:spacing w:before="480"/>
        <w:rPr>
          <w:rFonts w:asciiTheme="minorHAnsi" w:hAnsiTheme="minorHAnsi" w:cstheme="minorHAnsi"/>
          <w:szCs w:val="24"/>
          <w:lang w:eastAsia="zh-CN"/>
        </w:rPr>
      </w:pPr>
      <w:r w:rsidRPr="008D077B">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SM.1875-2</w:t>
      </w:r>
      <w:r w:rsidRPr="00ED6723">
        <w:rPr>
          <w:u w:val="single"/>
          <w:lang w:eastAsia="zh-CN"/>
        </w:rPr>
        <w:t>建议书修订草案</w:t>
      </w:r>
      <w:r>
        <w:rPr>
          <w:rFonts w:asciiTheme="minorHAnsi" w:hAnsiTheme="minorHAnsi" w:cstheme="minorHAnsi"/>
          <w:szCs w:val="24"/>
          <w:lang w:eastAsia="zh-CN"/>
        </w:rPr>
        <w:tab/>
        <w:t>1</w:t>
      </w:r>
      <w:r w:rsidRPr="008D077B">
        <w:rPr>
          <w:rFonts w:asciiTheme="minorHAnsi" w:hAnsiTheme="minorHAnsi" w:cstheme="minorHAnsi"/>
          <w:szCs w:val="24"/>
          <w:lang w:eastAsia="zh-CN"/>
        </w:rPr>
        <w:t>/</w:t>
      </w:r>
      <w:r>
        <w:rPr>
          <w:rFonts w:asciiTheme="minorHAnsi" w:hAnsiTheme="minorHAnsi" w:cstheme="minorHAnsi"/>
          <w:szCs w:val="24"/>
          <w:lang w:eastAsia="zh-CN"/>
        </w:rPr>
        <w:t>212</w:t>
      </w:r>
      <w:r w:rsidRPr="008D077B">
        <w:rPr>
          <w:rFonts w:asciiTheme="minorHAnsi" w:hAnsiTheme="minorHAnsi" w:cstheme="minorHAnsi"/>
          <w:szCs w:val="24"/>
          <w:lang w:eastAsia="zh-CN"/>
        </w:rPr>
        <w:t>(Rev.1</w:t>
      </w:r>
      <w:proofErr w:type="gramStart"/>
      <w:r w:rsidRPr="008D077B">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8A1D41" w:rsidRPr="00A859B6" w:rsidRDefault="003002BF" w:rsidP="008A1D41">
      <w:pPr>
        <w:pStyle w:val="Reptitle"/>
        <w:rPr>
          <w:rStyle w:val="RectitleChar"/>
          <w:b/>
          <w:bCs/>
          <w:color w:val="800000"/>
          <w:szCs w:val="24"/>
          <w:highlight w:val="yellow"/>
          <w:lang w:eastAsia="zh-CN"/>
        </w:rPr>
      </w:pPr>
      <w:bookmarkStart w:id="1" w:name="OLE_LINK3"/>
      <w:bookmarkStart w:id="2" w:name="OLE_LINK4"/>
      <w:r w:rsidRPr="00F45904">
        <w:rPr>
          <w:lang w:val="en-GB" w:eastAsia="zh-CN"/>
        </w:rPr>
        <w:t>DVB-T</w:t>
      </w:r>
      <w:r w:rsidRPr="00F45904">
        <w:rPr>
          <w:rFonts w:hint="eastAsia"/>
          <w:lang w:val="en-GB" w:eastAsia="zh-CN"/>
        </w:rPr>
        <w:t>覆盖测量和规划标准的验证</w:t>
      </w:r>
      <w:bookmarkEnd w:id="1"/>
      <w:bookmarkEnd w:id="2"/>
    </w:p>
    <w:p w:rsidR="008A1D41" w:rsidRPr="00D172FF" w:rsidRDefault="00C96DA9" w:rsidP="003D5536">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b/>
          <w:lang w:eastAsia="zh-CN"/>
        </w:rPr>
      </w:pPr>
      <w:r>
        <w:rPr>
          <w:rFonts w:asciiTheme="minorHAnsi" w:hAnsiTheme="minorHAnsi" w:cstheme="minorHAnsi" w:hint="eastAsia"/>
          <w:szCs w:val="24"/>
          <w:lang w:eastAsia="zh-CN"/>
        </w:rPr>
        <w:t>此</w:t>
      </w:r>
      <w:r w:rsidR="00335906">
        <w:rPr>
          <w:rFonts w:asciiTheme="minorHAnsi" w:hAnsiTheme="minorHAnsi" w:cstheme="minorHAnsi" w:hint="eastAsia"/>
          <w:szCs w:val="24"/>
          <w:lang w:eastAsia="zh-CN"/>
        </w:rPr>
        <w:t>拟议</w:t>
      </w:r>
      <w:r w:rsidR="00335906" w:rsidRPr="00335906">
        <w:rPr>
          <w:rFonts w:asciiTheme="minorHAnsi" w:hAnsiTheme="minorHAnsi" w:cstheme="minorHAnsi" w:hint="eastAsia"/>
          <w:szCs w:val="24"/>
          <w:lang w:eastAsia="zh-CN"/>
        </w:rPr>
        <w:t>修订草案包括以下修改</w:t>
      </w:r>
      <w:r w:rsidR="00335906">
        <w:rPr>
          <w:rFonts w:asciiTheme="minorHAnsi" w:hAnsiTheme="minorHAnsi" w:cstheme="minorHAnsi" w:hint="eastAsia"/>
          <w:szCs w:val="24"/>
          <w:lang w:eastAsia="zh-CN"/>
        </w:rPr>
        <w:t>内容：</w:t>
      </w:r>
    </w:p>
    <w:p w:rsidR="008A1D41" w:rsidRPr="00D172FF" w:rsidRDefault="008A1D41" w:rsidP="003D5536">
      <w:pPr>
        <w:pStyle w:val="enumlev1"/>
        <w:rPr>
          <w:lang w:val="en-GB" w:eastAsia="zh-CN"/>
        </w:rPr>
      </w:pPr>
      <w:r w:rsidRPr="00D172FF">
        <w:rPr>
          <w:lang w:val="en-GB" w:eastAsia="zh-CN"/>
        </w:rPr>
        <w:t>–</w:t>
      </w:r>
      <w:r w:rsidRPr="00D172FF">
        <w:rPr>
          <w:lang w:val="en-GB" w:eastAsia="zh-CN"/>
        </w:rPr>
        <w:tab/>
      </w:r>
      <w:r w:rsidR="00335906" w:rsidRPr="00335906">
        <w:rPr>
          <w:rFonts w:hint="eastAsia"/>
          <w:lang w:val="en-GB" w:eastAsia="zh-CN"/>
        </w:rPr>
        <w:t>澄清固定接收的现有测量方法；</w:t>
      </w:r>
    </w:p>
    <w:p w:rsidR="008A1D41" w:rsidRPr="00D172FF" w:rsidRDefault="008A1D41" w:rsidP="003D5536">
      <w:pPr>
        <w:pStyle w:val="enumlev1"/>
        <w:rPr>
          <w:lang w:val="en-GB" w:eastAsia="zh-CN"/>
        </w:rPr>
      </w:pPr>
      <w:r w:rsidRPr="00D172FF">
        <w:rPr>
          <w:lang w:val="en-GB" w:eastAsia="zh-CN"/>
        </w:rPr>
        <w:t>–</w:t>
      </w:r>
      <w:r w:rsidRPr="00D172FF">
        <w:rPr>
          <w:lang w:val="en-GB" w:eastAsia="zh-CN"/>
        </w:rPr>
        <w:tab/>
      </w:r>
      <w:r w:rsidR="00816129">
        <w:rPr>
          <w:rFonts w:hint="eastAsia"/>
          <w:lang w:val="en-GB" w:eastAsia="zh-CN"/>
        </w:rPr>
        <w:t>介</w:t>
      </w:r>
      <w:r w:rsidR="00335906" w:rsidRPr="00335906">
        <w:rPr>
          <w:rFonts w:hint="eastAsia"/>
          <w:lang w:val="en-GB" w:eastAsia="zh-CN"/>
        </w:rPr>
        <w:t>绍在特定条件下使用的固定接收的两种替代测量方法</w:t>
      </w:r>
      <w:r w:rsidR="00335906">
        <w:rPr>
          <w:rFonts w:hint="eastAsia"/>
          <w:lang w:val="en-GB" w:eastAsia="zh-CN"/>
        </w:rPr>
        <w:t>；</w:t>
      </w:r>
    </w:p>
    <w:p w:rsidR="008A1D41" w:rsidRPr="00D172FF" w:rsidRDefault="008A1D41" w:rsidP="003D5536">
      <w:pPr>
        <w:pStyle w:val="enumlev1"/>
        <w:rPr>
          <w:lang w:val="en-GB" w:eastAsia="zh-CN"/>
        </w:rPr>
      </w:pPr>
      <w:r w:rsidRPr="00D172FF">
        <w:rPr>
          <w:lang w:val="en-GB" w:eastAsia="zh-CN"/>
        </w:rPr>
        <w:t>–</w:t>
      </w:r>
      <w:r w:rsidRPr="00D172FF">
        <w:rPr>
          <w:lang w:val="en-GB" w:eastAsia="zh-CN"/>
        </w:rPr>
        <w:tab/>
        <w:t>DVB-T2</w:t>
      </w:r>
      <w:r w:rsidR="00335906">
        <w:rPr>
          <w:rFonts w:hint="eastAsia"/>
          <w:lang w:val="en-GB" w:eastAsia="zh-CN"/>
        </w:rPr>
        <w:t>的纳入</w:t>
      </w:r>
      <w:r w:rsidRPr="00D172FF">
        <w:rPr>
          <w:lang w:val="en-GB" w:eastAsia="zh-CN"/>
        </w:rPr>
        <w:t>;</w:t>
      </w:r>
    </w:p>
    <w:p w:rsidR="00D13164" w:rsidRPr="00D13164" w:rsidRDefault="008A1D41" w:rsidP="003D5536">
      <w:pPr>
        <w:pStyle w:val="enumlev1"/>
        <w:rPr>
          <w:lang w:eastAsia="zh-CN"/>
        </w:rPr>
      </w:pPr>
      <w:r w:rsidRPr="00D172FF">
        <w:rPr>
          <w:lang w:val="en-GB" w:eastAsia="zh-CN"/>
        </w:rPr>
        <w:t>–</w:t>
      </w:r>
      <w:r w:rsidRPr="00D172FF">
        <w:rPr>
          <w:lang w:val="en-GB" w:eastAsia="zh-CN"/>
        </w:rPr>
        <w:tab/>
      </w:r>
      <w:r w:rsidR="00335906" w:rsidRPr="00335906">
        <w:rPr>
          <w:rFonts w:hint="eastAsia"/>
          <w:lang w:val="en-GB" w:eastAsia="zh-CN"/>
        </w:rPr>
        <w:t>与</w:t>
      </w:r>
      <w:r w:rsidR="00335906" w:rsidRPr="00D172FF">
        <w:rPr>
          <w:lang w:val="en-GB" w:eastAsia="zh-CN"/>
        </w:rPr>
        <w:t>ITU-R</w:t>
      </w:r>
      <w:r w:rsidR="00335906">
        <w:rPr>
          <w:rFonts w:hint="eastAsia"/>
          <w:lang w:val="en-GB" w:eastAsia="zh-CN"/>
        </w:rPr>
        <w:t>建议书</w:t>
      </w:r>
      <w:r w:rsidR="00335906" w:rsidRPr="00335906">
        <w:rPr>
          <w:rFonts w:hint="eastAsia"/>
          <w:lang w:val="en-GB" w:eastAsia="zh-CN"/>
        </w:rPr>
        <w:t>的新格式保持一致</w:t>
      </w:r>
      <w:r w:rsidR="00335906">
        <w:rPr>
          <w:rFonts w:hint="eastAsia"/>
          <w:lang w:val="en-GB" w:eastAsia="zh-CN"/>
        </w:rPr>
        <w:t>。</w:t>
      </w:r>
    </w:p>
    <w:p w:rsidR="00B6766B" w:rsidRDefault="00B6766B" w:rsidP="00B6766B">
      <w:pPr>
        <w:rPr>
          <w:lang w:eastAsia="zh-CN"/>
        </w:rPr>
      </w:pPr>
    </w:p>
    <w:p w:rsidR="003D5536" w:rsidRPr="00170F1E" w:rsidRDefault="003D5536" w:rsidP="00B6766B">
      <w:pPr>
        <w:rPr>
          <w:lang w:eastAsia="zh-CN"/>
        </w:rPr>
      </w:pPr>
    </w:p>
    <w:p w:rsidR="00ED6723" w:rsidRDefault="00ED6723" w:rsidP="00EC745E">
      <w:pPr>
        <w:jc w:val="center"/>
      </w:pPr>
      <w:r>
        <w:t>_______________</w:t>
      </w:r>
    </w:p>
    <w:sectPr w:rsidR="00ED6723"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E6" w:rsidRDefault="003D5536" w:rsidP="00DA16E6">
    <w:pPr>
      <w:pStyle w:val="FirstFooter"/>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AF32FC">
      <w:rPr>
        <w:rStyle w:val="PageNumber"/>
        <w:noProof/>
        <w:sz w:val="18"/>
        <w:szCs w:val="18"/>
      </w:rPr>
      <w:t>4</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AF32FC">
      <w:rPr>
        <w:iCs/>
        <w:noProof/>
        <w:sz w:val="18"/>
        <w:szCs w:val="18"/>
      </w:rPr>
      <w:t>3</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B613FA" w:rsidP="00DA16E6">
          <w:pPr>
            <w:pStyle w:val="Header"/>
            <w:tabs>
              <w:tab w:val="clear" w:pos="794"/>
              <w:tab w:val="clear" w:pos="4820"/>
            </w:tabs>
            <w:spacing w:before="120" w:line="360" w:lineRule="auto"/>
          </w:pPr>
          <w:r w:rsidRPr="008E52B1">
            <w:rPr>
              <w:noProof/>
              <w:color w:val="3399FF"/>
              <w:lang w:val="en-GB" w:eastAsia="en-GB"/>
            </w:rPr>
            <w:drawing>
              <wp:inline distT="0" distB="0" distL="0" distR="0" wp14:anchorId="0201BEE8" wp14:editId="18058780">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DA16E6" w:rsidRDefault="00B613FA" w:rsidP="00B613FA">
          <w:pPr>
            <w:pStyle w:val="Header"/>
            <w:tabs>
              <w:tab w:val="clear" w:pos="794"/>
              <w:tab w:val="clear" w:pos="4820"/>
            </w:tabs>
            <w:spacing w:before="360" w:line="360" w:lineRule="auto"/>
            <w:jc w:val="right"/>
          </w:pPr>
          <w:r>
            <w:rPr>
              <w:noProof/>
              <w:lang w:val="en-GB" w:eastAsia="en-GB"/>
            </w:rPr>
            <w:drawing>
              <wp:inline distT="0" distB="0" distL="0" distR="0" wp14:anchorId="07A1730D" wp14:editId="57C7627C">
                <wp:extent cx="1919387" cy="654889"/>
                <wp:effectExtent l="0" t="0" r="5080" b="0"/>
                <wp:docPr id="7" name="Picture 7"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205C"/>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002BF"/>
    <w:rsid w:val="00316935"/>
    <w:rsid w:val="003266ED"/>
    <w:rsid w:val="00326C68"/>
    <w:rsid w:val="00334544"/>
    <w:rsid w:val="00335906"/>
    <w:rsid w:val="003370B8"/>
    <w:rsid w:val="00345D38"/>
    <w:rsid w:val="00352097"/>
    <w:rsid w:val="00352678"/>
    <w:rsid w:val="003666FF"/>
    <w:rsid w:val="0037309C"/>
    <w:rsid w:val="00380A6E"/>
    <w:rsid w:val="003836D4"/>
    <w:rsid w:val="003A1F49"/>
    <w:rsid w:val="003A55ED"/>
    <w:rsid w:val="003A5D52"/>
    <w:rsid w:val="003B2BDA"/>
    <w:rsid w:val="003B55EC"/>
    <w:rsid w:val="003C2EA7"/>
    <w:rsid w:val="003C4471"/>
    <w:rsid w:val="003C7D41"/>
    <w:rsid w:val="003D4A69"/>
    <w:rsid w:val="003D5536"/>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7D2E"/>
    <w:rsid w:val="006829F3"/>
    <w:rsid w:val="006A518B"/>
    <w:rsid w:val="006B0590"/>
    <w:rsid w:val="006B49DA"/>
    <w:rsid w:val="006C53F8"/>
    <w:rsid w:val="006C7CDE"/>
    <w:rsid w:val="00721360"/>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C5314"/>
    <w:rsid w:val="007D183E"/>
    <w:rsid w:val="007D43D0"/>
    <w:rsid w:val="007E1833"/>
    <w:rsid w:val="007E3F13"/>
    <w:rsid w:val="007F751A"/>
    <w:rsid w:val="00800012"/>
    <w:rsid w:val="0080261F"/>
    <w:rsid w:val="00806160"/>
    <w:rsid w:val="008143A4"/>
    <w:rsid w:val="0081513E"/>
    <w:rsid w:val="00816129"/>
    <w:rsid w:val="008443D9"/>
    <w:rsid w:val="00854131"/>
    <w:rsid w:val="0085652D"/>
    <w:rsid w:val="0087694B"/>
    <w:rsid w:val="00880F4D"/>
    <w:rsid w:val="00887C4A"/>
    <w:rsid w:val="008A0B89"/>
    <w:rsid w:val="008A1D41"/>
    <w:rsid w:val="008B35A3"/>
    <w:rsid w:val="008B37E1"/>
    <w:rsid w:val="008B42AF"/>
    <w:rsid w:val="008B45F8"/>
    <w:rsid w:val="008C2E74"/>
    <w:rsid w:val="008D5409"/>
    <w:rsid w:val="008E006D"/>
    <w:rsid w:val="008E38B4"/>
    <w:rsid w:val="008E4156"/>
    <w:rsid w:val="008F4F21"/>
    <w:rsid w:val="008F79D0"/>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32FC"/>
    <w:rsid w:val="00AF3325"/>
    <w:rsid w:val="00AF34D9"/>
    <w:rsid w:val="00AF70DA"/>
    <w:rsid w:val="00B019D3"/>
    <w:rsid w:val="00B06B90"/>
    <w:rsid w:val="00B34CF9"/>
    <w:rsid w:val="00B37559"/>
    <w:rsid w:val="00B4054B"/>
    <w:rsid w:val="00B579B0"/>
    <w:rsid w:val="00B57B54"/>
    <w:rsid w:val="00B57D11"/>
    <w:rsid w:val="00B613FA"/>
    <w:rsid w:val="00B649D7"/>
    <w:rsid w:val="00B6766B"/>
    <w:rsid w:val="00B81C2F"/>
    <w:rsid w:val="00B90743"/>
    <w:rsid w:val="00B90C45"/>
    <w:rsid w:val="00B933BE"/>
    <w:rsid w:val="00B96825"/>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96DA9"/>
    <w:rsid w:val="00CA3F44"/>
    <w:rsid w:val="00CA4E58"/>
    <w:rsid w:val="00CB3771"/>
    <w:rsid w:val="00CB44BF"/>
    <w:rsid w:val="00CB5153"/>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ECA43F"/>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8A1D41"/>
    <w:rPr>
      <w:b/>
      <w:sz w:val="28"/>
      <w:szCs w:val="22"/>
      <w:lang w:val="en-US" w:eastAsia="en-US"/>
    </w:rPr>
  </w:style>
  <w:style w:type="paragraph" w:customStyle="1" w:styleId="Summary">
    <w:name w:val="Summary"/>
    <w:basedOn w:val="Normal"/>
    <w:next w:val="Normalaftertitle"/>
    <w:autoRedefine/>
    <w:rsid w:val="008A1D41"/>
    <w:pPr>
      <w:spacing w:before="240" w:after="480"/>
      <w:jc w:val="left"/>
    </w:pPr>
    <w:rPr>
      <w:rFonts w:asciiTheme="minorHAnsi" w:eastAsia="Times New Roman" w:hAnsiTheme="minorHAnsi" w:cstheme="minorHAnsi"/>
    </w:rPr>
  </w:style>
  <w:style w:type="character" w:styleId="FollowedHyperlink">
    <w:name w:val="FollowedHyperlink"/>
    <w:basedOn w:val="DefaultParagraphFont"/>
    <w:semiHidden/>
    <w:unhideWhenUsed/>
    <w:rsid w:val="00300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1-C-0216/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1-C-0212/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20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1-C-020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1-C/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C672-C9FC-4B1B-811D-E4BBFCD9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1076</Words>
  <Characters>924</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Soto Romero, Alicia</cp:lastModifiedBy>
  <cp:revision>4</cp:revision>
  <cp:lastPrinted>2013-03-08T10:15:00Z</cp:lastPrinted>
  <dcterms:created xsi:type="dcterms:W3CDTF">2019-06-17T15:33:00Z</dcterms:created>
  <dcterms:modified xsi:type="dcterms:W3CDTF">2019-06-20T07:37:00Z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