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AF70F6" w:rsidTr="0029677E">
        <w:tc>
          <w:tcPr>
            <w:tcW w:w="5000" w:type="pct"/>
            <w:gridSpan w:val="3"/>
            <w:shd w:val="clear" w:color="auto" w:fill="auto"/>
          </w:tcPr>
          <w:p w:rsidR="00AF70F6" w:rsidRPr="00DF5990" w:rsidRDefault="00AF70F6" w:rsidP="00B31F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line="340" w:lineRule="exact"/>
              <w:rPr>
                <w:rFonts w:eastAsiaTheme="minorEastAsia"/>
                <w:b/>
                <w:bCs/>
                <w:color w:val="808080"/>
                <w:sz w:val="28"/>
                <w:szCs w:val="36"/>
                <w:rtl/>
                <w:lang w:eastAsia="zh-CN" w:bidi="ar-EG"/>
              </w:rPr>
            </w:pPr>
            <w:r w:rsidRPr="00DF5990">
              <w:rPr>
                <w:rFonts w:eastAsiaTheme="minorEastAsia"/>
                <w:b/>
                <w:bCs/>
                <w:color w:val="808080"/>
                <w:sz w:val="28"/>
                <w:szCs w:val="36"/>
                <w:rtl/>
                <w:lang w:eastAsia="zh-CN"/>
              </w:rPr>
              <w:t>مكتب</w:t>
            </w:r>
            <w:r w:rsidRPr="00DF5990">
              <w:rPr>
                <w:rFonts w:eastAsiaTheme="minorEastAsia" w:hint="cs"/>
                <w:b/>
                <w:bCs/>
                <w:color w:val="808080"/>
                <w:sz w:val="28"/>
                <w:szCs w:val="36"/>
                <w:rtl/>
                <w:lang w:eastAsia="zh-CN"/>
              </w:rPr>
              <w:t xml:space="preserve"> </w:t>
            </w:r>
            <w:r w:rsidRPr="00DF5990">
              <w:rPr>
                <w:rFonts w:eastAsiaTheme="minorEastAsia"/>
                <w:b/>
                <w:bCs/>
                <w:color w:val="808080"/>
                <w:sz w:val="28"/>
                <w:szCs w:val="36"/>
                <w:rtl/>
                <w:lang w:eastAsia="zh-CN"/>
              </w:rPr>
              <w:t>الاتصالات</w:t>
            </w:r>
            <w:r w:rsidRPr="00DF5990">
              <w:rPr>
                <w:rFonts w:eastAsiaTheme="minorEastAsia" w:hint="cs"/>
                <w:b/>
                <w:bCs/>
                <w:color w:val="808080"/>
                <w:sz w:val="28"/>
                <w:szCs w:val="36"/>
                <w:rtl/>
                <w:lang w:eastAsia="zh-CN"/>
              </w:rPr>
              <w:t xml:space="preserve"> </w:t>
            </w:r>
            <w:r w:rsidRPr="00DF5990">
              <w:rPr>
                <w:rFonts w:eastAsiaTheme="minorEastAsia"/>
                <w:b/>
                <w:bCs/>
                <w:color w:val="808080"/>
                <w:sz w:val="28"/>
                <w:szCs w:val="36"/>
                <w:rtl/>
                <w:lang w:eastAsia="zh-CN"/>
              </w:rPr>
              <w:t>الراديوية</w:t>
            </w:r>
            <w:r w:rsidRPr="00DF5990">
              <w:rPr>
                <w:rFonts w:eastAsiaTheme="minorEastAsia" w:hint="cs"/>
                <w:b/>
                <w:bCs/>
                <w:color w:val="808080"/>
                <w:sz w:val="28"/>
                <w:szCs w:val="36"/>
                <w:rtl/>
                <w:lang w:eastAsia="zh-CN"/>
              </w:rPr>
              <w:t xml:space="preserve"> </w:t>
            </w:r>
            <w:r w:rsidRPr="00DF5990">
              <w:rPr>
                <w:rFonts w:eastAsiaTheme="minorEastAsia"/>
                <w:b/>
                <w:bCs/>
                <w:color w:val="808080"/>
                <w:sz w:val="28"/>
                <w:szCs w:val="36"/>
                <w:lang w:eastAsia="zh-CN" w:bidi="ar-SY"/>
              </w:rPr>
              <w:t>(BR)</w:t>
            </w:r>
          </w:p>
          <w:p w:rsidR="008260B2" w:rsidRP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tc>
      </w:tr>
      <w:tr w:rsidR="00AF70F6" w:rsidRPr="00AF70F6" w:rsidTr="0029677E">
        <w:tc>
          <w:tcPr>
            <w:tcW w:w="2707" w:type="pct"/>
            <w:gridSpan w:val="2"/>
            <w:shd w:val="clear" w:color="auto" w:fill="auto"/>
          </w:tcPr>
          <w:p w:rsidR="00AF70F6" w:rsidRPr="007D3E25" w:rsidRDefault="00AF70F6" w:rsidP="007D3E2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lang w:eastAsia="zh-CN" w:bidi="ar-EG"/>
              </w:rPr>
            </w:pPr>
            <w:r w:rsidRPr="007D3E25">
              <w:rPr>
                <w:rFonts w:eastAsiaTheme="minorEastAsia" w:hint="cs"/>
                <w:rtl/>
                <w:lang w:eastAsia="zh-CN" w:bidi="ar-AE"/>
              </w:rPr>
              <w:t>الرسالة الإدارية المعممة</w:t>
            </w:r>
          </w:p>
          <w:p w:rsidR="00AF70F6" w:rsidRPr="007D3E25" w:rsidRDefault="00B31F96" w:rsidP="007D3E2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SY"/>
              </w:rPr>
            </w:pPr>
            <w:r w:rsidRPr="007D3E25">
              <w:rPr>
                <w:rFonts w:eastAsiaTheme="minorEastAsia"/>
                <w:b/>
                <w:bCs/>
                <w:lang w:val="en-GB" w:eastAsia="zh-CN" w:bidi="ar-SY"/>
              </w:rPr>
              <w:t>CACE</w:t>
            </w:r>
            <w:r w:rsidR="00AF70F6" w:rsidRPr="007D3E25">
              <w:rPr>
                <w:rFonts w:eastAsiaTheme="minorEastAsia"/>
                <w:b/>
                <w:bCs/>
                <w:lang w:val="en-GB" w:eastAsia="zh-CN" w:bidi="ar-SY"/>
              </w:rPr>
              <w:t>/</w:t>
            </w:r>
            <w:r w:rsidR="007D3E25">
              <w:rPr>
                <w:rFonts w:eastAsiaTheme="minorEastAsia"/>
                <w:b/>
                <w:bCs/>
                <w:lang w:eastAsia="zh-CN" w:bidi="ar-SY"/>
              </w:rPr>
              <w:t>906</w:t>
            </w:r>
          </w:p>
        </w:tc>
        <w:tc>
          <w:tcPr>
            <w:tcW w:w="2293" w:type="pct"/>
            <w:shd w:val="clear" w:color="auto" w:fill="auto"/>
          </w:tcPr>
          <w:p w:rsidR="00AF70F6" w:rsidRPr="00AF70F6" w:rsidRDefault="007D3E25" w:rsidP="00B31F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Pr>
                <w:rFonts w:eastAsiaTheme="minorEastAsia"/>
                <w:lang w:val="fr-FR" w:eastAsia="zh-CN" w:bidi="ar-SY"/>
              </w:rPr>
              <w:t>21</w:t>
            </w:r>
            <w:r>
              <w:rPr>
                <w:rFonts w:eastAsiaTheme="minorEastAsia" w:hint="cs"/>
                <w:rtl/>
                <w:lang w:val="fr-FR" w:eastAsia="zh-CN" w:bidi="ar-EG"/>
              </w:rPr>
              <w:t xml:space="preserve"> يونيو</w:t>
            </w:r>
            <w:r w:rsidR="00AF70F6" w:rsidRPr="00AF70F6">
              <w:rPr>
                <w:rFonts w:eastAsiaTheme="minorEastAsia" w:hint="cs"/>
                <w:rtl/>
                <w:lang w:eastAsia="zh-CN" w:bidi="ar-SY"/>
              </w:rPr>
              <w:t xml:space="preserve"> </w:t>
            </w:r>
            <w:r w:rsidR="00AF70F6" w:rsidRPr="00AF70F6">
              <w:rPr>
                <w:rFonts w:eastAsiaTheme="minorEastAsia"/>
                <w:lang w:eastAsia="zh-CN" w:bidi="ar-SY"/>
              </w:rPr>
              <w:t>201</w:t>
            </w:r>
            <w:r w:rsidR="00B31F96">
              <w:rPr>
                <w:rFonts w:eastAsiaTheme="minorEastAsia"/>
                <w:lang w:eastAsia="zh-CN" w:bidi="ar-SY"/>
              </w:rPr>
              <w:t>9</w:t>
            </w: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BC03CF" w:rsidTr="0029677E">
        <w:tc>
          <w:tcPr>
            <w:tcW w:w="5000" w:type="pct"/>
            <w:gridSpan w:val="3"/>
            <w:shd w:val="clear" w:color="auto" w:fill="auto"/>
          </w:tcPr>
          <w:p w:rsidR="00AF70F6" w:rsidRPr="00BC03CF" w:rsidRDefault="00AF70F6" w:rsidP="007D3E2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lang w:eastAsia="zh-CN" w:bidi="ar-SY"/>
              </w:rPr>
            </w:pPr>
            <w:r w:rsidRPr="00BC03CF">
              <w:rPr>
                <w:rFonts w:eastAsiaTheme="minorEastAsia"/>
                <w:b/>
                <w:bCs/>
                <w:w w:val="115"/>
                <w:rtl/>
                <w:lang w:eastAsia="zh-CN"/>
              </w:rPr>
              <w:t>إلى إدارات الدول الأعضاء في الاتحاد وأعضاء قطاع الاتصالات الراديوية</w:t>
            </w:r>
            <w:r w:rsidRPr="00BC03CF">
              <w:rPr>
                <w:rFonts w:eastAsiaTheme="minorEastAsia" w:hint="cs"/>
                <w:b/>
                <w:bCs/>
                <w:w w:val="115"/>
                <w:rtl/>
                <w:lang w:eastAsia="zh-CN"/>
              </w:rPr>
              <w:t xml:space="preserve"> و</w:t>
            </w:r>
            <w:r w:rsidRPr="00BC03CF">
              <w:rPr>
                <w:rFonts w:eastAsiaTheme="minorEastAsia"/>
                <w:b/>
                <w:bCs/>
                <w:w w:val="115"/>
                <w:rtl/>
                <w:lang w:eastAsia="zh-CN"/>
              </w:rPr>
              <w:t>المنتسبين إليه</w:t>
            </w:r>
            <w:r w:rsidRPr="00BC03CF">
              <w:rPr>
                <w:rFonts w:eastAsiaTheme="minorEastAsia"/>
                <w:b/>
                <w:bCs/>
                <w:rtl/>
                <w:lang w:eastAsia="zh-CN"/>
              </w:rPr>
              <w:br/>
            </w:r>
            <w:r w:rsidRPr="00BC03CF">
              <w:rPr>
                <w:rFonts w:eastAsiaTheme="minorEastAsia"/>
                <w:b/>
                <w:bCs/>
                <w:rtl/>
                <w:lang w:eastAsia="zh-CN" w:bidi="ar-EG"/>
              </w:rPr>
              <w:t xml:space="preserve">المشاركين في أعمال لجنة الدراسات </w:t>
            </w:r>
            <w:r w:rsidR="007D3E25" w:rsidRPr="00BC03CF">
              <w:rPr>
                <w:rFonts w:eastAsiaTheme="minorEastAsia"/>
                <w:b/>
                <w:bCs/>
                <w:lang w:val="en-GB" w:eastAsia="zh-CN" w:bidi="ar-SY"/>
              </w:rPr>
              <w:t>1</w:t>
            </w:r>
            <w:r w:rsidRPr="00BC03CF">
              <w:rPr>
                <w:rFonts w:eastAsiaTheme="minorEastAsia"/>
                <w:b/>
                <w:bCs/>
                <w:rtl/>
                <w:lang w:eastAsia="zh-CN" w:bidi="ar-EG"/>
              </w:rPr>
              <w:t xml:space="preserve"> للاتصالات الراديوية</w:t>
            </w:r>
            <w:r w:rsidRPr="00BC03CF">
              <w:rPr>
                <w:rFonts w:eastAsiaTheme="minorEastAsia" w:hint="cs"/>
                <w:b/>
                <w:bCs/>
                <w:rtl/>
                <w:lang w:eastAsia="zh-CN" w:bidi="ar-EG"/>
              </w:rPr>
              <w:t xml:space="preserve"> والهيئات الأكاديمية المنضمة إلى الاتحاد</w:t>
            </w:r>
          </w:p>
        </w:tc>
      </w:tr>
      <w:tr w:rsidR="008260B2" w:rsidRPr="00BC03CF" w:rsidTr="001D222D">
        <w:tc>
          <w:tcPr>
            <w:tcW w:w="5000" w:type="pct"/>
            <w:gridSpan w:val="3"/>
            <w:shd w:val="clear" w:color="auto" w:fill="auto"/>
          </w:tcPr>
          <w:p w:rsidR="008260B2" w:rsidRPr="00BC03CF"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8260B2" w:rsidRPr="00BC03CF" w:rsidTr="001D222D">
        <w:tc>
          <w:tcPr>
            <w:tcW w:w="5000" w:type="pct"/>
            <w:gridSpan w:val="3"/>
            <w:shd w:val="clear" w:color="auto" w:fill="auto"/>
          </w:tcPr>
          <w:p w:rsidR="008260B2" w:rsidRPr="00BC03CF"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BC03CF" w:rsidTr="0029677E">
        <w:trPr>
          <w:trHeight w:val="452"/>
        </w:trPr>
        <w:tc>
          <w:tcPr>
            <w:tcW w:w="699" w:type="pct"/>
            <w:shd w:val="clear" w:color="auto" w:fill="auto"/>
          </w:tcPr>
          <w:p w:rsidR="00AF70F6" w:rsidRPr="00BC03CF"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fr-FR" w:eastAsia="zh-CN" w:bidi="ar-SY"/>
              </w:rPr>
            </w:pPr>
            <w:r w:rsidRPr="00BC03CF">
              <w:rPr>
                <w:rFonts w:eastAsiaTheme="minorEastAsia"/>
                <w:rtl/>
                <w:lang w:eastAsia="zh-CN"/>
              </w:rPr>
              <w:t>الموضوع</w:t>
            </w:r>
            <w:r w:rsidRPr="00BC03CF">
              <w:rPr>
                <w:rFonts w:eastAsiaTheme="minorEastAsia"/>
                <w:lang w:val="en-GB" w:eastAsia="zh-CN" w:bidi="ar-SY"/>
              </w:rPr>
              <w:t>:</w:t>
            </w:r>
          </w:p>
        </w:tc>
        <w:tc>
          <w:tcPr>
            <w:tcW w:w="4301" w:type="pct"/>
            <w:gridSpan w:val="2"/>
            <w:shd w:val="clear" w:color="auto" w:fill="auto"/>
          </w:tcPr>
          <w:p w:rsidR="00AF70F6" w:rsidRPr="00BC03CF" w:rsidRDefault="00AF70F6" w:rsidP="007D3E25">
            <w:pPr>
              <w:spacing w:before="60" w:after="60" w:line="340" w:lineRule="exact"/>
              <w:rPr>
                <w:b/>
                <w:bCs/>
                <w:rtl/>
                <w:lang w:bidi="ar-EG"/>
              </w:rPr>
            </w:pPr>
            <w:r w:rsidRPr="00BC03CF">
              <w:rPr>
                <w:b/>
                <w:bCs/>
                <w:rtl/>
                <w:lang w:bidi="ar-EG"/>
              </w:rPr>
              <w:t xml:space="preserve">لجنة الدراسات </w:t>
            </w:r>
            <w:r w:rsidR="007D3E25" w:rsidRPr="00BC03CF">
              <w:rPr>
                <w:b/>
                <w:bCs/>
                <w:lang w:bidi="ar-SY"/>
              </w:rPr>
              <w:t>1</w:t>
            </w:r>
            <w:r w:rsidRPr="00BC03CF">
              <w:rPr>
                <w:b/>
                <w:bCs/>
                <w:rtl/>
                <w:lang w:bidi="ar-EG"/>
              </w:rPr>
              <w:t xml:space="preserve"> للاتصالات الراديوي</w:t>
            </w:r>
            <w:r w:rsidRPr="00BC03CF">
              <w:rPr>
                <w:rFonts w:hint="cs"/>
                <w:b/>
                <w:bCs/>
                <w:rtl/>
                <w:lang w:bidi="ar-EG"/>
              </w:rPr>
              <w:t>ة (</w:t>
            </w:r>
            <w:r w:rsidR="007D3E25" w:rsidRPr="00BC03CF">
              <w:rPr>
                <w:rFonts w:hint="cs"/>
                <w:b/>
                <w:bCs/>
                <w:rtl/>
                <w:lang w:bidi="ar-EG"/>
              </w:rPr>
              <w:t>إدارة الطيف</w:t>
            </w:r>
            <w:r w:rsidRPr="00BC03CF">
              <w:rPr>
                <w:rFonts w:hint="cs"/>
                <w:b/>
                <w:bCs/>
                <w:rtl/>
                <w:lang w:bidi="ar-EG"/>
              </w:rPr>
              <w:t>)</w:t>
            </w:r>
          </w:p>
          <w:p w:rsidR="00AF70F6" w:rsidRPr="00BC03CF" w:rsidRDefault="00D37B45" w:rsidP="007D3E25">
            <w:pPr>
              <w:tabs>
                <w:tab w:val="left" w:pos="386"/>
              </w:tabs>
              <w:spacing w:before="60" w:after="60" w:line="340" w:lineRule="exact"/>
              <w:ind w:left="386" w:hanging="386"/>
              <w:rPr>
                <w:b/>
                <w:bCs/>
                <w:lang w:bidi="ar-EG"/>
              </w:rPr>
            </w:pPr>
            <w:r w:rsidRPr="00BC03CF">
              <w:rPr>
                <w:rFonts w:hint="cs"/>
                <w:b/>
                <w:bCs/>
                <w:rtl/>
                <w:lang w:bidi="ar-EG"/>
              </w:rPr>
              <w:t>-</w:t>
            </w:r>
            <w:r w:rsidRPr="00BC03CF">
              <w:rPr>
                <w:b/>
                <w:bCs/>
                <w:rtl/>
                <w:lang w:bidi="ar-EG"/>
              </w:rPr>
              <w:tab/>
            </w:r>
            <w:r w:rsidR="007D3E25" w:rsidRPr="00BC03CF">
              <w:rPr>
                <w:rFonts w:eastAsiaTheme="minorEastAsia" w:hint="cs"/>
                <w:b/>
                <w:bCs/>
                <w:rtl/>
                <w:lang w:eastAsia="zh-CN" w:bidi="ar-EG"/>
              </w:rPr>
              <w:t xml:space="preserve"> </w:t>
            </w:r>
            <w:r w:rsidR="007D3E25" w:rsidRPr="00BC03CF">
              <w:rPr>
                <w:rFonts w:hint="cs"/>
                <w:b/>
                <w:bCs/>
                <w:rtl/>
                <w:lang w:bidi="ar-EG"/>
              </w:rPr>
              <w:t xml:space="preserve">اقتراح </w:t>
            </w:r>
            <w:r w:rsidR="007D3E25" w:rsidRPr="00BC03CF">
              <w:rPr>
                <w:b/>
                <w:bCs/>
                <w:rtl/>
                <w:lang w:bidi="ar-EG"/>
              </w:rPr>
              <w:t>اعتماد</w:t>
            </w:r>
            <w:r w:rsidR="007D3E25" w:rsidRPr="00BC03CF">
              <w:rPr>
                <w:rFonts w:hint="cs"/>
                <w:b/>
                <w:bCs/>
                <w:rtl/>
                <w:lang w:bidi="ar-EG"/>
              </w:rPr>
              <w:t xml:space="preserve"> مشروع </w:t>
            </w:r>
            <w:r w:rsidR="007D3E25" w:rsidRPr="00BC03CF">
              <w:rPr>
                <w:rFonts w:hint="cs"/>
                <w:b/>
                <w:bCs/>
                <w:rtl/>
              </w:rPr>
              <w:t xml:space="preserve">توصية جديدة </w:t>
            </w:r>
            <w:r w:rsidR="007D3E25" w:rsidRPr="00BC03CF">
              <w:rPr>
                <w:rFonts w:hint="cs"/>
                <w:b/>
                <w:bCs/>
                <w:rtl/>
                <w:lang w:bidi="ar-EG"/>
              </w:rPr>
              <w:t xml:space="preserve">لقطاع الاتصالات الراديوية </w:t>
            </w:r>
            <w:r w:rsidR="007D3E25" w:rsidRPr="00BC03CF">
              <w:rPr>
                <w:rFonts w:hint="cs"/>
                <w:b/>
                <w:bCs/>
                <w:rtl/>
              </w:rPr>
              <w:t xml:space="preserve">ومشاريع </w:t>
            </w:r>
            <w:r w:rsidR="000B7D69" w:rsidRPr="00BC03CF">
              <w:rPr>
                <w:rFonts w:hint="cs"/>
                <w:b/>
                <w:bCs/>
                <w:rtl/>
              </w:rPr>
              <w:t>مراجَعة</w:t>
            </w:r>
            <w:r w:rsidR="007D3E25" w:rsidRPr="00BC03CF">
              <w:rPr>
                <w:rFonts w:hint="cs"/>
                <w:b/>
                <w:bCs/>
                <w:rtl/>
              </w:rPr>
              <w:t xml:space="preserve"> </w:t>
            </w:r>
            <w:r w:rsidR="007D3E25" w:rsidRPr="00BC03CF">
              <w:rPr>
                <w:b/>
                <w:bCs/>
              </w:rPr>
              <w:t>3</w:t>
            </w:r>
            <w:r w:rsidR="007D3E25" w:rsidRPr="00BC03CF">
              <w:rPr>
                <w:rFonts w:hint="cs"/>
                <w:b/>
                <w:bCs/>
                <w:rtl/>
                <w:lang w:bidi="ar-SY"/>
              </w:rPr>
              <w:t xml:space="preserve"> </w:t>
            </w:r>
            <w:r w:rsidR="007D3E25" w:rsidRPr="00BC03CF">
              <w:rPr>
                <w:rFonts w:hint="cs"/>
                <w:b/>
                <w:bCs/>
                <w:rtl/>
              </w:rPr>
              <w:t>توصيات لقطاع الاتصالات الراديوية</w:t>
            </w:r>
            <w:r w:rsidR="007D3E25" w:rsidRPr="00BC03CF">
              <w:rPr>
                <w:b/>
                <w:bCs/>
                <w:rtl/>
                <w:lang w:bidi="ar-EG"/>
              </w:rPr>
              <w:t xml:space="preserve"> والموافقة عليها في</w:t>
            </w:r>
            <w:r w:rsidR="007D3E25" w:rsidRPr="00BC03CF">
              <w:rPr>
                <w:rFonts w:hint="eastAsia"/>
                <w:b/>
                <w:bCs/>
                <w:rtl/>
                <w:lang w:bidi="ar-EG"/>
              </w:rPr>
              <w:t> </w:t>
            </w:r>
            <w:r w:rsidR="007D3E25" w:rsidRPr="00BC03CF">
              <w:rPr>
                <w:b/>
                <w:bCs/>
                <w:rtl/>
                <w:lang w:bidi="ar-EG"/>
              </w:rPr>
              <w:t>نفس الوقت</w:t>
            </w:r>
            <w:r w:rsidR="007D3E25" w:rsidRPr="00BC03CF">
              <w:rPr>
                <w:rFonts w:hint="cs"/>
                <w:b/>
                <w:bCs/>
                <w:rtl/>
                <w:lang w:bidi="ar-EG"/>
              </w:rPr>
              <w:t xml:space="preserve"> بالمراسلة</w:t>
            </w:r>
            <w:r w:rsidR="007D3E25" w:rsidRPr="00BC03CF">
              <w:rPr>
                <w:b/>
                <w:bCs/>
                <w:rtl/>
                <w:lang w:bidi="ar-EG"/>
              </w:rPr>
              <w:t xml:space="preserve"> وفقاً للفقرة</w:t>
            </w:r>
            <w:r w:rsidR="007D3E25" w:rsidRPr="00BC03CF">
              <w:rPr>
                <w:rFonts w:hint="cs"/>
                <w:b/>
                <w:bCs/>
                <w:rtl/>
                <w:lang w:bidi="ar-EG"/>
              </w:rPr>
              <w:t> </w:t>
            </w:r>
            <w:r w:rsidR="007D3E25" w:rsidRPr="00BC03CF">
              <w:rPr>
                <w:b/>
                <w:bCs/>
                <w:lang w:val="fr-FR" w:bidi="ar-EG"/>
              </w:rPr>
              <w:t>4.2.6.A2</w:t>
            </w:r>
            <w:r w:rsidR="007D3E25" w:rsidRPr="00BC03CF">
              <w:rPr>
                <w:b/>
                <w:bCs/>
                <w:rtl/>
                <w:lang w:bidi="ar-EG"/>
              </w:rPr>
              <w:t xml:space="preserve"> من القرار </w:t>
            </w:r>
            <w:r w:rsidR="007D3E25" w:rsidRPr="00BC03CF">
              <w:rPr>
                <w:b/>
                <w:bCs/>
                <w:lang w:val="fr-FR" w:bidi="ar-EG"/>
              </w:rPr>
              <w:t>ITU-R 1-7</w:t>
            </w:r>
            <w:r w:rsidR="007D3E25" w:rsidRPr="00BC03CF">
              <w:rPr>
                <w:b/>
                <w:bCs/>
                <w:rtl/>
                <w:lang w:bidi="ar-EG"/>
              </w:rPr>
              <w:t xml:space="preserve"> (إجراء الاعتماد والموافقة في</w:t>
            </w:r>
            <w:r w:rsidR="007D3E25" w:rsidRPr="00BC03CF">
              <w:rPr>
                <w:rFonts w:hint="eastAsia"/>
                <w:b/>
                <w:bCs/>
                <w:rtl/>
                <w:lang w:bidi="ar-EG"/>
              </w:rPr>
              <w:t> </w:t>
            </w:r>
            <w:r w:rsidR="007D3E25" w:rsidRPr="00BC03CF">
              <w:rPr>
                <w:b/>
                <w:bCs/>
                <w:rtl/>
                <w:lang w:bidi="ar-EG"/>
              </w:rPr>
              <w:t xml:space="preserve">نفس الوقت </w:t>
            </w:r>
            <w:r w:rsidR="007D3E25" w:rsidRPr="00BC03CF">
              <w:rPr>
                <w:rFonts w:hint="cs"/>
                <w:b/>
                <w:bCs/>
                <w:rtl/>
                <w:lang w:bidi="ar-EG"/>
              </w:rPr>
              <w:t>عن طريق المراسلة</w:t>
            </w:r>
            <w:r w:rsidR="007D3E25" w:rsidRPr="00BC03CF">
              <w:rPr>
                <w:b/>
                <w:bCs/>
                <w:rtl/>
                <w:lang w:bidi="ar-EG"/>
              </w:rPr>
              <w:t>)</w:t>
            </w:r>
          </w:p>
        </w:tc>
      </w:tr>
    </w:tbl>
    <w:p w:rsidR="006157A3" w:rsidRPr="00BC03CF" w:rsidRDefault="007D3E25" w:rsidP="00BA736E">
      <w:pPr>
        <w:spacing w:before="600"/>
        <w:rPr>
          <w:rtl/>
          <w:lang w:bidi="ar-EG"/>
        </w:rPr>
      </w:pPr>
      <w:r w:rsidRPr="00BC03CF">
        <w:rPr>
          <w:rtl/>
          <w:lang w:bidi="ar-EG"/>
        </w:rPr>
        <w:t>قررت لجنة الدراسات</w:t>
      </w:r>
      <w:r w:rsidRPr="00BC03CF">
        <w:rPr>
          <w:rFonts w:hint="cs"/>
          <w:rtl/>
          <w:lang w:bidi="ar-EG"/>
        </w:rPr>
        <w:t> </w:t>
      </w:r>
      <w:r w:rsidRPr="00BC03CF">
        <w:rPr>
          <w:lang w:val="en-GB" w:bidi="ar-EG"/>
        </w:rPr>
        <w:t>1</w:t>
      </w:r>
      <w:r w:rsidRPr="00BC03CF">
        <w:rPr>
          <w:rtl/>
          <w:lang w:bidi="ar-EG"/>
        </w:rPr>
        <w:t xml:space="preserve"> للاتصالات الراديوية في اجتماعها المنعقد </w:t>
      </w:r>
      <w:r w:rsidR="002C7102">
        <w:rPr>
          <w:rFonts w:hint="cs"/>
          <w:rtl/>
          <w:lang w:bidi="ar-EG"/>
        </w:rPr>
        <w:t>يوم</w:t>
      </w:r>
      <w:r w:rsidR="00BA736E">
        <w:rPr>
          <w:rFonts w:hint="cs"/>
          <w:rtl/>
          <w:lang w:bidi="ar-EG"/>
        </w:rPr>
        <w:t>َ</w:t>
      </w:r>
      <w:r w:rsidR="002C7102">
        <w:rPr>
          <w:rFonts w:hint="cs"/>
          <w:rtl/>
          <w:lang w:bidi="ar-EG"/>
        </w:rPr>
        <w:t>ي</w:t>
      </w:r>
      <w:r w:rsidRPr="00BC03CF">
        <w:rPr>
          <w:rFonts w:hint="cs"/>
          <w:rtl/>
          <w:lang w:bidi="ar-EG"/>
        </w:rPr>
        <w:t xml:space="preserve"> </w:t>
      </w:r>
      <w:r w:rsidRPr="00BC03CF">
        <w:rPr>
          <w:lang w:bidi="ar-EG"/>
        </w:rPr>
        <w:t>6</w:t>
      </w:r>
      <w:r w:rsidRPr="00BC03CF">
        <w:rPr>
          <w:rFonts w:hint="cs"/>
          <w:rtl/>
          <w:lang w:bidi="ar-EG"/>
        </w:rPr>
        <w:t xml:space="preserve"> </w:t>
      </w:r>
      <w:r w:rsidR="002C7102">
        <w:rPr>
          <w:rFonts w:hint="cs"/>
          <w:rtl/>
          <w:lang w:bidi="ar-EG"/>
        </w:rPr>
        <w:t>و</w:t>
      </w:r>
      <w:r w:rsidRPr="00BC03CF">
        <w:rPr>
          <w:lang w:bidi="ar-EG"/>
        </w:rPr>
        <w:t>7</w:t>
      </w:r>
      <w:r w:rsidRPr="00BC03CF">
        <w:rPr>
          <w:rFonts w:hint="cs"/>
          <w:rtl/>
          <w:lang w:bidi="ar-EG"/>
        </w:rPr>
        <w:t xml:space="preserve"> يونيو </w:t>
      </w:r>
      <w:r w:rsidRPr="00BC03CF">
        <w:rPr>
          <w:lang w:bidi="ar-EG"/>
        </w:rPr>
        <w:t>2019</w:t>
      </w:r>
      <w:r w:rsidRPr="00BC03CF">
        <w:rPr>
          <w:rtl/>
          <w:lang w:bidi="ar-EG"/>
        </w:rPr>
        <w:t xml:space="preserve"> أن تلتمس اعتماد </w:t>
      </w:r>
      <w:r w:rsidRPr="00BC03CF">
        <w:rPr>
          <w:rFonts w:hint="cs"/>
          <w:rtl/>
          <w:lang w:bidi="ar-EG"/>
        </w:rPr>
        <w:t xml:space="preserve">مشروع توصية جديدة ومشاريع </w:t>
      </w:r>
      <w:r w:rsidR="000B7D69" w:rsidRPr="00BC03CF">
        <w:rPr>
          <w:rFonts w:hint="cs"/>
          <w:rtl/>
          <w:lang w:bidi="ar-EG"/>
        </w:rPr>
        <w:t>مراجَعة</w:t>
      </w:r>
      <w:r w:rsidRPr="00BC03CF">
        <w:rPr>
          <w:rFonts w:hint="cs"/>
          <w:rtl/>
          <w:lang w:bidi="ar-EG"/>
        </w:rPr>
        <w:t xml:space="preserve"> </w:t>
      </w:r>
      <w:r w:rsidRPr="00BC03CF">
        <w:rPr>
          <w:lang w:bidi="ar-EG"/>
        </w:rPr>
        <w:t>3</w:t>
      </w:r>
      <w:r w:rsidRPr="00BC03CF">
        <w:rPr>
          <w:rFonts w:hint="cs"/>
          <w:rtl/>
          <w:lang w:bidi="ar-EG"/>
        </w:rPr>
        <w:t xml:space="preserve"> توصيات لقطاع الاتصالات الراديوية عن طريق المراسلة (الفقرة</w:t>
      </w:r>
      <w:r w:rsidRPr="00BC03CF">
        <w:rPr>
          <w:rFonts w:hint="eastAsia"/>
          <w:rtl/>
          <w:lang w:bidi="ar-EG"/>
        </w:rPr>
        <w:t> </w:t>
      </w:r>
      <w:r w:rsidRPr="00BC03CF">
        <w:rPr>
          <w:lang w:bidi="ar-EG"/>
        </w:rPr>
        <w:t>2.6.A2</w:t>
      </w:r>
      <w:r w:rsidRPr="00BC03CF">
        <w:rPr>
          <w:rFonts w:hint="cs"/>
          <w:rtl/>
          <w:lang w:bidi="ar-EG"/>
        </w:rPr>
        <w:t xml:space="preserve"> من القرار </w:t>
      </w:r>
      <w:r w:rsidRPr="00BC03CF">
        <w:rPr>
          <w:lang w:bidi="ar-EG"/>
        </w:rPr>
        <w:t>ITU</w:t>
      </w:r>
      <w:r w:rsidRPr="00BC03CF">
        <w:rPr>
          <w:lang w:bidi="ar-EG"/>
        </w:rPr>
        <w:noBreakHyphen/>
        <w:t>R 1</w:t>
      </w:r>
      <w:r w:rsidRPr="00BC03CF">
        <w:rPr>
          <w:lang w:bidi="ar-EG"/>
        </w:rPr>
        <w:noBreakHyphen/>
        <w:t>7</w:t>
      </w:r>
      <w:r w:rsidRPr="00BC03CF">
        <w:rPr>
          <w:rFonts w:hint="cs"/>
          <w:rtl/>
          <w:lang w:bidi="ar-EG"/>
        </w:rPr>
        <w:t>) وقررت كذلك تطبيق إجراء الاعتماد والموافقة في نفس الوقت عن طريق المراسلة</w:t>
      </w:r>
      <w:r w:rsidRPr="00BC03CF">
        <w:rPr>
          <w:rFonts w:hint="eastAsia"/>
          <w:rtl/>
          <w:lang w:bidi="ar-EG"/>
        </w:rPr>
        <w:t> </w:t>
      </w:r>
      <w:r w:rsidRPr="00BC03CF">
        <w:rPr>
          <w:lang w:bidi="ar-EG"/>
        </w:rPr>
        <w:t>(PSAA)</w:t>
      </w:r>
      <w:r w:rsidRPr="00BC03CF">
        <w:rPr>
          <w:rFonts w:hint="cs"/>
          <w:rtl/>
          <w:lang w:bidi="ar-EG"/>
        </w:rPr>
        <w:t xml:space="preserve"> (الفقرة </w:t>
      </w:r>
      <w:r w:rsidRPr="00BC03CF">
        <w:rPr>
          <w:lang w:bidi="ar-EG"/>
        </w:rPr>
        <w:t>4.2.6.A2</w:t>
      </w:r>
      <w:r w:rsidRPr="00BC03CF">
        <w:rPr>
          <w:rFonts w:hint="cs"/>
          <w:rtl/>
          <w:lang w:bidi="ar-EG"/>
        </w:rPr>
        <w:t xml:space="preserve"> من القرار </w:t>
      </w:r>
      <w:r w:rsidRPr="00BC03CF">
        <w:rPr>
          <w:lang w:bidi="ar-EG"/>
        </w:rPr>
        <w:t>ITU</w:t>
      </w:r>
      <w:r w:rsidRPr="00BC03CF">
        <w:rPr>
          <w:lang w:bidi="ar-EG"/>
        </w:rPr>
        <w:noBreakHyphen/>
        <w:t>R 1</w:t>
      </w:r>
      <w:r w:rsidRPr="00BC03CF">
        <w:rPr>
          <w:lang w:bidi="ar-EG"/>
        </w:rPr>
        <w:noBreakHyphen/>
        <w:t>7</w:t>
      </w:r>
      <w:r w:rsidRPr="00BC03CF">
        <w:rPr>
          <w:rFonts w:hint="cs"/>
          <w:rtl/>
          <w:lang w:bidi="ar-EG"/>
        </w:rPr>
        <w:t xml:space="preserve">). ويرد في </w:t>
      </w:r>
      <w:r w:rsidRPr="00BC03CF">
        <w:rPr>
          <w:rFonts w:hint="cs"/>
          <w:rtl/>
        </w:rPr>
        <w:t>الملحق بهذه الرسالة</w:t>
      </w:r>
      <w:r w:rsidRPr="00BC03CF">
        <w:rPr>
          <w:rFonts w:hint="cs"/>
          <w:rtl/>
          <w:lang w:bidi="ar-EG"/>
        </w:rPr>
        <w:t xml:space="preserve"> عناوين وملخصات مشاريع التوصيات. ويرجى من أي دولة عضو تعترض على اعتماد مشروع توصية أن تخبر المدير ورئيس لجنة الدراسات بأسباب</w:t>
      </w:r>
      <w:r w:rsidRPr="00BC03CF">
        <w:rPr>
          <w:rFonts w:hint="eastAsia"/>
          <w:rtl/>
          <w:lang w:bidi="ar-EG"/>
        </w:rPr>
        <w:t> </w:t>
      </w:r>
      <w:r w:rsidRPr="00BC03CF">
        <w:rPr>
          <w:rFonts w:hint="cs"/>
          <w:rtl/>
          <w:lang w:bidi="ar-EG"/>
        </w:rPr>
        <w:t>اعتراضها.</w:t>
      </w:r>
    </w:p>
    <w:p w:rsidR="007D3E25" w:rsidRPr="00BC03CF" w:rsidRDefault="007D3E25" w:rsidP="002C7102">
      <w:pPr>
        <w:rPr>
          <w:rtl/>
          <w:lang w:bidi="ar-EG"/>
        </w:rPr>
      </w:pPr>
      <w:r w:rsidRPr="00BC03CF">
        <w:rPr>
          <w:rtl/>
          <w:lang w:bidi="ar-EG"/>
        </w:rPr>
        <w:t xml:space="preserve">وتمتد فترة النظر </w:t>
      </w:r>
      <w:r w:rsidRPr="00BC03CF">
        <w:rPr>
          <w:rFonts w:hint="cs"/>
          <w:rtl/>
          <w:lang w:bidi="ar-EG"/>
        </w:rPr>
        <w:t xml:space="preserve">لمدة شهرين </w:t>
      </w:r>
      <w:r w:rsidRPr="00BC03CF">
        <w:rPr>
          <w:rtl/>
          <w:lang w:bidi="ar-EG"/>
        </w:rPr>
        <w:t>تنتهي في</w:t>
      </w:r>
      <w:r w:rsidRPr="00BC03CF">
        <w:rPr>
          <w:rFonts w:hint="cs"/>
          <w:rtl/>
          <w:lang w:bidi="ar-EG"/>
        </w:rPr>
        <w:t xml:space="preserve"> </w:t>
      </w:r>
      <w:r w:rsidR="00987B8C" w:rsidRPr="00BC03CF">
        <w:rPr>
          <w:u w:val="single"/>
          <w:lang w:bidi="ar-EG"/>
        </w:rPr>
        <w:t>21</w:t>
      </w:r>
      <w:r w:rsidR="00987B8C" w:rsidRPr="00BC03CF">
        <w:rPr>
          <w:rFonts w:hint="cs"/>
          <w:u w:val="single"/>
          <w:rtl/>
          <w:lang w:bidi="ar-EG"/>
        </w:rPr>
        <w:t xml:space="preserve"> أغسطس </w:t>
      </w:r>
      <w:r w:rsidR="00987B8C" w:rsidRPr="00BC03CF">
        <w:rPr>
          <w:u w:val="single"/>
          <w:lang w:bidi="ar-EG"/>
        </w:rPr>
        <w:t>2019</w:t>
      </w:r>
      <w:r w:rsidRPr="00BC03CF">
        <w:rPr>
          <w:rtl/>
          <w:lang w:bidi="ar-EG"/>
        </w:rPr>
        <w:t>. وإذا لم ترد أي اعتراضات من الدول الأعضاء خلال هذه الفترة فإن</w:t>
      </w:r>
      <w:r w:rsidRPr="00BC03CF">
        <w:rPr>
          <w:rFonts w:hint="cs"/>
          <w:rtl/>
          <w:lang w:bidi="ar-EG"/>
        </w:rPr>
        <w:t xml:space="preserve"> مشاريع التوصيات تعتبر </w:t>
      </w:r>
      <w:r w:rsidR="002C7102" w:rsidRPr="00BC03CF">
        <w:rPr>
          <w:rFonts w:hint="cs"/>
          <w:rtl/>
          <w:lang w:bidi="ar-EG"/>
        </w:rPr>
        <w:t>قد اعتمدتها</w:t>
      </w:r>
      <w:r w:rsidR="002C7102" w:rsidRPr="00BC03CF">
        <w:rPr>
          <w:rtl/>
          <w:lang w:bidi="ar-EG"/>
        </w:rPr>
        <w:t xml:space="preserve"> </w:t>
      </w:r>
      <w:r w:rsidRPr="00BC03CF">
        <w:rPr>
          <w:rtl/>
          <w:lang w:bidi="ar-EG"/>
        </w:rPr>
        <w:t>لجنة الدراسات</w:t>
      </w:r>
      <w:r w:rsidRPr="00BC03CF">
        <w:rPr>
          <w:rFonts w:hint="eastAsia"/>
          <w:rtl/>
          <w:lang w:bidi="ar-EG"/>
        </w:rPr>
        <w:t> </w:t>
      </w:r>
      <w:r w:rsidR="00987B8C" w:rsidRPr="00BC03CF">
        <w:rPr>
          <w:lang w:bidi="ar-EG"/>
        </w:rPr>
        <w:t>1</w:t>
      </w:r>
      <w:r w:rsidRPr="00BC03CF">
        <w:rPr>
          <w:rtl/>
          <w:lang w:bidi="ar-EG"/>
        </w:rPr>
        <w:t xml:space="preserve">. </w:t>
      </w:r>
      <w:r w:rsidRPr="00BC03CF">
        <w:rPr>
          <w:rFonts w:hint="cs"/>
          <w:rtl/>
          <w:lang w:bidi="ar-EG"/>
        </w:rPr>
        <w:t>وعلاوةً على</w:t>
      </w:r>
      <w:r w:rsidRPr="00BC03CF">
        <w:rPr>
          <w:rtl/>
          <w:lang w:bidi="ar-EG"/>
        </w:rPr>
        <w:t xml:space="preserve"> ذلك، ولما كان قد</w:t>
      </w:r>
      <w:r w:rsidRPr="00BC03CF">
        <w:rPr>
          <w:rFonts w:hint="cs"/>
          <w:rtl/>
          <w:lang w:bidi="ar-EG"/>
        </w:rPr>
        <w:t> </w:t>
      </w:r>
      <w:r w:rsidRPr="00BC03CF">
        <w:rPr>
          <w:rtl/>
          <w:lang w:bidi="ar-EG"/>
        </w:rPr>
        <w:t>تم اتباع إجراء الاعتماد والموافقة في</w:t>
      </w:r>
      <w:r w:rsidRPr="00BC03CF">
        <w:rPr>
          <w:rFonts w:hint="cs"/>
          <w:rtl/>
          <w:lang w:bidi="ar-EG"/>
        </w:rPr>
        <w:t> </w:t>
      </w:r>
      <w:r w:rsidRPr="00BC03CF">
        <w:rPr>
          <w:rtl/>
          <w:lang w:bidi="ar-EG"/>
        </w:rPr>
        <w:t xml:space="preserve">نفس الوقت عن طريق المراسلة، فإن </w:t>
      </w:r>
      <w:r w:rsidRPr="00BC03CF">
        <w:rPr>
          <w:rFonts w:hint="cs"/>
          <w:rtl/>
          <w:lang w:bidi="ar-EG"/>
        </w:rPr>
        <w:t>مشاريع التوصيات</w:t>
      </w:r>
      <w:r w:rsidR="00987B8C" w:rsidRPr="00BC03CF">
        <w:rPr>
          <w:rFonts w:hint="cs"/>
          <w:rtl/>
          <w:lang w:bidi="ar-EG"/>
        </w:rPr>
        <w:t xml:space="preserve"> </w:t>
      </w:r>
      <w:r w:rsidRPr="00BC03CF">
        <w:rPr>
          <w:rFonts w:hint="cs"/>
          <w:rtl/>
          <w:lang w:bidi="ar-EG"/>
        </w:rPr>
        <w:t>ستعتبر</w:t>
      </w:r>
      <w:r w:rsidR="00987B8C" w:rsidRPr="00BC03CF">
        <w:rPr>
          <w:rFonts w:hint="cs"/>
          <w:rtl/>
          <w:lang w:bidi="ar-EG"/>
        </w:rPr>
        <w:t xml:space="preserve"> </w:t>
      </w:r>
      <w:r w:rsidRPr="00BC03CF">
        <w:rPr>
          <w:rtl/>
          <w:lang w:bidi="ar-EG"/>
        </w:rPr>
        <w:t>أيضاً بحكم المواف</w:t>
      </w:r>
      <w:r w:rsidRPr="00BC03CF">
        <w:rPr>
          <w:rFonts w:hint="cs"/>
          <w:rtl/>
          <w:lang w:bidi="ar-EG"/>
        </w:rPr>
        <w:t>َ</w:t>
      </w:r>
      <w:r w:rsidRPr="00BC03CF">
        <w:rPr>
          <w:rtl/>
          <w:lang w:bidi="ar-EG"/>
        </w:rPr>
        <w:t xml:space="preserve">ق </w:t>
      </w:r>
      <w:r w:rsidRPr="00BC03CF">
        <w:rPr>
          <w:rFonts w:hint="cs"/>
          <w:rtl/>
          <w:lang w:bidi="ar-EG"/>
        </w:rPr>
        <w:t>عليها</w:t>
      </w:r>
      <w:r w:rsidRPr="00BC03CF">
        <w:rPr>
          <w:rtl/>
          <w:lang w:bidi="ar-EG"/>
        </w:rPr>
        <w:t>.</w:t>
      </w:r>
    </w:p>
    <w:p w:rsidR="007D3E25" w:rsidRPr="00BC03CF" w:rsidRDefault="007D3E25" w:rsidP="00987B8C">
      <w:r w:rsidRPr="00BC03CF">
        <w:rPr>
          <w:rtl/>
          <w:lang w:bidi="ar-EG"/>
        </w:rPr>
        <w:t>وبعد المهلة المحددة أعلاه</w:t>
      </w:r>
      <w:r w:rsidRPr="00BC03CF">
        <w:rPr>
          <w:rFonts w:hint="cs"/>
          <w:rtl/>
          <w:lang w:bidi="ar-EG"/>
        </w:rPr>
        <w:t>،</w:t>
      </w:r>
      <w:r w:rsidRPr="00BC03CF">
        <w:rPr>
          <w:rtl/>
          <w:lang w:bidi="ar-EG"/>
        </w:rPr>
        <w:t xml:space="preserve"> ستعلن نتائج </w:t>
      </w:r>
      <w:r w:rsidRPr="00BC03CF">
        <w:rPr>
          <w:rFonts w:hint="cs"/>
          <w:rtl/>
          <w:lang w:bidi="ar-EG"/>
        </w:rPr>
        <w:t>الإجراءات المذكورة أعلاه</w:t>
      </w:r>
      <w:r w:rsidRPr="00BC03CF">
        <w:rPr>
          <w:rtl/>
          <w:lang w:bidi="ar-EG"/>
        </w:rPr>
        <w:t xml:space="preserve"> في </w:t>
      </w:r>
      <w:r w:rsidRPr="00BC03CF">
        <w:rPr>
          <w:rFonts w:hint="cs"/>
          <w:rtl/>
          <w:lang w:bidi="ar-EG"/>
        </w:rPr>
        <w:t>رسالة</w:t>
      </w:r>
      <w:r w:rsidRPr="00BC03CF">
        <w:rPr>
          <w:rtl/>
          <w:lang w:bidi="ar-EG"/>
        </w:rPr>
        <w:t xml:space="preserve"> إدارية</w:t>
      </w:r>
      <w:r w:rsidRPr="00BC03CF">
        <w:rPr>
          <w:rFonts w:hint="cs"/>
          <w:rtl/>
          <w:lang w:bidi="ar-EG"/>
        </w:rPr>
        <w:t xml:space="preserve"> معممة</w:t>
      </w:r>
      <w:r w:rsidRPr="00BC03CF">
        <w:rPr>
          <w:rtl/>
          <w:lang w:bidi="ar-EG"/>
        </w:rPr>
        <w:t xml:space="preserve"> وستنشر </w:t>
      </w:r>
      <w:r w:rsidR="000B7D69" w:rsidRPr="00BC03CF">
        <w:rPr>
          <w:rFonts w:hint="cs"/>
          <w:rtl/>
          <w:lang w:bidi="ar-EG"/>
        </w:rPr>
        <w:t xml:space="preserve">مشاريع </w:t>
      </w:r>
      <w:r w:rsidRPr="00BC03CF">
        <w:rPr>
          <w:rtl/>
          <w:lang w:bidi="ar-EG"/>
        </w:rPr>
        <w:t>التوص</w:t>
      </w:r>
      <w:r w:rsidRPr="00BC03CF">
        <w:rPr>
          <w:rFonts w:hint="cs"/>
          <w:rtl/>
          <w:lang w:bidi="ar-EG"/>
        </w:rPr>
        <w:t>يات</w:t>
      </w:r>
      <w:r w:rsidRPr="00BC03CF">
        <w:rPr>
          <w:rtl/>
          <w:lang w:bidi="ar-EG"/>
        </w:rPr>
        <w:t xml:space="preserve"> المواف</w:t>
      </w:r>
      <w:r w:rsidRPr="00BC03CF">
        <w:rPr>
          <w:rFonts w:hint="cs"/>
          <w:rtl/>
          <w:lang w:bidi="ar-EG"/>
        </w:rPr>
        <w:t>َق</w:t>
      </w:r>
      <w:r w:rsidRPr="00BC03CF">
        <w:rPr>
          <w:rtl/>
          <w:lang w:bidi="ar-EG"/>
        </w:rPr>
        <w:t xml:space="preserve"> عليها في</w:t>
      </w:r>
      <w:r w:rsidRPr="00BC03CF">
        <w:rPr>
          <w:rFonts w:hint="cs"/>
          <w:rtl/>
          <w:lang w:bidi="ar-EG"/>
        </w:rPr>
        <w:t> </w:t>
      </w:r>
      <w:r w:rsidRPr="00BC03CF">
        <w:rPr>
          <w:rtl/>
          <w:lang w:bidi="ar-EG"/>
        </w:rPr>
        <w:t>أقرب وقت</w:t>
      </w:r>
      <w:r w:rsidRPr="00BC03CF">
        <w:rPr>
          <w:rFonts w:hint="cs"/>
          <w:rtl/>
          <w:lang w:bidi="ar-EG"/>
        </w:rPr>
        <w:t> </w:t>
      </w:r>
      <w:r w:rsidRPr="00BC03CF">
        <w:rPr>
          <w:rtl/>
          <w:lang w:bidi="ar-EG"/>
        </w:rPr>
        <w:t>ممكن</w:t>
      </w:r>
      <w:r w:rsidRPr="00BC03CF">
        <w:rPr>
          <w:rFonts w:hint="cs"/>
          <w:rtl/>
          <w:lang w:bidi="ar-EG"/>
        </w:rPr>
        <w:t xml:space="preserve"> (انظر </w:t>
      </w:r>
      <w:hyperlink r:id="rId10" w:history="1">
        <w:r w:rsidRPr="00BC03CF">
          <w:rPr>
            <w:rStyle w:val="Hyperlink"/>
            <w:rFonts w:ascii="Calibri" w:hAnsi="Calibri"/>
            <w:lang w:bidi="ar-EG"/>
          </w:rPr>
          <w:t>http://www.itu.int/pub/R-REC</w:t>
        </w:r>
      </w:hyperlink>
      <w:r w:rsidRPr="00BC03CF">
        <w:rPr>
          <w:rFonts w:hint="cs"/>
          <w:rtl/>
          <w:lang w:bidi="ar-EG"/>
        </w:rPr>
        <w:t>).</w:t>
      </w:r>
    </w:p>
    <w:p w:rsidR="007D3E25" w:rsidRPr="00BC03CF" w:rsidRDefault="007D3E25" w:rsidP="00987B8C">
      <w:pPr>
        <w:pageBreakBefore/>
        <w:rPr>
          <w:rtl/>
          <w:lang w:bidi="ar-EG"/>
        </w:rPr>
      </w:pPr>
      <w:r w:rsidRPr="00BC03CF">
        <w:rPr>
          <w:rtl/>
          <w:lang w:bidi="ar-EG"/>
        </w:rPr>
        <w:lastRenderedPageBreak/>
        <w:t>ويرجى من أي منظمة عضو في الاتحاد تعلم بوجود براءة اختراع لديها أو لدى غيرها تغطي كلياً أو جزئياً عناصر مشاريع التوصيات المذكورة في هذه الرسالة أن تبلغ الأمانة بهذه المعلومات بأسرع ما يمكن. ويمكن الاطلاع على السياسة المشتركة للبراءات</w:t>
      </w:r>
      <w:r w:rsidRPr="00BC03CF">
        <w:rPr>
          <w:rFonts w:hint="cs"/>
          <w:rtl/>
          <w:lang w:bidi="ar-EG"/>
        </w:rPr>
        <w:t> </w:t>
      </w:r>
      <w:r w:rsidRPr="00BC03CF">
        <w:rPr>
          <w:lang w:bidi="ar-EG"/>
        </w:rPr>
        <w:t>"ITU</w:t>
      </w:r>
      <w:r w:rsidRPr="00BC03CF">
        <w:rPr>
          <w:lang w:bidi="ar-EG"/>
        </w:rPr>
        <w:noBreakHyphen/>
        <w:t>T/ITU</w:t>
      </w:r>
      <w:r w:rsidRPr="00BC03CF">
        <w:rPr>
          <w:lang w:bidi="ar-EG"/>
        </w:rPr>
        <w:noBreakHyphen/>
        <w:t>R/ISO/IEC"</w:t>
      </w:r>
      <w:r w:rsidRPr="00BC03CF">
        <w:rPr>
          <w:rtl/>
          <w:lang w:bidi="ar-EG"/>
        </w:rPr>
        <w:t xml:space="preserve"> في الموقع الإلكتروني</w:t>
      </w:r>
      <w:r w:rsidRPr="00BC03CF">
        <w:rPr>
          <w:rFonts w:hint="cs"/>
          <w:rtl/>
          <w:lang w:bidi="ar-EG"/>
        </w:rPr>
        <w:t xml:space="preserve">: </w:t>
      </w:r>
      <w:hyperlink r:id="rId11" w:history="1">
        <w:r w:rsidRPr="00BC03CF">
          <w:rPr>
            <w:rStyle w:val="Hyperlink"/>
            <w:rFonts w:ascii="Calibri" w:hAnsi="Calibri"/>
            <w:lang w:bidi="ar-EG"/>
          </w:rPr>
          <w:t>http://www.itu.int/en/ITU-T/ipr/Pages/policy.aspx</w:t>
        </w:r>
      </w:hyperlink>
      <w:r w:rsidRPr="00BC03CF">
        <w:rPr>
          <w:rtl/>
          <w:lang w:bidi="ar-EG"/>
        </w:rPr>
        <w:t>.</w:t>
      </w:r>
    </w:p>
    <w:p w:rsidR="00AF70F6" w:rsidRPr="00BC03CF" w:rsidRDefault="00AF70F6" w:rsidP="00AF70F6">
      <w:pPr>
        <w:spacing w:before="240"/>
        <w:rPr>
          <w:rtl/>
          <w:lang w:bidi="ar-EG"/>
        </w:rPr>
      </w:pPr>
      <w:r w:rsidRPr="00BC03CF">
        <w:rPr>
          <w:rFonts w:hint="cs"/>
          <w:rtl/>
          <w:lang w:bidi="ar-EG"/>
        </w:rPr>
        <w:t>وتفضلوا بقبول فائق التقدير والاحترام.</w:t>
      </w:r>
    </w:p>
    <w:p w:rsidR="00AF70F6" w:rsidRPr="00BC03CF" w:rsidRDefault="00B31F96" w:rsidP="009B79FB">
      <w:pPr>
        <w:spacing w:before="1680"/>
        <w:jc w:val="left"/>
        <w:rPr>
          <w:rtl/>
        </w:rPr>
      </w:pPr>
      <w:r w:rsidRPr="00BC03CF">
        <w:rPr>
          <w:rtl/>
        </w:rPr>
        <w:t>ماريو مانيفيتش</w:t>
      </w:r>
      <w:r w:rsidR="00AF70F6" w:rsidRPr="00BC03CF">
        <w:rPr>
          <w:rtl/>
        </w:rPr>
        <w:br/>
      </w:r>
      <w:r w:rsidR="00AF70F6" w:rsidRPr="00BC03CF">
        <w:rPr>
          <w:rFonts w:hint="cs"/>
          <w:rtl/>
        </w:rPr>
        <w:t>المدير</w:t>
      </w:r>
    </w:p>
    <w:p w:rsidR="00AF70F6" w:rsidRPr="00BC03CF" w:rsidRDefault="00AF70F6" w:rsidP="00B06369">
      <w:pPr>
        <w:spacing w:before="840"/>
        <w:rPr>
          <w:rtl/>
          <w:lang w:bidi="ar-EG"/>
        </w:rPr>
      </w:pPr>
      <w:r w:rsidRPr="00BC03CF">
        <w:rPr>
          <w:b/>
          <w:bCs/>
          <w:rtl/>
          <w:lang w:bidi="ar-EG"/>
        </w:rPr>
        <w:t>الملحقات</w:t>
      </w:r>
      <w:r w:rsidRPr="00BC03CF">
        <w:rPr>
          <w:rtl/>
          <w:lang w:bidi="ar-EG"/>
        </w:rPr>
        <w:t>:</w:t>
      </w:r>
      <w:r w:rsidR="00226C24" w:rsidRPr="00BC03CF">
        <w:rPr>
          <w:lang w:bidi="ar-EG"/>
        </w:rPr>
        <w:tab/>
      </w:r>
      <w:r w:rsidR="00987B8C" w:rsidRPr="00BC03CF">
        <w:rPr>
          <w:rFonts w:hint="cs"/>
          <w:rtl/>
          <w:lang w:bidi="ar-EG"/>
        </w:rPr>
        <w:t>عناوين وملخصات مشاريع التوصيات</w:t>
      </w:r>
    </w:p>
    <w:p w:rsidR="00987B8C" w:rsidRPr="00BC03CF" w:rsidRDefault="00987B8C" w:rsidP="00B06369">
      <w:pPr>
        <w:spacing w:before="1200"/>
        <w:jc w:val="left"/>
        <w:rPr>
          <w:rtl/>
        </w:rPr>
      </w:pPr>
      <w:r w:rsidRPr="00BC03CF">
        <w:rPr>
          <w:rFonts w:hint="cs"/>
          <w:b/>
          <w:bCs/>
          <w:rtl/>
          <w:lang w:bidi="ar-EG"/>
        </w:rPr>
        <w:t>الوثائق</w:t>
      </w:r>
      <w:r w:rsidRPr="00BC03CF">
        <w:rPr>
          <w:b/>
          <w:bCs/>
          <w:rtl/>
          <w:lang w:bidi="ar-EG"/>
        </w:rPr>
        <w:t>:</w:t>
      </w:r>
      <w:r w:rsidRPr="00BC03CF">
        <w:rPr>
          <w:rFonts w:hint="cs"/>
          <w:rtl/>
          <w:lang w:bidi="ar-EG"/>
        </w:rPr>
        <w:tab/>
      </w:r>
      <w:r w:rsidR="002C7102">
        <w:rPr>
          <w:rFonts w:hint="cs"/>
          <w:rtl/>
          <w:lang w:bidi="ar-EG"/>
        </w:rPr>
        <w:t>الوثائق</w:t>
      </w:r>
      <w:r w:rsidRPr="00BC03CF">
        <w:rPr>
          <w:rFonts w:hint="cs"/>
          <w:rtl/>
          <w:lang w:bidi="ar-EG"/>
        </w:rPr>
        <w:t xml:space="preserve"> </w:t>
      </w:r>
      <w:hyperlink r:id="rId12" w:history="1">
        <w:r w:rsidRPr="00BC03CF">
          <w:rPr>
            <w:rStyle w:val="Hyperlink"/>
            <w:rFonts w:ascii="Calibri" w:hAnsi="Calibri"/>
            <w:lang w:val="fr-FR"/>
          </w:rPr>
          <w:t>1/206(Rev.1)</w:t>
        </w:r>
      </w:hyperlink>
      <w:r w:rsidRPr="00BC03CF">
        <w:rPr>
          <w:rtl/>
          <w:lang w:val="fr-FR"/>
        </w:rPr>
        <w:t xml:space="preserve"> و</w:t>
      </w:r>
      <w:hyperlink r:id="rId13" w:history="1">
        <w:r w:rsidRPr="00BC03CF">
          <w:rPr>
            <w:rStyle w:val="Hyperlink"/>
            <w:rFonts w:ascii="Calibri" w:hAnsi="Calibri"/>
            <w:lang w:val="fr-FR"/>
          </w:rPr>
          <w:t>1/208(Rev.1)</w:t>
        </w:r>
      </w:hyperlink>
      <w:r w:rsidRPr="00BC03CF">
        <w:rPr>
          <w:rtl/>
          <w:lang w:val="fr-FR"/>
        </w:rPr>
        <w:t xml:space="preserve"> و</w:t>
      </w:r>
      <w:hyperlink r:id="rId14" w:history="1">
        <w:r w:rsidRPr="00BC03CF">
          <w:rPr>
            <w:rStyle w:val="Hyperlink"/>
            <w:rFonts w:ascii="Calibri" w:hAnsi="Calibri"/>
            <w:lang w:val="fr-FR"/>
          </w:rPr>
          <w:t>1/212(Rev.1)</w:t>
        </w:r>
      </w:hyperlink>
      <w:r w:rsidRPr="00BC03CF">
        <w:rPr>
          <w:rFonts w:hint="cs"/>
          <w:rtl/>
        </w:rPr>
        <w:t xml:space="preserve"> و</w:t>
      </w:r>
      <w:hyperlink r:id="rId15" w:history="1">
        <w:r w:rsidRPr="00BC03CF">
          <w:rPr>
            <w:rStyle w:val="Hyperlink"/>
            <w:rFonts w:ascii="Calibri" w:hAnsi="Calibri"/>
            <w:lang w:val="en-GB"/>
          </w:rPr>
          <w:t>1/216(Rev.1)</w:t>
        </w:r>
      </w:hyperlink>
    </w:p>
    <w:p w:rsidR="00987B8C" w:rsidRPr="00BC03CF" w:rsidRDefault="00987B8C" w:rsidP="009B79FB">
      <w:pPr>
        <w:jc w:val="left"/>
        <w:rPr>
          <w:rtl/>
        </w:rPr>
      </w:pPr>
      <w:r w:rsidRPr="00BC03CF">
        <w:rPr>
          <w:rFonts w:hint="cs"/>
          <w:rtl/>
        </w:rPr>
        <w:t>وتتاح هذه الوثائق في نسق إلكتروني في:</w:t>
      </w:r>
      <w:r w:rsidR="009B79FB">
        <w:rPr>
          <w:rtl/>
        </w:rPr>
        <w:br/>
      </w:r>
      <w:r w:rsidRPr="00BC03CF">
        <w:rPr>
          <w:rFonts w:hint="cs"/>
          <w:rtl/>
        </w:rPr>
        <w:t xml:space="preserve"> </w:t>
      </w:r>
      <w:hyperlink r:id="rId16" w:history="1">
        <w:r w:rsidRPr="00BC03CF">
          <w:rPr>
            <w:rStyle w:val="Hyperlink"/>
            <w:rFonts w:ascii="Calibri" w:hAnsi="Calibri"/>
          </w:rPr>
          <w:t>https://www.itu.int/md/R15-SG01-C/en</w:t>
        </w:r>
      </w:hyperlink>
    </w:p>
    <w:p w:rsidR="00AF70F6" w:rsidRPr="00BC03CF" w:rsidRDefault="00AF70F6" w:rsidP="009B79FB">
      <w:pPr>
        <w:tabs>
          <w:tab w:val="left" w:pos="283"/>
        </w:tabs>
        <w:spacing w:before="5400" w:after="120"/>
        <w:jc w:val="left"/>
        <w:rPr>
          <w:sz w:val="16"/>
          <w:szCs w:val="22"/>
          <w:rtl/>
          <w:lang w:bidi="ar-EG"/>
        </w:rPr>
      </w:pPr>
      <w:r w:rsidRPr="00BC03CF">
        <w:rPr>
          <w:b/>
          <w:bCs/>
          <w:sz w:val="16"/>
          <w:szCs w:val="22"/>
          <w:rtl/>
          <w:lang w:bidi="ar-EG"/>
        </w:rPr>
        <w:t>التوزيع</w:t>
      </w:r>
      <w:r w:rsidRPr="00BC03CF">
        <w:rPr>
          <w:sz w:val="16"/>
          <w:szCs w:val="22"/>
          <w:rtl/>
          <w:lang w:bidi="ar-EG"/>
        </w:rPr>
        <w:t>:</w:t>
      </w:r>
    </w:p>
    <w:p w:rsidR="00AF70F6" w:rsidRPr="00BC03CF" w:rsidRDefault="00AF70F6" w:rsidP="00226C24">
      <w:pPr>
        <w:tabs>
          <w:tab w:val="left" w:pos="425"/>
        </w:tabs>
        <w:spacing w:before="20" w:line="168" w:lineRule="auto"/>
        <w:rPr>
          <w:sz w:val="16"/>
          <w:szCs w:val="22"/>
          <w:rtl/>
          <w:lang w:val="fr-CH" w:bidi="ar-EG"/>
        </w:rPr>
      </w:pPr>
      <w:r w:rsidRPr="00BC03CF">
        <w:rPr>
          <w:sz w:val="16"/>
          <w:szCs w:val="22"/>
          <w:rtl/>
          <w:lang w:bidi="ar-EG"/>
        </w:rPr>
        <w:t>-</w:t>
      </w:r>
      <w:r w:rsidRPr="00BC03CF">
        <w:rPr>
          <w:sz w:val="16"/>
          <w:szCs w:val="22"/>
          <w:rtl/>
          <w:lang w:bidi="ar-EG"/>
        </w:rPr>
        <w:tab/>
        <w:t>إدارات الدول الأعضاء</w:t>
      </w:r>
      <w:r w:rsidRPr="00BC03CF">
        <w:rPr>
          <w:rFonts w:hint="cs"/>
          <w:sz w:val="16"/>
          <w:szCs w:val="22"/>
          <w:rtl/>
          <w:lang w:bidi="ar-EG"/>
        </w:rPr>
        <w:t xml:space="preserve"> في الاتحاد</w:t>
      </w:r>
      <w:r w:rsidRPr="00BC03CF">
        <w:rPr>
          <w:sz w:val="16"/>
          <w:szCs w:val="22"/>
          <w:rtl/>
          <w:lang w:bidi="ar-EG"/>
        </w:rPr>
        <w:t xml:space="preserve"> وأعضاء قطاع الاتصالات الراديوية</w:t>
      </w:r>
      <w:r w:rsidRPr="00BC03CF">
        <w:rPr>
          <w:rFonts w:hint="cs"/>
          <w:sz w:val="16"/>
          <w:szCs w:val="22"/>
          <w:rtl/>
          <w:lang w:bidi="ar-EG"/>
        </w:rPr>
        <w:t xml:space="preserve"> المشاركون في أعمال لجنة الدراسات </w:t>
      </w:r>
      <w:r w:rsidR="00226C24" w:rsidRPr="00BC03CF">
        <w:rPr>
          <w:sz w:val="16"/>
          <w:szCs w:val="22"/>
          <w:lang w:val="fr-CH" w:bidi="ar-EG"/>
        </w:rPr>
        <w:t>1</w:t>
      </w:r>
      <w:r w:rsidRPr="00BC03CF">
        <w:rPr>
          <w:rFonts w:hint="cs"/>
          <w:sz w:val="16"/>
          <w:szCs w:val="22"/>
          <w:rtl/>
          <w:lang w:val="fr-CH" w:bidi="ar-EG"/>
        </w:rPr>
        <w:t xml:space="preserve"> للاتصالات الراديوية</w:t>
      </w:r>
    </w:p>
    <w:p w:rsidR="00AF70F6" w:rsidRPr="00BC03CF" w:rsidRDefault="00AF70F6" w:rsidP="00226C24">
      <w:pPr>
        <w:tabs>
          <w:tab w:val="left" w:pos="425"/>
        </w:tabs>
        <w:spacing w:before="20" w:line="168" w:lineRule="auto"/>
        <w:rPr>
          <w:sz w:val="16"/>
          <w:szCs w:val="22"/>
          <w:rtl/>
          <w:lang w:bidi="ar-EG"/>
        </w:rPr>
      </w:pPr>
      <w:r w:rsidRPr="00BC03CF">
        <w:rPr>
          <w:sz w:val="16"/>
          <w:szCs w:val="22"/>
          <w:rtl/>
          <w:lang w:bidi="ar-EG"/>
        </w:rPr>
        <w:t>-</w:t>
      </w:r>
      <w:r w:rsidRPr="00BC03CF">
        <w:rPr>
          <w:sz w:val="16"/>
          <w:szCs w:val="22"/>
          <w:rtl/>
          <w:lang w:bidi="ar-EG"/>
        </w:rPr>
        <w:tab/>
        <w:t xml:space="preserve">المنتسبون إلى قطاع الاتصالات الراديوية المشاركون في أعمال لجنة الدراسات </w:t>
      </w:r>
      <w:r w:rsidR="00226C24" w:rsidRPr="00BC03CF">
        <w:rPr>
          <w:sz w:val="16"/>
          <w:szCs w:val="22"/>
          <w:lang w:bidi="ar-EG"/>
        </w:rPr>
        <w:t>1</w:t>
      </w:r>
      <w:r w:rsidRPr="00BC03CF">
        <w:rPr>
          <w:sz w:val="16"/>
          <w:szCs w:val="22"/>
          <w:rtl/>
          <w:lang w:bidi="ar-EG"/>
        </w:rPr>
        <w:t xml:space="preserve"> للاتصالات الراديوية</w:t>
      </w:r>
    </w:p>
    <w:p w:rsidR="00AF70F6" w:rsidRPr="00BC03CF" w:rsidRDefault="00AF70F6" w:rsidP="001F2ED3">
      <w:pPr>
        <w:tabs>
          <w:tab w:val="left" w:pos="425"/>
        </w:tabs>
        <w:spacing w:before="20" w:line="168" w:lineRule="auto"/>
        <w:rPr>
          <w:sz w:val="16"/>
          <w:szCs w:val="22"/>
          <w:rtl/>
          <w:lang w:bidi="ar-EG"/>
        </w:rPr>
      </w:pPr>
      <w:r w:rsidRPr="00BC03CF">
        <w:rPr>
          <w:rFonts w:hint="cs"/>
          <w:sz w:val="16"/>
          <w:szCs w:val="22"/>
          <w:rtl/>
          <w:lang w:bidi="ar-EG"/>
        </w:rPr>
        <w:t>-</w:t>
      </w:r>
      <w:r w:rsidRPr="00BC03CF">
        <w:rPr>
          <w:rFonts w:hint="cs"/>
          <w:sz w:val="16"/>
          <w:szCs w:val="22"/>
          <w:rtl/>
          <w:lang w:bidi="ar-EG"/>
        </w:rPr>
        <w:tab/>
      </w:r>
      <w:r w:rsidRPr="00BC03CF">
        <w:rPr>
          <w:rFonts w:hint="cs"/>
          <w:sz w:val="16"/>
          <w:szCs w:val="22"/>
          <w:rtl/>
        </w:rPr>
        <w:t>الهيئات الأكاديمية المنضمة إلى الاتحاد</w:t>
      </w:r>
    </w:p>
    <w:p w:rsidR="00AF70F6" w:rsidRPr="00BC03CF" w:rsidRDefault="00AF70F6" w:rsidP="001F2ED3">
      <w:pPr>
        <w:tabs>
          <w:tab w:val="left" w:pos="425"/>
        </w:tabs>
        <w:spacing w:before="20" w:line="168" w:lineRule="auto"/>
        <w:rPr>
          <w:sz w:val="16"/>
          <w:szCs w:val="22"/>
          <w:rtl/>
          <w:lang w:bidi="ar-EG"/>
        </w:rPr>
      </w:pPr>
      <w:r w:rsidRPr="00BC03CF">
        <w:rPr>
          <w:sz w:val="16"/>
          <w:szCs w:val="22"/>
          <w:rtl/>
          <w:lang w:bidi="ar-EG"/>
        </w:rPr>
        <w:t>-</w:t>
      </w:r>
      <w:r w:rsidRPr="00BC03CF">
        <w:rPr>
          <w:sz w:val="16"/>
          <w:szCs w:val="22"/>
          <w:rtl/>
          <w:lang w:bidi="ar-EG"/>
        </w:rPr>
        <w:tab/>
        <w:t>رؤساء لجان دراسات الاتصالات الراديوية ونوابهم</w:t>
      </w:r>
    </w:p>
    <w:p w:rsidR="00AF70F6" w:rsidRPr="00BC03CF" w:rsidRDefault="00AF70F6" w:rsidP="001F2ED3">
      <w:pPr>
        <w:tabs>
          <w:tab w:val="left" w:pos="425"/>
        </w:tabs>
        <w:spacing w:before="20" w:line="168" w:lineRule="auto"/>
        <w:rPr>
          <w:sz w:val="16"/>
          <w:szCs w:val="22"/>
          <w:rtl/>
          <w:lang w:bidi="ar-EG"/>
        </w:rPr>
      </w:pPr>
      <w:r w:rsidRPr="00BC03CF">
        <w:rPr>
          <w:sz w:val="16"/>
          <w:szCs w:val="22"/>
          <w:rtl/>
          <w:lang w:bidi="ar-EG"/>
        </w:rPr>
        <w:t>-</w:t>
      </w:r>
      <w:r w:rsidRPr="00BC03CF">
        <w:rPr>
          <w:sz w:val="16"/>
          <w:szCs w:val="22"/>
          <w:rtl/>
          <w:lang w:bidi="ar-EG"/>
        </w:rPr>
        <w:tab/>
        <w:t>رئيس الاجتماع التحضيري للمؤتمر ونوابه</w:t>
      </w:r>
    </w:p>
    <w:p w:rsidR="00AF70F6" w:rsidRPr="00BC03CF" w:rsidRDefault="00AF70F6" w:rsidP="001F2ED3">
      <w:pPr>
        <w:tabs>
          <w:tab w:val="left" w:pos="425"/>
        </w:tabs>
        <w:spacing w:before="20" w:line="168" w:lineRule="auto"/>
        <w:rPr>
          <w:sz w:val="16"/>
          <w:szCs w:val="22"/>
          <w:rtl/>
          <w:lang w:bidi="ar-EG"/>
        </w:rPr>
      </w:pPr>
      <w:r w:rsidRPr="00BC03CF">
        <w:rPr>
          <w:sz w:val="16"/>
          <w:szCs w:val="22"/>
          <w:rtl/>
          <w:lang w:bidi="ar-EG"/>
        </w:rPr>
        <w:t>-</w:t>
      </w:r>
      <w:r w:rsidRPr="00BC03CF">
        <w:rPr>
          <w:sz w:val="16"/>
          <w:szCs w:val="22"/>
          <w:rtl/>
          <w:lang w:bidi="ar-EG"/>
        </w:rPr>
        <w:tab/>
        <w:t>أعضاء لجنة لوائح الراديو</w:t>
      </w:r>
    </w:p>
    <w:p w:rsidR="00AF70F6" w:rsidRPr="00BC03CF" w:rsidRDefault="00AF70F6" w:rsidP="009B79FB">
      <w:pPr>
        <w:tabs>
          <w:tab w:val="left" w:pos="425"/>
        </w:tabs>
        <w:spacing w:before="20" w:line="168" w:lineRule="auto"/>
        <w:rPr>
          <w:rtl/>
          <w:lang w:bidi="ar-EG"/>
        </w:rPr>
      </w:pPr>
      <w:r w:rsidRPr="00BC03CF">
        <w:rPr>
          <w:sz w:val="16"/>
          <w:szCs w:val="22"/>
          <w:rtl/>
          <w:lang w:bidi="ar-EG"/>
        </w:rPr>
        <w:t>-</w:t>
      </w:r>
      <w:r w:rsidRPr="00BC03CF">
        <w:rPr>
          <w:sz w:val="16"/>
          <w:szCs w:val="22"/>
          <w:rtl/>
          <w:lang w:bidi="ar-EG"/>
        </w:rPr>
        <w:tab/>
        <w:t>الأمين العام للاتحاد ومدير مكتب تقييس الاتصالات ومدير</w:t>
      </w:r>
      <w:r w:rsidR="00D34647" w:rsidRPr="00BC03CF">
        <w:rPr>
          <w:rFonts w:hint="cs"/>
          <w:sz w:val="16"/>
          <w:szCs w:val="22"/>
          <w:rtl/>
          <w:lang w:bidi="ar-EG"/>
        </w:rPr>
        <w:t>ة</w:t>
      </w:r>
      <w:r w:rsidRPr="00BC03CF">
        <w:rPr>
          <w:sz w:val="16"/>
          <w:szCs w:val="22"/>
          <w:rtl/>
          <w:lang w:bidi="ar-EG"/>
        </w:rPr>
        <w:t xml:space="preserve"> مكتب تنمية الاتصالات</w:t>
      </w:r>
      <w:r w:rsidRPr="00BC03CF">
        <w:rPr>
          <w:rtl/>
          <w:lang w:bidi="ar-EG"/>
        </w:rPr>
        <w:br w:type="page"/>
      </w:r>
    </w:p>
    <w:p w:rsidR="00AF70F6" w:rsidRPr="00BC03CF" w:rsidRDefault="00226C24" w:rsidP="00AF70F6">
      <w:pPr>
        <w:pStyle w:val="AnnexNo"/>
        <w:rPr>
          <w:rFonts w:eastAsiaTheme="minorEastAsia"/>
          <w:rtl/>
          <w:lang w:eastAsia="zh-CN"/>
        </w:rPr>
      </w:pPr>
      <w:r w:rsidRPr="00BC03CF">
        <w:rPr>
          <w:rFonts w:eastAsiaTheme="minorEastAsia" w:hint="cs"/>
          <w:rtl/>
          <w:lang w:eastAsia="zh-CN"/>
        </w:rPr>
        <w:lastRenderedPageBreak/>
        <w:t>الملحق</w:t>
      </w:r>
    </w:p>
    <w:p w:rsidR="00AF70F6" w:rsidRPr="00BC03CF" w:rsidRDefault="00226C24" w:rsidP="00226C24">
      <w:pPr>
        <w:pStyle w:val="Annextitle"/>
        <w:rPr>
          <w:rFonts w:eastAsiaTheme="minorEastAsia"/>
          <w:rtl/>
          <w:lang w:eastAsia="zh-CN" w:bidi="ar-SY"/>
        </w:rPr>
      </w:pPr>
      <w:r w:rsidRPr="00BC03CF">
        <w:rPr>
          <w:rFonts w:eastAsiaTheme="minorEastAsia"/>
          <w:rtl/>
          <w:lang w:eastAsia="zh-CN"/>
        </w:rPr>
        <w:t>عناوين مشاريع التوصيات وملخصاتها</w:t>
      </w:r>
    </w:p>
    <w:p w:rsidR="00AF70F6" w:rsidRPr="00BC03CF" w:rsidRDefault="00226C24" w:rsidP="00226C24">
      <w:pPr>
        <w:tabs>
          <w:tab w:val="clear" w:pos="1134"/>
          <w:tab w:val="right" w:pos="9639"/>
        </w:tabs>
        <w:spacing w:before="480"/>
        <w:rPr>
          <w:rFonts w:eastAsiaTheme="minorEastAsia"/>
          <w:rtl/>
          <w:lang w:eastAsia="zh-CN" w:bidi="ar-EG"/>
        </w:rPr>
      </w:pPr>
      <w:r w:rsidRPr="00BC03CF">
        <w:rPr>
          <w:rFonts w:eastAsiaTheme="minorEastAsia" w:hint="cs"/>
          <w:u w:val="single"/>
          <w:rtl/>
          <w:lang w:eastAsia="zh-CN" w:bidi="ar-EG"/>
        </w:rPr>
        <w:t xml:space="preserve">مشروع </w:t>
      </w:r>
      <w:r w:rsidR="00AF70F6" w:rsidRPr="00BC03CF">
        <w:rPr>
          <w:rFonts w:eastAsiaTheme="minorEastAsia" w:hint="cs"/>
          <w:u w:val="single"/>
          <w:rtl/>
          <w:lang w:eastAsia="zh-CN"/>
        </w:rPr>
        <w:t xml:space="preserve">التوصية </w:t>
      </w:r>
      <w:r w:rsidRPr="00BC03CF">
        <w:rPr>
          <w:rFonts w:eastAsiaTheme="minorEastAsia" w:hint="cs"/>
          <w:u w:val="single"/>
          <w:rtl/>
          <w:lang w:eastAsia="zh-CN"/>
        </w:rPr>
        <w:t xml:space="preserve">الجديدة </w:t>
      </w:r>
      <w:r w:rsidRPr="00BC03CF">
        <w:rPr>
          <w:rFonts w:eastAsiaTheme="minorEastAsia"/>
          <w:u w:val="single"/>
          <w:lang w:eastAsia="zh-CN"/>
        </w:rPr>
        <w:t>ITU-R SM.[WPT_MOBILE]</w:t>
      </w:r>
      <w:r w:rsidR="00AF70F6" w:rsidRPr="00BC03CF">
        <w:rPr>
          <w:rFonts w:eastAsiaTheme="minorEastAsia"/>
          <w:rtl/>
          <w:lang w:eastAsia="zh-CN" w:bidi="ar-EG"/>
        </w:rPr>
        <w:tab/>
      </w:r>
      <w:r w:rsidR="00AF70F6" w:rsidRPr="00BC03CF">
        <w:rPr>
          <w:rFonts w:eastAsiaTheme="minorEastAsia" w:hint="cs"/>
          <w:rtl/>
          <w:lang w:eastAsia="zh-CN" w:bidi="ar-EG"/>
        </w:rPr>
        <w:t xml:space="preserve">الوثيقة </w:t>
      </w:r>
      <w:r w:rsidRPr="00BC03CF">
        <w:rPr>
          <w:rFonts w:eastAsiaTheme="minorEastAsia"/>
          <w:lang w:eastAsia="zh-CN" w:bidi="ar-EG"/>
        </w:rPr>
        <w:t>1/216(Rev.1)</w:t>
      </w:r>
    </w:p>
    <w:p w:rsidR="00226C24" w:rsidRPr="00BC03CF" w:rsidRDefault="002C7102" w:rsidP="001E60FD">
      <w:pPr>
        <w:pStyle w:val="Rectitle"/>
        <w:spacing w:before="360" w:after="240"/>
        <w:rPr>
          <w:rFonts w:eastAsiaTheme="minorEastAsia"/>
          <w:rtl/>
          <w:lang w:eastAsia="zh-CN" w:bidi="ar-EG"/>
        </w:rPr>
      </w:pPr>
      <w:r>
        <w:rPr>
          <w:rFonts w:eastAsiaTheme="minorEastAsia" w:hint="cs"/>
          <w:rtl/>
          <w:lang w:eastAsia="zh-CN" w:bidi="ar-EG"/>
        </w:rPr>
        <w:t xml:space="preserve">توجيهات بشأن </w:t>
      </w:r>
      <w:r w:rsidR="00226C24" w:rsidRPr="00BC03CF">
        <w:rPr>
          <w:rFonts w:eastAsiaTheme="minorEastAsia"/>
          <w:rtl/>
          <w:lang w:eastAsia="zh-CN" w:bidi="ar-EG"/>
        </w:rPr>
        <w:t>مديات التردد من أجل تشغيل الأنظمة اللاحزمية</w:t>
      </w:r>
      <w:r w:rsidR="00226C24" w:rsidRPr="00BC03CF">
        <w:rPr>
          <w:rFonts w:eastAsiaTheme="minorEastAsia"/>
          <w:rtl/>
          <w:lang w:eastAsia="zh-CN" w:bidi="ar-EG"/>
        </w:rPr>
        <w:br/>
        <w:t xml:space="preserve">لإرسال القدرة لاسلكياً </w:t>
      </w:r>
      <w:r w:rsidR="00226C24" w:rsidRPr="00BC03CF">
        <w:rPr>
          <w:rFonts w:eastAsiaTheme="minorEastAsia"/>
          <w:lang w:eastAsia="zh-CN" w:bidi="ar-EG"/>
        </w:rPr>
        <w:t>(WPT)</w:t>
      </w:r>
      <w:r w:rsidR="0038566E" w:rsidRPr="00BC03CF">
        <w:rPr>
          <w:rtl/>
        </w:rPr>
        <w:t xml:space="preserve"> </w:t>
      </w:r>
      <w:r w:rsidR="0038566E" w:rsidRPr="00BC03CF">
        <w:rPr>
          <w:rFonts w:eastAsiaTheme="minorEastAsia" w:hint="cs"/>
          <w:rtl/>
          <w:lang w:eastAsia="zh-CN" w:bidi="ar-EG"/>
        </w:rPr>
        <w:t>ل</w:t>
      </w:r>
      <w:r w:rsidR="0038566E" w:rsidRPr="00BC03CF">
        <w:rPr>
          <w:rFonts w:eastAsiaTheme="minorEastAsia"/>
          <w:rtl/>
          <w:lang w:eastAsia="zh-CN" w:bidi="ar-EG"/>
        </w:rPr>
        <w:t>لأجهزة المتنقلة والمحمولة</w:t>
      </w:r>
    </w:p>
    <w:p w:rsidR="00226C24" w:rsidRPr="00BC03CF" w:rsidRDefault="00226C24" w:rsidP="00C32949">
      <w:pPr>
        <w:rPr>
          <w:rFonts w:eastAsiaTheme="minorEastAsia"/>
          <w:rtl/>
          <w:lang w:eastAsia="zh-CN" w:bidi="ar-EG"/>
        </w:rPr>
      </w:pPr>
      <w:r w:rsidRPr="00BC03CF">
        <w:rPr>
          <w:rFonts w:eastAsiaTheme="minorEastAsia"/>
          <w:rtl/>
          <w:lang w:eastAsia="zh-CN" w:bidi="ar-EG"/>
        </w:rPr>
        <w:t>تقدم هذه التوصية مبادئ توجيهية بشأن استخدام مديات التردد من أجل تشغيل الأنظمة اللاحزمية لإرسال القدرة لاسلكياً </w:t>
      </w:r>
      <w:r w:rsidRPr="00BC03CF">
        <w:rPr>
          <w:rFonts w:eastAsiaTheme="minorEastAsia"/>
          <w:lang w:eastAsia="zh-CN" w:bidi="ar-EG"/>
        </w:rPr>
        <w:t>(WPT)</w:t>
      </w:r>
      <w:r w:rsidRPr="00BC03CF">
        <w:rPr>
          <w:rFonts w:eastAsiaTheme="minorEastAsia"/>
          <w:rtl/>
          <w:lang w:eastAsia="zh-CN" w:bidi="ar-EG"/>
        </w:rPr>
        <w:t xml:space="preserve">، </w:t>
      </w:r>
      <w:r w:rsidR="00C32949" w:rsidRPr="00BC03CF">
        <w:rPr>
          <w:rFonts w:eastAsiaTheme="minorEastAsia" w:hint="cs"/>
          <w:rtl/>
          <w:lang w:eastAsia="zh-CN" w:bidi="ar-EG"/>
        </w:rPr>
        <w:t>بغية</w:t>
      </w:r>
      <w:r w:rsidRPr="00BC03CF">
        <w:rPr>
          <w:rFonts w:eastAsiaTheme="minorEastAsia"/>
          <w:rtl/>
          <w:lang w:eastAsia="zh-CN" w:bidi="ar-EG"/>
        </w:rPr>
        <w:t xml:space="preserve"> شحن الأجهزة المتنقلة</w:t>
      </w:r>
      <w:r w:rsidR="00C32949" w:rsidRPr="00BC03CF">
        <w:rPr>
          <w:rFonts w:eastAsiaTheme="minorEastAsia" w:hint="cs"/>
          <w:rtl/>
          <w:lang w:eastAsia="zh-CN" w:bidi="ar-EG"/>
        </w:rPr>
        <w:t xml:space="preserve"> و</w:t>
      </w:r>
      <w:r w:rsidRPr="00BC03CF">
        <w:rPr>
          <w:rFonts w:eastAsiaTheme="minorEastAsia"/>
          <w:rtl/>
          <w:lang w:eastAsia="zh-CN" w:bidi="ar-EG"/>
        </w:rPr>
        <w:t>المحمولة.</w:t>
      </w:r>
    </w:p>
    <w:p w:rsidR="00226C24" w:rsidRPr="00BC03CF" w:rsidRDefault="00226C24" w:rsidP="002C7102">
      <w:pPr>
        <w:tabs>
          <w:tab w:val="clear" w:pos="1134"/>
          <w:tab w:val="right" w:pos="9639"/>
        </w:tabs>
        <w:spacing w:before="400"/>
        <w:rPr>
          <w:rFonts w:eastAsiaTheme="minorEastAsia"/>
          <w:rtl/>
          <w:lang w:eastAsia="zh-CN" w:bidi="ar-EG"/>
        </w:rPr>
      </w:pPr>
      <w:r w:rsidRPr="00BC03CF">
        <w:rPr>
          <w:rFonts w:eastAsiaTheme="minorEastAsia" w:hint="cs"/>
          <w:u w:val="single"/>
          <w:rtl/>
          <w:lang w:eastAsia="zh-CN" w:bidi="ar-EG"/>
        </w:rPr>
        <w:t xml:space="preserve">مشروع </w:t>
      </w:r>
      <w:r w:rsidR="000B7D69" w:rsidRPr="00BC03CF">
        <w:rPr>
          <w:rFonts w:eastAsiaTheme="minorEastAsia" w:hint="cs"/>
          <w:u w:val="single"/>
          <w:rtl/>
          <w:lang w:eastAsia="zh-CN" w:bidi="ar-EG"/>
        </w:rPr>
        <w:t>مراجَعة</w:t>
      </w:r>
      <w:r w:rsidRPr="00BC03CF">
        <w:rPr>
          <w:rFonts w:eastAsiaTheme="minorEastAsia" w:hint="cs"/>
          <w:u w:val="single"/>
          <w:rtl/>
          <w:lang w:eastAsia="zh-CN" w:bidi="ar-EG"/>
        </w:rPr>
        <w:t xml:space="preserve"> </w:t>
      </w:r>
      <w:r w:rsidRPr="00BC03CF">
        <w:rPr>
          <w:rFonts w:eastAsiaTheme="minorEastAsia" w:hint="cs"/>
          <w:u w:val="single"/>
          <w:rtl/>
          <w:lang w:eastAsia="zh-CN"/>
        </w:rPr>
        <w:t xml:space="preserve">التوصية </w:t>
      </w:r>
      <w:r w:rsidRPr="00BC03CF">
        <w:rPr>
          <w:rFonts w:eastAsiaTheme="minorEastAsia"/>
          <w:u w:val="single"/>
          <w:lang w:eastAsia="zh-CN"/>
        </w:rPr>
        <w:t>ITU-R SM.1268-4</w:t>
      </w:r>
      <w:r w:rsidRPr="00BC03CF">
        <w:rPr>
          <w:rFonts w:eastAsiaTheme="minorEastAsia"/>
          <w:rtl/>
          <w:lang w:eastAsia="zh-CN" w:bidi="ar-EG"/>
        </w:rPr>
        <w:tab/>
      </w:r>
      <w:r w:rsidRPr="00BC03CF">
        <w:rPr>
          <w:rFonts w:eastAsiaTheme="minorEastAsia" w:hint="cs"/>
          <w:rtl/>
          <w:lang w:eastAsia="zh-CN" w:bidi="ar-EG"/>
        </w:rPr>
        <w:t xml:space="preserve">الوثيقة </w:t>
      </w:r>
      <w:r w:rsidRPr="00BC03CF">
        <w:rPr>
          <w:rFonts w:eastAsiaTheme="minorEastAsia"/>
          <w:lang w:eastAsia="zh-CN" w:bidi="ar-EG"/>
        </w:rPr>
        <w:t>1/206(Rev.1)</w:t>
      </w:r>
    </w:p>
    <w:p w:rsidR="00226C24" w:rsidRPr="00BC03CF" w:rsidRDefault="00226C24" w:rsidP="001E60FD">
      <w:pPr>
        <w:pStyle w:val="Rectitle"/>
        <w:spacing w:before="360" w:after="240"/>
        <w:rPr>
          <w:rFonts w:eastAsiaTheme="minorEastAsia"/>
          <w:rtl/>
          <w:lang w:eastAsia="zh-CN" w:bidi="ar-EG"/>
        </w:rPr>
      </w:pPr>
      <w:r w:rsidRPr="00BC03CF">
        <w:rPr>
          <w:rFonts w:eastAsiaTheme="minorEastAsia"/>
          <w:rtl/>
          <w:lang w:eastAsia="zh-CN" w:bidi="ar-EG"/>
        </w:rPr>
        <w:t>أسلوب قياس الانحراف الأقصى لتردد البث الإذاعي</w:t>
      </w:r>
      <w:r w:rsidRPr="00BC03CF">
        <w:rPr>
          <w:rFonts w:eastAsiaTheme="minorEastAsia" w:hint="cs"/>
          <w:rtl/>
          <w:lang w:eastAsia="zh-CN" w:bidi="ar-EG"/>
        </w:rPr>
        <w:t xml:space="preserve"> </w:t>
      </w:r>
      <w:r w:rsidR="002C7102">
        <w:rPr>
          <w:rFonts w:eastAsiaTheme="minorEastAsia" w:hint="cs"/>
          <w:rtl/>
          <w:lang w:eastAsia="zh-CN" w:bidi="ar-EG"/>
        </w:rPr>
        <w:t>بتشكيل التردد</w:t>
      </w:r>
      <w:r w:rsidRPr="00BC03CF">
        <w:rPr>
          <w:rFonts w:eastAsiaTheme="minorEastAsia"/>
          <w:rtl/>
          <w:lang w:eastAsia="zh-CN" w:bidi="ar-EG"/>
        </w:rPr>
        <w:t xml:space="preserve"> </w:t>
      </w:r>
      <w:r w:rsidRPr="00BC03CF">
        <w:rPr>
          <w:rFonts w:eastAsiaTheme="minorEastAsia"/>
          <w:lang w:eastAsia="zh-CN" w:bidi="ar-EG"/>
        </w:rPr>
        <w:t>(FM)</w:t>
      </w:r>
      <w:r w:rsidRPr="00BC03CF">
        <w:rPr>
          <w:rFonts w:eastAsiaTheme="minorEastAsia" w:hint="cs"/>
          <w:rtl/>
          <w:lang w:eastAsia="zh-CN" w:bidi="ar-EG"/>
        </w:rPr>
        <w:t xml:space="preserve"> في</w:t>
      </w:r>
      <w:r w:rsidRPr="00BC03CF">
        <w:rPr>
          <w:rFonts w:eastAsiaTheme="minorEastAsia" w:hint="eastAsia"/>
          <w:rtl/>
          <w:lang w:eastAsia="zh-CN" w:bidi="ar-EG"/>
        </w:rPr>
        <w:t> </w:t>
      </w:r>
      <w:r w:rsidRPr="00BC03CF">
        <w:rPr>
          <w:rFonts w:eastAsiaTheme="minorEastAsia"/>
          <w:rtl/>
          <w:lang w:eastAsia="zh-CN" w:bidi="ar-EG"/>
        </w:rPr>
        <w:t>محطات</w:t>
      </w:r>
      <w:r w:rsidRPr="00BC03CF">
        <w:rPr>
          <w:rFonts w:eastAsiaTheme="minorEastAsia" w:hint="cs"/>
          <w:rtl/>
          <w:lang w:eastAsia="zh-CN" w:bidi="ar-EG"/>
        </w:rPr>
        <w:t> </w:t>
      </w:r>
      <w:r w:rsidRPr="00BC03CF">
        <w:rPr>
          <w:rFonts w:eastAsiaTheme="minorEastAsia"/>
          <w:rtl/>
          <w:lang w:eastAsia="zh-CN" w:bidi="ar-EG"/>
        </w:rPr>
        <w:t>المراقبة</w:t>
      </w:r>
    </w:p>
    <w:p w:rsidR="0087659F" w:rsidRPr="00BC03CF" w:rsidRDefault="0087659F" w:rsidP="002C7102">
      <w:pPr>
        <w:rPr>
          <w:rFonts w:eastAsiaTheme="minorEastAsia"/>
          <w:rtl/>
          <w:lang w:eastAsia="zh-CN" w:bidi="ar-EG"/>
        </w:rPr>
      </w:pPr>
      <w:r w:rsidRPr="00BC03CF">
        <w:rPr>
          <w:rFonts w:eastAsiaTheme="minorEastAsia"/>
          <w:rtl/>
          <w:lang w:eastAsia="zh-CN" w:bidi="ar-EG"/>
        </w:rPr>
        <w:t xml:space="preserve">تحدد هذه المراجعة المقترحة للتوصية </w:t>
      </w:r>
      <w:r w:rsidRPr="00BC03CF">
        <w:rPr>
          <w:rFonts w:eastAsiaTheme="minorEastAsia"/>
          <w:lang w:eastAsia="zh-CN" w:bidi="ar-EG"/>
        </w:rPr>
        <w:t>ITU-R SM.1268-4</w:t>
      </w:r>
      <w:r w:rsidRPr="00BC03CF">
        <w:rPr>
          <w:rFonts w:eastAsiaTheme="minorEastAsia"/>
          <w:rtl/>
          <w:lang w:eastAsia="zh-CN" w:bidi="ar-EG"/>
        </w:rPr>
        <w:t xml:space="preserve"> </w:t>
      </w:r>
      <w:r w:rsidR="002C7102">
        <w:rPr>
          <w:rFonts w:eastAsiaTheme="minorEastAsia" w:hint="cs"/>
          <w:rtl/>
          <w:lang w:eastAsia="zh-CN" w:bidi="ar-EG"/>
        </w:rPr>
        <w:t>المزيد من التفاصيل بشأن</w:t>
      </w:r>
      <w:r w:rsidRPr="00BC03CF">
        <w:rPr>
          <w:rFonts w:eastAsiaTheme="minorEastAsia"/>
          <w:rtl/>
          <w:lang w:eastAsia="zh-CN" w:bidi="ar-EG"/>
        </w:rPr>
        <w:t xml:space="preserve"> </w:t>
      </w:r>
      <w:r w:rsidRPr="00BC03CF">
        <w:rPr>
          <w:rFonts w:eastAsiaTheme="minorEastAsia" w:hint="cs"/>
          <w:rtl/>
          <w:lang w:eastAsia="zh-CN" w:bidi="ar-EG"/>
        </w:rPr>
        <w:t>أساليب</w:t>
      </w:r>
      <w:r w:rsidRPr="00BC03CF">
        <w:rPr>
          <w:rFonts w:eastAsiaTheme="minorEastAsia"/>
          <w:rtl/>
          <w:lang w:eastAsia="zh-CN" w:bidi="ar-EG"/>
        </w:rPr>
        <w:t xml:space="preserve"> تقييم الانعكاسات في موقع القياس. </w:t>
      </w:r>
      <w:r w:rsidR="00AB2786" w:rsidRPr="00BC03CF">
        <w:rPr>
          <w:rFonts w:eastAsiaTheme="minorEastAsia" w:hint="cs"/>
          <w:rtl/>
          <w:lang w:eastAsia="zh-CN" w:bidi="ar-EG"/>
        </w:rPr>
        <w:t>و</w:t>
      </w:r>
      <w:r w:rsidR="0083517F">
        <w:rPr>
          <w:rFonts w:eastAsiaTheme="minorEastAsia"/>
          <w:rtl/>
          <w:lang w:eastAsia="zh-CN" w:bidi="ar-EG"/>
        </w:rPr>
        <w:t>كان هذا ضروري</w:t>
      </w:r>
      <w:r w:rsidRPr="00BC03CF">
        <w:rPr>
          <w:rFonts w:eastAsiaTheme="minorEastAsia"/>
          <w:rtl/>
          <w:lang w:eastAsia="zh-CN" w:bidi="ar-EG"/>
        </w:rPr>
        <w:t>ا</w:t>
      </w:r>
      <w:r w:rsidR="0083517F">
        <w:rPr>
          <w:rFonts w:eastAsiaTheme="minorEastAsia" w:hint="cs"/>
          <w:rtl/>
          <w:lang w:eastAsia="zh-CN" w:bidi="ar-EG"/>
        </w:rPr>
        <w:t>ً</w:t>
      </w:r>
      <w:r w:rsidRPr="00BC03CF">
        <w:rPr>
          <w:rFonts w:eastAsiaTheme="minorEastAsia"/>
          <w:rtl/>
          <w:lang w:eastAsia="zh-CN" w:bidi="ar-EG"/>
        </w:rPr>
        <w:t xml:space="preserve"> لمواءمة النتائج </w:t>
      </w:r>
      <w:r w:rsidR="00AB2786" w:rsidRPr="00BC03CF">
        <w:rPr>
          <w:rFonts w:eastAsiaTheme="minorEastAsia" w:hint="cs"/>
          <w:rtl/>
          <w:lang w:eastAsia="zh-CN" w:bidi="ar-EG"/>
        </w:rPr>
        <w:t>التي تحققت</w:t>
      </w:r>
      <w:r w:rsidRPr="00BC03CF">
        <w:rPr>
          <w:rFonts w:eastAsiaTheme="minorEastAsia"/>
          <w:rtl/>
          <w:lang w:eastAsia="zh-CN" w:bidi="ar-EG"/>
        </w:rPr>
        <w:t xml:space="preserve"> </w:t>
      </w:r>
      <w:r w:rsidR="00AB2786" w:rsidRPr="00BC03CF">
        <w:rPr>
          <w:rFonts w:eastAsiaTheme="minorEastAsia" w:hint="cs"/>
          <w:rtl/>
          <w:lang w:eastAsia="zh-CN" w:bidi="ar-EG"/>
        </w:rPr>
        <w:t>باستعمال المقاييس</w:t>
      </w:r>
      <w:r w:rsidR="002C7102">
        <w:rPr>
          <w:rFonts w:eastAsiaTheme="minorEastAsia" w:hint="cs"/>
          <w:rtl/>
          <w:lang w:eastAsia="zh-CN" w:bidi="ar-EG"/>
        </w:rPr>
        <w:t xml:space="preserve"> الرقمية</w:t>
      </w:r>
      <w:r w:rsidR="00AB2786" w:rsidRPr="00BC03CF">
        <w:rPr>
          <w:rFonts w:eastAsiaTheme="minorEastAsia" w:hint="cs"/>
          <w:rtl/>
          <w:lang w:eastAsia="zh-CN" w:bidi="ar-EG"/>
        </w:rPr>
        <w:t xml:space="preserve"> الجديدة</w:t>
      </w:r>
      <w:r w:rsidR="00AB2786" w:rsidRPr="00BC03CF">
        <w:rPr>
          <w:rFonts w:eastAsiaTheme="minorEastAsia"/>
          <w:rtl/>
          <w:lang w:eastAsia="zh-CN" w:bidi="ar-EG"/>
        </w:rPr>
        <w:t xml:space="preserve"> </w:t>
      </w:r>
      <w:r w:rsidR="00AB2786" w:rsidRPr="00BC03CF">
        <w:rPr>
          <w:rFonts w:eastAsiaTheme="minorEastAsia" w:hint="cs"/>
          <w:rtl/>
          <w:lang w:eastAsia="zh-CN" w:bidi="ar-EG"/>
        </w:rPr>
        <w:t>ل</w:t>
      </w:r>
      <w:r w:rsidRPr="00BC03CF">
        <w:rPr>
          <w:rFonts w:eastAsiaTheme="minorEastAsia"/>
          <w:rtl/>
          <w:lang w:eastAsia="zh-CN" w:bidi="ar-EG"/>
        </w:rPr>
        <w:t xml:space="preserve">لانعكاس مع </w:t>
      </w:r>
      <w:r w:rsidR="00AB2786" w:rsidRPr="00BC03CF">
        <w:rPr>
          <w:rFonts w:eastAsiaTheme="minorEastAsia" w:hint="cs"/>
          <w:rtl/>
          <w:lang w:eastAsia="zh-CN" w:bidi="ar-EG"/>
        </w:rPr>
        <w:t>ال</w:t>
      </w:r>
      <w:r w:rsidRPr="00BC03CF">
        <w:rPr>
          <w:rFonts w:eastAsiaTheme="minorEastAsia"/>
          <w:rtl/>
          <w:lang w:eastAsia="zh-CN" w:bidi="ar-EG"/>
        </w:rPr>
        <w:t xml:space="preserve">نتائج </w:t>
      </w:r>
      <w:r w:rsidR="00AB2786" w:rsidRPr="00BC03CF">
        <w:rPr>
          <w:rFonts w:eastAsiaTheme="minorEastAsia" w:hint="cs"/>
          <w:rtl/>
          <w:lang w:eastAsia="zh-CN" w:bidi="ar-EG"/>
        </w:rPr>
        <w:t>التي تحققت باستعمال المقاييس</w:t>
      </w:r>
      <w:r w:rsidRPr="00BC03CF">
        <w:rPr>
          <w:rFonts w:eastAsiaTheme="minorEastAsia"/>
          <w:rtl/>
          <w:lang w:eastAsia="zh-CN" w:bidi="ar-EG"/>
        </w:rPr>
        <w:t xml:space="preserve"> </w:t>
      </w:r>
      <w:r w:rsidR="00D822F2" w:rsidRPr="00BC03CF">
        <w:rPr>
          <w:rFonts w:eastAsiaTheme="minorEastAsia" w:hint="cs"/>
          <w:rtl/>
          <w:lang w:eastAsia="zh-CN" w:bidi="ar-EG"/>
        </w:rPr>
        <w:t>التماثلية</w:t>
      </w:r>
      <w:r w:rsidRPr="00BC03CF">
        <w:rPr>
          <w:rFonts w:eastAsiaTheme="minorEastAsia"/>
          <w:rtl/>
          <w:lang w:eastAsia="zh-CN" w:bidi="ar-EG"/>
        </w:rPr>
        <w:t>.</w:t>
      </w:r>
    </w:p>
    <w:p w:rsidR="00226C24" w:rsidRPr="00BC03CF" w:rsidRDefault="00D822F2" w:rsidP="002C7102">
      <w:pPr>
        <w:rPr>
          <w:rFonts w:eastAsiaTheme="minorEastAsia"/>
          <w:rtl/>
          <w:lang w:eastAsia="zh-CN" w:bidi="ar-EG"/>
        </w:rPr>
      </w:pPr>
      <w:r w:rsidRPr="00BC03CF">
        <w:rPr>
          <w:rFonts w:eastAsiaTheme="minorEastAsia" w:hint="cs"/>
          <w:rtl/>
          <w:lang w:eastAsia="zh-CN" w:bidi="ar-EG"/>
        </w:rPr>
        <w:t>و</w:t>
      </w:r>
      <w:r w:rsidR="002C7102">
        <w:rPr>
          <w:rFonts w:eastAsiaTheme="minorEastAsia" w:hint="cs"/>
          <w:rtl/>
          <w:lang w:eastAsia="zh-CN" w:bidi="ar-EG"/>
        </w:rPr>
        <w:t>تتعلق</w:t>
      </w:r>
      <w:r w:rsidR="0087659F" w:rsidRPr="00BC03CF">
        <w:rPr>
          <w:rFonts w:eastAsiaTheme="minorEastAsia"/>
          <w:rtl/>
          <w:lang w:eastAsia="zh-CN" w:bidi="ar-EG"/>
        </w:rPr>
        <w:t xml:space="preserve"> </w:t>
      </w:r>
      <w:r w:rsidRPr="00BC03CF">
        <w:rPr>
          <w:rFonts w:eastAsiaTheme="minorEastAsia" w:hint="cs"/>
          <w:rtl/>
          <w:lang w:eastAsia="zh-CN" w:bidi="ar-EG"/>
        </w:rPr>
        <w:t>التعديلات</w:t>
      </w:r>
      <w:r w:rsidR="0087659F" w:rsidRPr="00BC03CF">
        <w:rPr>
          <w:rFonts w:eastAsiaTheme="minorEastAsia"/>
          <w:rtl/>
          <w:lang w:eastAsia="zh-CN" w:bidi="ar-EG"/>
        </w:rPr>
        <w:t xml:space="preserve"> المقترحة </w:t>
      </w:r>
      <w:r w:rsidR="002C7102">
        <w:rPr>
          <w:rFonts w:eastAsiaTheme="minorEastAsia" w:hint="cs"/>
          <w:rtl/>
          <w:lang w:eastAsia="zh-CN" w:bidi="ar-EG"/>
        </w:rPr>
        <w:t>بالملحق</w:t>
      </w:r>
      <w:r w:rsidR="0087659F" w:rsidRPr="00BC03CF">
        <w:rPr>
          <w:rFonts w:eastAsiaTheme="minorEastAsia"/>
          <w:rtl/>
          <w:lang w:eastAsia="zh-CN" w:bidi="ar-EG"/>
        </w:rPr>
        <w:t xml:space="preserve"> </w:t>
      </w:r>
      <w:r w:rsidR="0087659F" w:rsidRPr="00BC03CF">
        <w:rPr>
          <w:rFonts w:eastAsiaTheme="minorEastAsia"/>
          <w:lang w:eastAsia="zh-CN" w:bidi="ar-EG"/>
        </w:rPr>
        <w:t>2</w:t>
      </w:r>
      <w:r w:rsidR="0087659F" w:rsidRPr="00BC03CF">
        <w:rPr>
          <w:rFonts w:eastAsiaTheme="minorEastAsia"/>
          <w:rtl/>
          <w:lang w:eastAsia="zh-CN" w:bidi="ar-EG"/>
        </w:rPr>
        <w:t xml:space="preserve"> فقط.</w:t>
      </w:r>
    </w:p>
    <w:p w:rsidR="00226C24" w:rsidRPr="00BC03CF" w:rsidRDefault="00226C24" w:rsidP="002C7102">
      <w:pPr>
        <w:tabs>
          <w:tab w:val="clear" w:pos="1134"/>
          <w:tab w:val="right" w:pos="9639"/>
        </w:tabs>
        <w:spacing w:before="400"/>
        <w:rPr>
          <w:rFonts w:eastAsiaTheme="minorEastAsia"/>
          <w:rtl/>
          <w:lang w:eastAsia="zh-CN" w:bidi="ar-EG"/>
        </w:rPr>
      </w:pPr>
      <w:r w:rsidRPr="00BC03CF">
        <w:rPr>
          <w:rFonts w:eastAsiaTheme="minorEastAsia" w:hint="cs"/>
          <w:u w:val="single"/>
          <w:rtl/>
          <w:lang w:eastAsia="zh-CN" w:bidi="ar-EG"/>
        </w:rPr>
        <w:t xml:space="preserve">مشروع </w:t>
      </w:r>
      <w:r w:rsidR="000B7D69" w:rsidRPr="00BC03CF">
        <w:rPr>
          <w:rFonts w:eastAsiaTheme="minorEastAsia" w:hint="cs"/>
          <w:u w:val="single"/>
          <w:rtl/>
          <w:lang w:eastAsia="zh-CN" w:bidi="ar-EG"/>
        </w:rPr>
        <w:t>مراجَعة</w:t>
      </w:r>
      <w:r w:rsidRPr="00BC03CF">
        <w:rPr>
          <w:rFonts w:eastAsiaTheme="minorEastAsia" w:hint="cs"/>
          <w:u w:val="single"/>
          <w:rtl/>
          <w:lang w:eastAsia="zh-CN" w:bidi="ar-EG"/>
        </w:rPr>
        <w:t xml:space="preserve"> </w:t>
      </w:r>
      <w:r w:rsidRPr="00BC03CF">
        <w:rPr>
          <w:rFonts w:eastAsiaTheme="minorEastAsia" w:hint="cs"/>
          <w:u w:val="single"/>
          <w:rtl/>
          <w:lang w:eastAsia="zh-CN"/>
        </w:rPr>
        <w:t xml:space="preserve">التوصية </w:t>
      </w:r>
      <w:r w:rsidRPr="00BC03CF">
        <w:rPr>
          <w:rFonts w:eastAsiaTheme="minorEastAsia"/>
          <w:u w:val="single"/>
          <w:lang w:eastAsia="zh-CN"/>
        </w:rPr>
        <w:t>ITU-R SM.1054-0</w:t>
      </w:r>
      <w:r w:rsidRPr="00BC03CF">
        <w:rPr>
          <w:rFonts w:eastAsiaTheme="minorEastAsia"/>
          <w:rtl/>
          <w:lang w:eastAsia="zh-CN" w:bidi="ar-EG"/>
        </w:rPr>
        <w:tab/>
      </w:r>
      <w:r w:rsidRPr="00BC03CF">
        <w:rPr>
          <w:rFonts w:eastAsiaTheme="minorEastAsia" w:hint="cs"/>
          <w:rtl/>
          <w:lang w:eastAsia="zh-CN" w:bidi="ar-EG"/>
        </w:rPr>
        <w:t xml:space="preserve">الوثيقة </w:t>
      </w:r>
      <w:r w:rsidRPr="00BC03CF">
        <w:rPr>
          <w:rFonts w:eastAsiaTheme="minorEastAsia"/>
          <w:lang w:eastAsia="zh-CN" w:bidi="ar-EG"/>
        </w:rPr>
        <w:t>1/208(Rev.1)</w:t>
      </w:r>
    </w:p>
    <w:p w:rsidR="00226C24" w:rsidRPr="00BC03CF" w:rsidRDefault="00D822F2" w:rsidP="001E60FD">
      <w:pPr>
        <w:pStyle w:val="Rectitle"/>
        <w:spacing w:before="360" w:after="240"/>
        <w:rPr>
          <w:rFonts w:eastAsiaTheme="minorEastAsia"/>
          <w:rtl/>
          <w:lang w:eastAsia="zh-CN" w:bidi="ar-EG"/>
        </w:rPr>
      </w:pPr>
      <w:r w:rsidRPr="00BC03CF">
        <w:rPr>
          <w:rFonts w:eastAsiaTheme="minorEastAsia"/>
          <w:rtl/>
          <w:lang w:eastAsia="zh-CN" w:bidi="ar-EG"/>
        </w:rPr>
        <w:t xml:space="preserve">مراقبة البث الراديوي من المركبات الفضائية </w:t>
      </w:r>
      <w:r w:rsidR="002C7102">
        <w:rPr>
          <w:rFonts w:eastAsiaTheme="minorEastAsia" w:hint="cs"/>
          <w:rtl/>
          <w:lang w:eastAsia="zh-CN" w:bidi="ar-EG"/>
        </w:rPr>
        <w:t>بواسطة محطات</w:t>
      </w:r>
      <w:r w:rsidRPr="00BC03CF">
        <w:rPr>
          <w:rFonts w:eastAsiaTheme="minorEastAsia"/>
          <w:rtl/>
          <w:lang w:eastAsia="zh-CN" w:bidi="ar-EG"/>
        </w:rPr>
        <w:t xml:space="preserve"> المراقبة</w:t>
      </w:r>
    </w:p>
    <w:p w:rsidR="001E60FD" w:rsidRDefault="00D822F2" w:rsidP="007C2FEA">
      <w:pPr>
        <w:rPr>
          <w:rFonts w:eastAsiaTheme="minorEastAsia"/>
          <w:rtl/>
          <w:lang w:eastAsia="zh-CN" w:bidi="ar-EG"/>
        </w:rPr>
      </w:pPr>
      <w:r w:rsidRPr="00BC03CF">
        <w:rPr>
          <w:rFonts w:eastAsiaTheme="minorEastAsia"/>
          <w:rtl/>
          <w:lang w:eastAsia="zh-CN" w:bidi="ar-EG"/>
        </w:rPr>
        <w:t>الغرض من</w:t>
      </w:r>
      <w:r w:rsidR="00013EEB" w:rsidRPr="00BC03CF">
        <w:rPr>
          <w:rFonts w:eastAsiaTheme="minorEastAsia"/>
          <w:rtl/>
          <w:lang w:eastAsia="zh-CN" w:bidi="ar-EG"/>
        </w:rPr>
        <w:t xml:space="preserve"> هذه المراجعة هو تحديث التوصي</w:t>
      </w:r>
      <w:r w:rsidR="002C7102">
        <w:rPr>
          <w:rFonts w:eastAsiaTheme="minorEastAsia" w:hint="cs"/>
          <w:rtl/>
          <w:lang w:eastAsia="zh-CN" w:bidi="ar-EG"/>
        </w:rPr>
        <w:t>ة، بمراعاة</w:t>
      </w:r>
      <w:r w:rsidR="0083517F">
        <w:rPr>
          <w:rFonts w:eastAsiaTheme="minorEastAsia" w:hint="cs"/>
          <w:rtl/>
          <w:lang w:eastAsia="zh-CN" w:bidi="ar-EG"/>
        </w:rPr>
        <w:t xml:space="preserve"> التقرير الجديد</w:t>
      </w:r>
      <w:r w:rsidR="002C7102">
        <w:rPr>
          <w:rFonts w:eastAsiaTheme="minorEastAsia" w:hint="cs"/>
          <w:rtl/>
          <w:lang w:eastAsia="zh-CN" w:bidi="ar-EG"/>
        </w:rPr>
        <w:t xml:space="preserve"> </w:t>
      </w:r>
      <w:r w:rsidR="00013EEB" w:rsidRPr="004A078A">
        <w:rPr>
          <w:rFonts w:cs="Calibri"/>
          <w:szCs w:val="22"/>
          <w:lang w:val="en-GB" w:eastAsia="zh-CN"/>
        </w:rPr>
        <w:t xml:space="preserve">ITU-R </w:t>
      </w:r>
      <w:r w:rsidR="00013EEB" w:rsidRPr="004A078A">
        <w:rPr>
          <w:rFonts w:cs="Calibri"/>
          <w:szCs w:val="22"/>
        </w:rPr>
        <w:t>SM.2453</w:t>
      </w:r>
      <w:r w:rsidR="00013EEB" w:rsidRPr="004A078A">
        <w:rPr>
          <w:rFonts w:cs="Calibri"/>
          <w:szCs w:val="22"/>
        </w:rPr>
        <w:noBreakHyphen/>
        <w:t>0</w:t>
      </w:r>
      <w:r w:rsidR="002C7102" w:rsidRPr="002C7102">
        <w:rPr>
          <w:rFonts w:hint="cs"/>
          <w:rtl/>
        </w:rPr>
        <w:t xml:space="preserve"> </w:t>
      </w:r>
      <w:r w:rsidRPr="00BC03CF">
        <w:rPr>
          <w:rFonts w:eastAsiaTheme="minorEastAsia"/>
          <w:rtl/>
          <w:lang w:eastAsia="zh-CN" w:bidi="ar-EG"/>
        </w:rPr>
        <w:t xml:space="preserve">بشأن التعاون في مراقبة </w:t>
      </w:r>
      <w:r w:rsidR="002C7102">
        <w:rPr>
          <w:rFonts w:eastAsiaTheme="minorEastAsia" w:hint="cs"/>
          <w:rtl/>
          <w:lang w:eastAsia="zh-CN" w:bidi="ar-EG"/>
        </w:rPr>
        <w:t xml:space="preserve">الأنظمة الساتلية، ومن ثم </w:t>
      </w:r>
      <w:r w:rsidRPr="00BC03CF">
        <w:rPr>
          <w:rFonts w:eastAsiaTheme="minorEastAsia"/>
          <w:rtl/>
          <w:lang w:eastAsia="zh-CN" w:bidi="ar-EG"/>
        </w:rPr>
        <w:t>الوثيقة.</w:t>
      </w:r>
    </w:p>
    <w:p w:rsidR="001E60FD" w:rsidRDefault="001E60FD">
      <w:pPr>
        <w:tabs>
          <w:tab w:val="clear" w:pos="1134"/>
        </w:tabs>
        <w:bidi w:val="0"/>
        <w:spacing w:before="0" w:after="160" w:line="259" w:lineRule="auto"/>
        <w:jc w:val="left"/>
        <w:rPr>
          <w:rFonts w:eastAsiaTheme="minorEastAsia"/>
          <w:rtl/>
          <w:lang w:eastAsia="zh-CN" w:bidi="ar-EG"/>
        </w:rPr>
      </w:pPr>
      <w:r>
        <w:rPr>
          <w:rFonts w:eastAsiaTheme="minorEastAsia"/>
          <w:rtl/>
          <w:lang w:eastAsia="zh-CN" w:bidi="ar-EG"/>
        </w:rPr>
        <w:br w:type="page"/>
      </w:r>
    </w:p>
    <w:p w:rsidR="00226C24" w:rsidRPr="00BC03CF" w:rsidRDefault="00226C24" w:rsidP="007C2FEA">
      <w:pPr>
        <w:rPr>
          <w:rFonts w:eastAsiaTheme="minorEastAsia"/>
          <w:rtl/>
          <w:lang w:eastAsia="zh-CN" w:bidi="ar-EG"/>
        </w:rPr>
      </w:pPr>
    </w:p>
    <w:p w:rsidR="00226C24" w:rsidRPr="00BC03CF" w:rsidRDefault="00226C24" w:rsidP="002C7102">
      <w:pPr>
        <w:tabs>
          <w:tab w:val="clear" w:pos="1134"/>
          <w:tab w:val="right" w:pos="9639"/>
        </w:tabs>
        <w:spacing w:before="400"/>
        <w:rPr>
          <w:rFonts w:eastAsiaTheme="minorEastAsia"/>
          <w:rtl/>
          <w:lang w:eastAsia="zh-CN" w:bidi="ar-EG"/>
        </w:rPr>
      </w:pPr>
      <w:r w:rsidRPr="00BC03CF">
        <w:rPr>
          <w:rFonts w:eastAsiaTheme="minorEastAsia" w:hint="cs"/>
          <w:u w:val="single"/>
          <w:rtl/>
          <w:lang w:eastAsia="zh-CN" w:bidi="ar-EG"/>
        </w:rPr>
        <w:t xml:space="preserve">مشروع </w:t>
      </w:r>
      <w:r w:rsidR="000B7D69" w:rsidRPr="00BC03CF">
        <w:rPr>
          <w:rFonts w:eastAsiaTheme="minorEastAsia" w:hint="cs"/>
          <w:u w:val="single"/>
          <w:rtl/>
          <w:lang w:eastAsia="zh-CN" w:bidi="ar-EG"/>
        </w:rPr>
        <w:t>مراجَعة</w:t>
      </w:r>
      <w:r w:rsidRPr="00BC03CF">
        <w:rPr>
          <w:rFonts w:eastAsiaTheme="minorEastAsia" w:hint="cs"/>
          <w:u w:val="single"/>
          <w:rtl/>
          <w:lang w:eastAsia="zh-CN" w:bidi="ar-EG"/>
        </w:rPr>
        <w:t xml:space="preserve"> </w:t>
      </w:r>
      <w:r w:rsidRPr="00BC03CF">
        <w:rPr>
          <w:rFonts w:eastAsiaTheme="minorEastAsia" w:hint="cs"/>
          <w:u w:val="single"/>
          <w:rtl/>
          <w:lang w:eastAsia="zh-CN"/>
        </w:rPr>
        <w:t xml:space="preserve">التوصية </w:t>
      </w:r>
      <w:r w:rsidRPr="00BC03CF">
        <w:rPr>
          <w:rFonts w:eastAsiaTheme="minorEastAsia"/>
          <w:u w:val="single"/>
          <w:lang w:eastAsia="zh-CN"/>
        </w:rPr>
        <w:t>ITU-R SM.1875-2</w:t>
      </w:r>
      <w:r w:rsidRPr="00BC03CF">
        <w:rPr>
          <w:rFonts w:eastAsiaTheme="minorEastAsia"/>
          <w:rtl/>
          <w:lang w:eastAsia="zh-CN" w:bidi="ar-EG"/>
        </w:rPr>
        <w:tab/>
      </w:r>
      <w:r w:rsidRPr="00BC03CF">
        <w:rPr>
          <w:rFonts w:eastAsiaTheme="minorEastAsia" w:hint="cs"/>
          <w:rtl/>
          <w:lang w:eastAsia="zh-CN" w:bidi="ar-EG"/>
        </w:rPr>
        <w:t xml:space="preserve">الوثيقة </w:t>
      </w:r>
      <w:r w:rsidRPr="00BC03CF">
        <w:rPr>
          <w:rFonts w:eastAsiaTheme="minorEastAsia"/>
          <w:lang w:eastAsia="zh-CN" w:bidi="ar-EG"/>
        </w:rPr>
        <w:t>1/212(Rev.1)</w:t>
      </w:r>
    </w:p>
    <w:p w:rsidR="00226C24" w:rsidRPr="00BC03CF" w:rsidRDefault="00226C24" w:rsidP="001E60FD">
      <w:pPr>
        <w:pStyle w:val="Rectitle"/>
        <w:spacing w:before="360" w:after="240"/>
        <w:rPr>
          <w:rFonts w:eastAsiaTheme="minorEastAsia"/>
          <w:rtl/>
          <w:lang w:eastAsia="zh-CN" w:bidi="ar-EG"/>
        </w:rPr>
      </w:pPr>
      <w:r w:rsidRPr="00BC03CF">
        <w:rPr>
          <w:rFonts w:eastAsiaTheme="minorEastAsia" w:hint="cs"/>
          <w:rtl/>
          <w:lang w:eastAsia="zh-CN" w:bidi="ar-EG"/>
        </w:rPr>
        <w:t>قياسات تغطية الإذاعة الفيديوية الرق</w:t>
      </w:r>
      <w:bookmarkStart w:id="0" w:name="_GoBack"/>
      <w:bookmarkEnd w:id="0"/>
      <w:r w:rsidRPr="00BC03CF">
        <w:rPr>
          <w:rFonts w:eastAsiaTheme="minorEastAsia" w:hint="cs"/>
          <w:rtl/>
          <w:lang w:eastAsia="zh-CN" w:bidi="ar-EG"/>
        </w:rPr>
        <w:t>مية للأرض والتحقق من معايير التخطيط</w:t>
      </w:r>
    </w:p>
    <w:p w:rsidR="00226C24" w:rsidRPr="00BC03CF" w:rsidRDefault="003C0BAB" w:rsidP="002C7102">
      <w:pPr>
        <w:rPr>
          <w:rFonts w:eastAsiaTheme="minorEastAsia"/>
          <w:rtl/>
          <w:lang w:eastAsia="zh-CN" w:bidi="ar-EG"/>
        </w:rPr>
      </w:pPr>
      <w:r w:rsidRPr="00BC03CF">
        <w:rPr>
          <w:rFonts w:eastAsiaTheme="minorEastAsia"/>
          <w:rtl/>
          <w:lang w:eastAsia="zh-CN" w:bidi="ar-EG"/>
        </w:rPr>
        <w:t xml:space="preserve">يتضمن مشروع مراجعة التوصية </w:t>
      </w:r>
      <w:r w:rsidRPr="00BC03CF">
        <w:rPr>
          <w:rFonts w:eastAsiaTheme="minorEastAsia" w:hint="cs"/>
          <w:rtl/>
          <w:lang w:eastAsia="zh-CN" w:bidi="ar-EG"/>
        </w:rPr>
        <w:t>التعديلات</w:t>
      </w:r>
      <w:r w:rsidRPr="00BC03CF">
        <w:rPr>
          <w:rFonts w:eastAsiaTheme="minorEastAsia"/>
          <w:rtl/>
          <w:lang w:eastAsia="zh-CN" w:bidi="ar-EG"/>
        </w:rPr>
        <w:t xml:space="preserve"> التالية:</w:t>
      </w:r>
    </w:p>
    <w:p w:rsidR="00226C24" w:rsidRPr="00BC03CF" w:rsidRDefault="00226C24" w:rsidP="002C7102">
      <w:pPr>
        <w:pStyle w:val="enumlev1"/>
        <w:rPr>
          <w:rFonts w:eastAsiaTheme="minorEastAsia"/>
          <w:rtl/>
          <w:lang w:eastAsia="zh-CN" w:bidi="ar-EG"/>
        </w:rPr>
      </w:pPr>
      <w:r w:rsidRPr="00BC03CF">
        <w:rPr>
          <w:rFonts w:eastAsiaTheme="minorEastAsia" w:hint="cs"/>
          <w:rtl/>
          <w:lang w:eastAsia="zh-CN" w:bidi="ar-EG"/>
        </w:rPr>
        <w:t>-</w:t>
      </w:r>
      <w:r w:rsidRPr="00BC03CF">
        <w:rPr>
          <w:rFonts w:eastAsiaTheme="minorEastAsia"/>
          <w:rtl/>
          <w:lang w:eastAsia="zh-CN" w:bidi="ar-EG"/>
        </w:rPr>
        <w:tab/>
      </w:r>
      <w:r w:rsidR="003C0BAB" w:rsidRPr="00BC03CF">
        <w:rPr>
          <w:rFonts w:eastAsiaTheme="minorEastAsia"/>
          <w:rtl/>
          <w:lang w:eastAsia="zh-CN" w:bidi="ar-EG"/>
        </w:rPr>
        <w:t xml:space="preserve">توضيح </w:t>
      </w:r>
      <w:r w:rsidR="002C7102">
        <w:rPr>
          <w:rFonts w:eastAsiaTheme="minorEastAsia" w:hint="cs"/>
          <w:rtl/>
          <w:lang w:eastAsia="zh-CN" w:bidi="ar-EG"/>
        </w:rPr>
        <w:t>أسلوب القياس</w:t>
      </w:r>
      <w:r w:rsidR="003C0BAB" w:rsidRPr="00BC03CF">
        <w:rPr>
          <w:rFonts w:eastAsiaTheme="minorEastAsia"/>
          <w:rtl/>
          <w:lang w:eastAsia="zh-CN" w:bidi="ar-EG"/>
        </w:rPr>
        <w:t xml:space="preserve"> </w:t>
      </w:r>
      <w:r w:rsidR="003C0BAB" w:rsidRPr="00BC03CF">
        <w:rPr>
          <w:rFonts w:eastAsiaTheme="minorEastAsia" w:hint="cs"/>
          <w:rtl/>
          <w:lang w:eastAsia="zh-CN" w:bidi="ar-EG"/>
        </w:rPr>
        <w:t>المستعمل حاليا</w:t>
      </w:r>
      <w:r w:rsidR="002C7102">
        <w:rPr>
          <w:rFonts w:eastAsiaTheme="minorEastAsia" w:hint="cs"/>
          <w:rtl/>
          <w:lang w:eastAsia="zh-CN" w:bidi="ar-EG"/>
        </w:rPr>
        <w:t>ً</w:t>
      </w:r>
      <w:r w:rsidR="003C0BAB" w:rsidRPr="00BC03CF">
        <w:rPr>
          <w:rFonts w:eastAsiaTheme="minorEastAsia" w:hint="cs"/>
          <w:rtl/>
          <w:lang w:eastAsia="zh-CN" w:bidi="ar-EG"/>
        </w:rPr>
        <w:t xml:space="preserve"> </w:t>
      </w:r>
      <w:r w:rsidR="002C7102">
        <w:rPr>
          <w:rFonts w:eastAsiaTheme="minorEastAsia" w:hint="cs"/>
          <w:rtl/>
          <w:lang w:eastAsia="zh-CN" w:bidi="ar-EG"/>
        </w:rPr>
        <w:t>بشأن</w:t>
      </w:r>
      <w:r w:rsidR="003C0BAB" w:rsidRPr="00BC03CF">
        <w:rPr>
          <w:rFonts w:eastAsiaTheme="minorEastAsia"/>
          <w:rtl/>
          <w:lang w:eastAsia="zh-CN" w:bidi="ar-EG"/>
        </w:rPr>
        <w:t xml:space="preserve"> </w:t>
      </w:r>
      <w:r w:rsidR="003C0BAB" w:rsidRPr="00BC03CF">
        <w:rPr>
          <w:rFonts w:eastAsiaTheme="minorEastAsia" w:hint="cs"/>
          <w:rtl/>
          <w:lang w:eastAsia="zh-CN" w:bidi="ar-EG"/>
        </w:rPr>
        <w:t>ا</w:t>
      </w:r>
      <w:r w:rsidR="003C0BAB" w:rsidRPr="00BC03CF">
        <w:rPr>
          <w:rFonts w:eastAsiaTheme="minorEastAsia"/>
          <w:rtl/>
          <w:lang w:eastAsia="zh-CN" w:bidi="ar-EG"/>
        </w:rPr>
        <w:t xml:space="preserve">لاستقبال </w:t>
      </w:r>
      <w:r w:rsidR="003C0BAB" w:rsidRPr="00BC03CF">
        <w:rPr>
          <w:rFonts w:eastAsiaTheme="minorEastAsia" w:hint="cs"/>
          <w:rtl/>
          <w:lang w:eastAsia="zh-CN" w:bidi="ar-EG"/>
        </w:rPr>
        <w:t>الثابت؛</w:t>
      </w:r>
    </w:p>
    <w:p w:rsidR="00226C24" w:rsidRPr="00BC03CF" w:rsidRDefault="00226C24" w:rsidP="002C7102">
      <w:pPr>
        <w:pStyle w:val="enumlev1"/>
        <w:rPr>
          <w:rFonts w:eastAsiaTheme="minorEastAsia"/>
          <w:rtl/>
          <w:lang w:eastAsia="zh-CN" w:bidi="ar-EG"/>
        </w:rPr>
      </w:pPr>
      <w:r w:rsidRPr="00BC03CF">
        <w:rPr>
          <w:rFonts w:eastAsiaTheme="minorEastAsia" w:hint="cs"/>
          <w:rtl/>
          <w:lang w:eastAsia="zh-CN" w:bidi="ar-EG"/>
        </w:rPr>
        <w:t>-</w:t>
      </w:r>
      <w:r w:rsidRPr="00BC03CF">
        <w:rPr>
          <w:rFonts w:eastAsiaTheme="minorEastAsia"/>
          <w:rtl/>
          <w:lang w:eastAsia="zh-CN" w:bidi="ar-EG"/>
        </w:rPr>
        <w:tab/>
      </w:r>
      <w:r w:rsidR="003C0BAB" w:rsidRPr="00BC03CF">
        <w:rPr>
          <w:rFonts w:eastAsiaTheme="minorEastAsia"/>
          <w:rtl/>
          <w:lang w:eastAsia="zh-CN" w:bidi="ar-EG"/>
        </w:rPr>
        <w:t xml:space="preserve">إدخال </w:t>
      </w:r>
      <w:r w:rsidR="003C0BAB" w:rsidRPr="00BC03CF">
        <w:rPr>
          <w:rFonts w:eastAsiaTheme="minorEastAsia" w:hint="cs"/>
          <w:rtl/>
          <w:lang w:eastAsia="zh-CN" w:bidi="ar-EG"/>
        </w:rPr>
        <w:t>أسلوبين</w:t>
      </w:r>
      <w:r w:rsidR="003C0BAB" w:rsidRPr="00BC03CF">
        <w:rPr>
          <w:rtl/>
        </w:rPr>
        <w:t xml:space="preserve"> </w:t>
      </w:r>
      <w:r w:rsidR="003C0BAB" w:rsidRPr="00BC03CF">
        <w:rPr>
          <w:rFonts w:eastAsiaTheme="minorEastAsia"/>
          <w:rtl/>
          <w:lang w:eastAsia="zh-CN" w:bidi="ar-EG"/>
        </w:rPr>
        <w:t>بديل</w:t>
      </w:r>
      <w:r w:rsidR="003C0BAB" w:rsidRPr="00BC03CF">
        <w:rPr>
          <w:rFonts w:eastAsiaTheme="minorEastAsia" w:hint="cs"/>
          <w:rtl/>
          <w:lang w:eastAsia="zh-CN" w:bidi="ar-EG"/>
        </w:rPr>
        <w:t>ين</w:t>
      </w:r>
      <w:r w:rsidR="003C0BAB" w:rsidRPr="00BC03CF">
        <w:rPr>
          <w:rFonts w:eastAsiaTheme="minorEastAsia"/>
          <w:rtl/>
          <w:lang w:eastAsia="zh-CN" w:bidi="ar-EG"/>
        </w:rPr>
        <w:t xml:space="preserve"> </w:t>
      </w:r>
      <w:r w:rsidR="003C0BAB" w:rsidRPr="00BC03CF">
        <w:rPr>
          <w:rFonts w:eastAsiaTheme="minorEastAsia" w:hint="cs"/>
          <w:rtl/>
          <w:lang w:eastAsia="zh-CN" w:bidi="ar-EG"/>
        </w:rPr>
        <w:t>ل</w:t>
      </w:r>
      <w:r w:rsidR="002C7102">
        <w:rPr>
          <w:rFonts w:eastAsiaTheme="minorEastAsia" w:hint="cs"/>
          <w:rtl/>
          <w:lang w:eastAsia="zh-CN" w:bidi="ar-EG"/>
        </w:rPr>
        <w:t>ل</w:t>
      </w:r>
      <w:r w:rsidR="003C0BAB" w:rsidRPr="00BC03CF">
        <w:rPr>
          <w:rFonts w:eastAsiaTheme="minorEastAsia"/>
          <w:rtl/>
          <w:lang w:eastAsia="zh-CN" w:bidi="ar-EG"/>
        </w:rPr>
        <w:t>قياس</w:t>
      </w:r>
      <w:r w:rsidR="002C7102">
        <w:rPr>
          <w:rFonts w:eastAsiaTheme="minorEastAsia" w:hint="cs"/>
          <w:rtl/>
          <w:lang w:eastAsia="zh-CN" w:bidi="ar-EG"/>
        </w:rPr>
        <w:t xml:space="preserve"> بشأن</w:t>
      </w:r>
      <w:r w:rsidR="003C0BAB" w:rsidRPr="00BC03CF">
        <w:rPr>
          <w:rFonts w:eastAsiaTheme="minorEastAsia"/>
          <w:rtl/>
          <w:lang w:eastAsia="zh-CN" w:bidi="ar-EG"/>
        </w:rPr>
        <w:t xml:space="preserve"> </w:t>
      </w:r>
      <w:r w:rsidR="003C0BAB" w:rsidRPr="00BC03CF">
        <w:rPr>
          <w:rFonts w:eastAsiaTheme="minorEastAsia" w:hint="cs"/>
          <w:rtl/>
          <w:lang w:eastAsia="zh-CN" w:bidi="ar-EG"/>
        </w:rPr>
        <w:t>ا</w:t>
      </w:r>
      <w:r w:rsidR="003C0BAB" w:rsidRPr="00BC03CF">
        <w:rPr>
          <w:rFonts w:eastAsiaTheme="minorEastAsia"/>
          <w:rtl/>
          <w:lang w:eastAsia="zh-CN" w:bidi="ar-EG"/>
        </w:rPr>
        <w:t xml:space="preserve">لاستقبال الثابت </w:t>
      </w:r>
      <w:r w:rsidR="003C0BAB" w:rsidRPr="00BC03CF">
        <w:rPr>
          <w:rFonts w:eastAsiaTheme="minorEastAsia" w:hint="cs"/>
          <w:rtl/>
          <w:lang w:eastAsia="zh-CN" w:bidi="ar-EG"/>
        </w:rPr>
        <w:t>يُستعملان</w:t>
      </w:r>
      <w:r w:rsidR="003C0BAB" w:rsidRPr="00BC03CF">
        <w:rPr>
          <w:rFonts w:eastAsiaTheme="minorEastAsia"/>
          <w:rtl/>
          <w:lang w:eastAsia="zh-CN" w:bidi="ar-EG"/>
        </w:rPr>
        <w:t xml:space="preserve"> في ظروف </w:t>
      </w:r>
      <w:r w:rsidR="003C0BAB" w:rsidRPr="00BC03CF">
        <w:rPr>
          <w:rFonts w:eastAsiaTheme="minorEastAsia" w:hint="cs"/>
          <w:rtl/>
          <w:lang w:eastAsia="zh-CN" w:bidi="ar-EG"/>
        </w:rPr>
        <w:t>معينة؛</w:t>
      </w:r>
    </w:p>
    <w:p w:rsidR="00226C24" w:rsidRPr="00BC03CF" w:rsidRDefault="00226C24" w:rsidP="002C7102">
      <w:pPr>
        <w:pStyle w:val="enumlev1"/>
        <w:rPr>
          <w:rFonts w:eastAsiaTheme="minorEastAsia"/>
          <w:rtl/>
          <w:lang w:eastAsia="zh-CN" w:bidi="ar-EG"/>
        </w:rPr>
      </w:pPr>
      <w:r w:rsidRPr="00BC03CF">
        <w:rPr>
          <w:rFonts w:eastAsiaTheme="minorEastAsia" w:hint="cs"/>
          <w:rtl/>
          <w:lang w:eastAsia="zh-CN" w:bidi="ar-EG"/>
        </w:rPr>
        <w:t>-</w:t>
      </w:r>
      <w:r w:rsidRPr="00BC03CF">
        <w:rPr>
          <w:rFonts w:eastAsiaTheme="minorEastAsia"/>
          <w:rtl/>
          <w:lang w:eastAsia="zh-CN" w:bidi="ar-EG"/>
        </w:rPr>
        <w:tab/>
      </w:r>
      <w:r w:rsidR="003C0BAB" w:rsidRPr="00BC03CF">
        <w:rPr>
          <w:rFonts w:eastAsiaTheme="minorEastAsia"/>
          <w:rtl/>
          <w:lang w:eastAsia="zh-CN" w:bidi="ar-EG"/>
        </w:rPr>
        <w:t>إدراج</w:t>
      </w:r>
      <w:r w:rsidR="005E77FB" w:rsidRPr="00BC03CF">
        <w:rPr>
          <w:rFonts w:eastAsiaTheme="minorEastAsia" w:hint="cs"/>
          <w:rtl/>
          <w:lang w:eastAsia="zh-CN" w:bidi="ar-EG"/>
        </w:rPr>
        <w:t xml:space="preserve"> </w:t>
      </w:r>
      <w:r w:rsidR="0038566E" w:rsidRPr="00BC03CF">
        <w:rPr>
          <w:rFonts w:eastAsiaTheme="minorEastAsia" w:hint="cs"/>
          <w:rtl/>
          <w:lang w:eastAsia="zh-CN" w:bidi="ar-EG"/>
        </w:rPr>
        <w:t xml:space="preserve">الجيل الثاني من </w:t>
      </w:r>
      <w:r w:rsidR="0038566E" w:rsidRPr="00BC03CF">
        <w:rPr>
          <w:rFonts w:eastAsiaTheme="minorEastAsia"/>
          <w:rtl/>
          <w:lang w:eastAsia="zh-CN" w:bidi="ar-EG"/>
        </w:rPr>
        <w:t xml:space="preserve">الإذاعة الفيديوية الرقمية للأرض </w:t>
      </w:r>
      <w:r w:rsidR="002C7102">
        <w:rPr>
          <w:rFonts w:eastAsiaTheme="minorEastAsia"/>
          <w:lang w:eastAsia="zh-CN" w:bidi="ar-EG"/>
        </w:rPr>
        <w:t>(</w:t>
      </w:r>
      <w:r w:rsidR="002C7102" w:rsidRPr="00BC03CF">
        <w:rPr>
          <w:rFonts w:eastAsiaTheme="minorEastAsia"/>
          <w:lang w:eastAsia="zh-CN" w:bidi="ar-EG"/>
        </w:rPr>
        <w:t>DVB-T2</w:t>
      </w:r>
      <w:r w:rsidR="002C7102">
        <w:rPr>
          <w:rFonts w:eastAsiaTheme="minorEastAsia"/>
          <w:lang w:eastAsia="zh-CN" w:bidi="ar-EG"/>
        </w:rPr>
        <w:t>)</w:t>
      </w:r>
      <w:r w:rsidR="003C0BAB" w:rsidRPr="00BC03CF">
        <w:rPr>
          <w:rFonts w:eastAsiaTheme="minorEastAsia"/>
          <w:rtl/>
          <w:lang w:eastAsia="zh-CN" w:bidi="ar-EG"/>
        </w:rPr>
        <w:t>؛</w:t>
      </w:r>
    </w:p>
    <w:p w:rsidR="00226C24" w:rsidRPr="00BC03CF" w:rsidRDefault="00226C24" w:rsidP="002C7102">
      <w:pPr>
        <w:pStyle w:val="enumlev1"/>
        <w:rPr>
          <w:rFonts w:eastAsiaTheme="minorEastAsia"/>
          <w:lang w:eastAsia="zh-CN" w:bidi="ar-EG"/>
        </w:rPr>
      </w:pPr>
      <w:r w:rsidRPr="00BC03CF">
        <w:rPr>
          <w:rFonts w:eastAsiaTheme="minorEastAsia" w:hint="cs"/>
          <w:rtl/>
          <w:lang w:eastAsia="zh-CN" w:bidi="ar-EG"/>
        </w:rPr>
        <w:t>-</w:t>
      </w:r>
      <w:r w:rsidRPr="00BC03CF">
        <w:rPr>
          <w:rFonts w:eastAsiaTheme="minorEastAsia"/>
          <w:rtl/>
          <w:lang w:eastAsia="zh-CN" w:bidi="ar-EG"/>
        </w:rPr>
        <w:tab/>
      </w:r>
      <w:r w:rsidR="003C0BAB" w:rsidRPr="00BC03CF">
        <w:rPr>
          <w:rFonts w:eastAsiaTheme="minorEastAsia"/>
          <w:rtl/>
          <w:lang w:eastAsia="zh-CN" w:bidi="ar-EG"/>
        </w:rPr>
        <w:t>المواءمة مع النسق الجديد لتوصيات قطاع الاتصالات الراديوية.</w:t>
      </w:r>
    </w:p>
    <w:p w:rsidR="00AF70F6" w:rsidRDefault="00AF70F6" w:rsidP="002C7102">
      <w:pPr>
        <w:spacing w:before="200"/>
        <w:jc w:val="center"/>
        <w:rPr>
          <w:rtl/>
          <w:lang w:bidi="ar-EG"/>
        </w:rPr>
      </w:pPr>
      <w:r w:rsidRPr="00BC03CF">
        <w:rPr>
          <w:rtl/>
          <w:lang w:bidi="ar-EG"/>
        </w:rPr>
        <w:t>___________</w:t>
      </w:r>
    </w:p>
    <w:sectPr w:rsidR="00AF70F6" w:rsidSect="008B5B5D">
      <w:headerReference w:type="default" r:id="rId17"/>
      <w:headerReference w:type="first" r:id="rId18"/>
      <w:footerReference w:type="first" r:id="rId1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19B" w:rsidRDefault="00D6019B" w:rsidP="00E07379">
      <w:pPr>
        <w:spacing w:before="0" w:line="240" w:lineRule="auto"/>
      </w:pPr>
      <w:r>
        <w:separator/>
      </w:r>
    </w:p>
  </w:endnote>
  <w:endnote w:type="continuationSeparator" w:id="0">
    <w:p w:rsidR="00D6019B" w:rsidRDefault="00D6019B"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A16" w:rsidRPr="00783A16" w:rsidRDefault="00783A16" w:rsidP="009D6BA4">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r w:rsidRPr="00783A16">
        <w:rPr>
          <w:rFonts w:cs="Calibri"/>
          <w:color w:val="0000FF"/>
          <w:sz w:val="18"/>
          <w:szCs w:val="18"/>
          <w:u w:val="single"/>
        </w:rPr>
        <w:t>itumail@itu.int</w:t>
      </w:r>
    </w:hyperlink>
    <w:r w:rsidRPr="00783A16">
      <w:rPr>
        <w:rFonts w:cs="Calibri"/>
        <w:sz w:val="18"/>
        <w:szCs w:val="18"/>
      </w:rPr>
      <w:t xml:space="preserve"> • </w:t>
    </w:r>
    <w:hyperlink r:id="rId2" w:history="1">
      <w:r w:rsidRPr="00783A16">
        <w:rPr>
          <w:rFonts w:cs="Calibri"/>
          <w:color w:val="0000FF"/>
          <w:sz w:val="18"/>
          <w:szCs w:val="18"/>
          <w:u w:val="single"/>
        </w:rPr>
        <w:t>www.itu.int</w:t>
      </w:r>
    </w:hyperlink>
    <w:r w:rsidRPr="00783A16">
      <w:rPr>
        <w:rFonts w:cs="Calibr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19B" w:rsidRDefault="00D6019B" w:rsidP="00E07379">
      <w:pPr>
        <w:spacing w:before="0" w:line="240" w:lineRule="auto"/>
      </w:pPr>
      <w:r>
        <w:separator/>
      </w:r>
    </w:p>
  </w:footnote>
  <w:footnote w:type="continuationSeparator" w:id="0">
    <w:p w:rsidR="00D6019B" w:rsidRDefault="00D6019B" w:rsidP="00E0737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45D" w:rsidRPr="008B5B5D" w:rsidRDefault="00AF70F6" w:rsidP="002D4DD1">
    <w:pPr>
      <w:bidi w:val="0"/>
      <w:spacing w:after="24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1E60FD">
      <w:rPr>
        <w:rStyle w:val="PageNumber"/>
        <w:noProof/>
      </w:rPr>
      <w:t>4</w:t>
    </w:r>
    <w:r w:rsidR="0022345D" w:rsidRPr="008B5B5D">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BD72FA" w:rsidRPr="00F36590" w:rsidTr="001E3739">
      <w:trPr>
        <w:jc w:val="center"/>
      </w:trPr>
      <w:tc>
        <w:tcPr>
          <w:tcW w:w="2472" w:type="pct"/>
          <w:vAlign w:val="center"/>
        </w:tcPr>
        <w:p w:rsidR="00BD72FA" w:rsidRDefault="00BD72FA" w:rsidP="00BD72FA">
          <w:pPr>
            <w:pStyle w:val="Header"/>
            <w:jc w:val="left"/>
            <w:rPr>
              <w:rtl/>
              <w:lang w:val="en-GB" w:bidi="ar-EG"/>
            </w:rPr>
          </w:pPr>
          <w:r w:rsidRPr="008E52B1">
            <w:rPr>
              <w:noProof/>
              <w:color w:val="3399FF"/>
              <w:lang w:val="en-GB" w:eastAsia="en-GB"/>
            </w:rPr>
            <w:drawing>
              <wp:inline distT="0" distB="0" distL="0" distR="0" wp14:anchorId="21816B6B" wp14:editId="7D029E31">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rsidR="00C31F7F" w:rsidRPr="00F36590" w:rsidRDefault="00C31F7F" w:rsidP="00BD72FA">
          <w:pPr>
            <w:pStyle w:val="Header"/>
            <w:jc w:val="left"/>
            <w:rPr>
              <w:lang w:val="en-GB" w:bidi="ar-EG"/>
            </w:rPr>
          </w:pPr>
        </w:p>
      </w:tc>
      <w:tc>
        <w:tcPr>
          <w:tcW w:w="2528" w:type="pct"/>
          <w:vAlign w:val="center"/>
        </w:tcPr>
        <w:p w:rsidR="00BD72FA" w:rsidRPr="00F36590" w:rsidRDefault="00BD72FA" w:rsidP="00BD72FA">
          <w:pPr>
            <w:pStyle w:val="Header"/>
            <w:jc w:val="right"/>
            <w:rPr>
              <w:lang w:val="en-GB"/>
            </w:rPr>
          </w:pPr>
          <w:r>
            <w:rPr>
              <w:noProof/>
              <w:lang w:val="en-GB" w:eastAsia="en-GB"/>
            </w:rPr>
            <w:drawing>
              <wp:inline distT="0" distB="0" distL="0" distR="0" wp14:anchorId="687BB216" wp14:editId="6C6BF298">
                <wp:extent cx="1919387" cy="654889"/>
                <wp:effectExtent l="0" t="0" r="5080" b="0"/>
                <wp:docPr id="3" name="Picture 3"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AF70F6" w:rsidRPr="00933E83" w:rsidRDefault="00AF70F6" w:rsidP="00933E83">
    <w:pPr>
      <w:spacing w:before="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ar-EG" w:vendorID="64" w:dllVersion="131078" w:nlCheck="1" w:checkStyle="0"/>
  <w:activeWritingStyle w:appName="MSWord" w:lang="ar-SA"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E25"/>
    <w:rsid w:val="000124CC"/>
    <w:rsid w:val="00013EEB"/>
    <w:rsid w:val="00041F8B"/>
    <w:rsid w:val="00046444"/>
    <w:rsid w:val="0006023B"/>
    <w:rsid w:val="0008638B"/>
    <w:rsid w:val="00090574"/>
    <w:rsid w:val="00092FC2"/>
    <w:rsid w:val="000A1344"/>
    <w:rsid w:val="000A1677"/>
    <w:rsid w:val="000B407F"/>
    <w:rsid w:val="000B7D69"/>
    <w:rsid w:val="000C13C2"/>
    <w:rsid w:val="000F0B1C"/>
    <w:rsid w:val="000F1D42"/>
    <w:rsid w:val="000F4D07"/>
    <w:rsid w:val="00102A03"/>
    <w:rsid w:val="001040A3"/>
    <w:rsid w:val="00173915"/>
    <w:rsid w:val="001B3D70"/>
    <w:rsid w:val="001E60FD"/>
    <w:rsid w:val="001F2ED3"/>
    <w:rsid w:val="0021544D"/>
    <w:rsid w:val="0022345D"/>
    <w:rsid w:val="00225854"/>
    <w:rsid w:val="00226C24"/>
    <w:rsid w:val="0023283D"/>
    <w:rsid w:val="00252E0C"/>
    <w:rsid w:val="00276881"/>
    <w:rsid w:val="002916BE"/>
    <w:rsid w:val="002978F4"/>
    <w:rsid w:val="002B028D"/>
    <w:rsid w:val="002B435E"/>
    <w:rsid w:val="002C4DAE"/>
    <w:rsid w:val="002C7102"/>
    <w:rsid w:val="002D4DD1"/>
    <w:rsid w:val="002D6669"/>
    <w:rsid w:val="002E6541"/>
    <w:rsid w:val="002E7A05"/>
    <w:rsid w:val="002F3615"/>
    <w:rsid w:val="002F5560"/>
    <w:rsid w:val="002F7232"/>
    <w:rsid w:val="0030486B"/>
    <w:rsid w:val="003231B9"/>
    <w:rsid w:val="003275AC"/>
    <w:rsid w:val="00333D29"/>
    <w:rsid w:val="003409F4"/>
    <w:rsid w:val="00357185"/>
    <w:rsid w:val="0038566E"/>
    <w:rsid w:val="003C0BAB"/>
    <w:rsid w:val="003C475F"/>
    <w:rsid w:val="003E4132"/>
    <w:rsid w:val="003F678F"/>
    <w:rsid w:val="0042686F"/>
    <w:rsid w:val="004367CE"/>
    <w:rsid w:val="00443869"/>
    <w:rsid w:val="004712C6"/>
    <w:rsid w:val="00497703"/>
    <w:rsid w:val="004A078A"/>
    <w:rsid w:val="004F0F06"/>
    <w:rsid w:val="00501E0E"/>
    <w:rsid w:val="005204D7"/>
    <w:rsid w:val="00530420"/>
    <w:rsid w:val="00541680"/>
    <w:rsid w:val="00552BC5"/>
    <w:rsid w:val="0055516A"/>
    <w:rsid w:val="0056374C"/>
    <w:rsid w:val="0056614F"/>
    <w:rsid w:val="0057656F"/>
    <w:rsid w:val="00576731"/>
    <w:rsid w:val="0059285F"/>
    <w:rsid w:val="005A24B1"/>
    <w:rsid w:val="005B45CA"/>
    <w:rsid w:val="005B7B8A"/>
    <w:rsid w:val="005D6476"/>
    <w:rsid w:val="005D6C0D"/>
    <w:rsid w:val="005E5283"/>
    <w:rsid w:val="005E58F5"/>
    <w:rsid w:val="005E77FB"/>
    <w:rsid w:val="00606660"/>
    <w:rsid w:val="006157A3"/>
    <w:rsid w:val="00620E60"/>
    <w:rsid w:val="0063315A"/>
    <w:rsid w:val="0065591D"/>
    <w:rsid w:val="00662C5A"/>
    <w:rsid w:val="00670AF5"/>
    <w:rsid w:val="006C1556"/>
    <w:rsid w:val="006F267F"/>
    <w:rsid w:val="006F63F7"/>
    <w:rsid w:val="006F6F03"/>
    <w:rsid w:val="00706D7A"/>
    <w:rsid w:val="00726AEC"/>
    <w:rsid w:val="007530CA"/>
    <w:rsid w:val="00753756"/>
    <w:rsid w:val="00783A16"/>
    <w:rsid w:val="0079553D"/>
    <w:rsid w:val="007B01CC"/>
    <w:rsid w:val="007C2FEA"/>
    <w:rsid w:val="007D3E25"/>
    <w:rsid w:val="007E7C6C"/>
    <w:rsid w:val="007F6238"/>
    <w:rsid w:val="007F646C"/>
    <w:rsid w:val="00801FCD"/>
    <w:rsid w:val="00803D7E"/>
    <w:rsid w:val="00803F08"/>
    <w:rsid w:val="008235CD"/>
    <w:rsid w:val="00823A07"/>
    <w:rsid w:val="008260B2"/>
    <w:rsid w:val="0083517F"/>
    <w:rsid w:val="00835FEC"/>
    <w:rsid w:val="008513CB"/>
    <w:rsid w:val="00874D9C"/>
    <w:rsid w:val="0087659F"/>
    <w:rsid w:val="008A1810"/>
    <w:rsid w:val="008B0945"/>
    <w:rsid w:val="008B5B5D"/>
    <w:rsid w:val="008E52B5"/>
    <w:rsid w:val="00917694"/>
    <w:rsid w:val="00923199"/>
    <w:rsid w:val="009263CD"/>
    <w:rsid w:val="00930E6D"/>
    <w:rsid w:val="00933E83"/>
    <w:rsid w:val="00972CA2"/>
    <w:rsid w:val="009734C8"/>
    <w:rsid w:val="00982B28"/>
    <w:rsid w:val="00984EA5"/>
    <w:rsid w:val="00987B8C"/>
    <w:rsid w:val="00992593"/>
    <w:rsid w:val="009B79FB"/>
    <w:rsid w:val="009C17E1"/>
    <w:rsid w:val="009C35ED"/>
    <w:rsid w:val="009D6BA4"/>
    <w:rsid w:val="009E7B42"/>
    <w:rsid w:val="009F1C12"/>
    <w:rsid w:val="00A124CB"/>
    <w:rsid w:val="00A2167A"/>
    <w:rsid w:val="00A25A43"/>
    <w:rsid w:val="00A3295B"/>
    <w:rsid w:val="00A42AE5"/>
    <w:rsid w:val="00A52B61"/>
    <w:rsid w:val="00A64820"/>
    <w:rsid w:val="00A71DD6"/>
    <w:rsid w:val="00A723C7"/>
    <w:rsid w:val="00A80CCB"/>
    <w:rsid w:val="00A80E11"/>
    <w:rsid w:val="00A97F94"/>
    <w:rsid w:val="00AB1309"/>
    <w:rsid w:val="00AB2786"/>
    <w:rsid w:val="00AC2C52"/>
    <w:rsid w:val="00AD1503"/>
    <w:rsid w:val="00AE7244"/>
    <w:rsid w:val="00AF3FEE"/>
    <w:rsid w:val="00AF70F6"/>
    <w:rsid w:val="00B02F46"/>
    <w:rsid w:val="00B06369"/>
    <w:rsid w:val="00B2000C"/>
    <w:rsid w:val="00B20ADE"/>
    <w:rsid w:val="00B31F96"/>
    <w:rsid w:val="00B66B9A"/>
    <w:rsid w:val="00B82089"/>
    <w:rsid w:val="00B970AE"/>
    <w:rsid w:val="00BA1427"/>
    <w:rsid w:val="00BA736E"/>
    <w:rsid w:val="00BC03CF"/>
    <w:rsid w:val="00BD72FA"/>
    <w:rsid w:val="00BE49D0"/>
    <w:rsid w:val="00BF2C38"/>
    <w:rsid w:val="00C23331"/>
    <w:rsid w:val="00C265DA"/>
    <w:rsid w:val="00C31F7F"/>
    <w:rsid w:val="00C32949"/>
    <w:rsid w:val="00C442F2"/>
    <w:rsid w:val="00C5025E"/>
    <w:rsid w:val="00C674FE"/>
    <w:rsid w:val="00C7297D"/>
    <w:rsid w:val="00C75633"/>
    <w:rsid w:val="00C8242E"/>
    <w:rsid w:val="00C82615"/>
    <w:rsid w:val="00C867DB"/>
    <w:rsid w:val="00C938A9"/>
    <w:rsid w:val="00CA2A38"/>
    <w:rsid w:val="00CA50FF"/>
    <w:rsid w:val="00CC3CD2"/>
    <w:rsid w:val="00CC43BE"/>
    <w:rsid w:val="00CD123C"/>
    <w:rsid w:val="00CD2085"/>
    <w:rsid w:val="00CE0B6D"/>
    <w:rsid w:val="00CE2EE1"/>
    <w:rsid w:val="00CF3FFD"/>
    <w:rsid w:val="00CF5ED3"/>
    <w:rsid w:val="00D0494C"/>
    <w:rsid w:val="00D14BEB"/>
    <w:rsid w:val="00D21C89"/>
    <w:rsid w:val="00D34647"/>
    <w:rsid w:val="00D37B45"/>
    <w:rsid w:val="00D45542"/>
    <w:rsid w:val="00D6019B"/>
    <w:rsid w:val="00D77D0F"/>
    <w:rsid w:val="00D822F2"/>
    <w:rsid w:val="00DA1CF0"/>
    <w:rsid w:val="00DB2271"/>
    <w:rsid w:val="00DB5659"/>
    <w:rsid w:val="00DC24B4"/>
    <w:rsid w:val="00DC5E81"/>
    <w:rsid w:val="00DD7A05"/>
    <w:rsid w:val="00DF16DC"/>
    <w:rsid w:val="00DF5361"/>
    <w:rsid w:val="00DF5990"/>
    <w:rsid w:val="00E009A1"/>
    <w:rsid w:val="00E00D15"/>
    <w:rsid w:val="00E071BE"/>
    <w:rsid w:val="00E07379"/>
    <w:rsid w:val="00E14494"/>
    <w:rsid w:val="00E17033"/>
    <w:rsid w:val="00E22744"/>
    <w:rsid w:val="00E32189"/>
    <w:rsid w:val="00E45211"/>
    <w:rsid w:val="00E7380C"/>
    <w:rsid w:val="00E74BE7"/>
    <w:rsid w:val="00E86CC9"/>
    <w:rsid w:val="00E96624"/>
    <w:rsid w:val="00F126F1"/>
    <w:rsid w:val="00F2106A"/>
    <w:rsid w:val="00F36D8B"/>
    <w:rsid w:val="00F401D0"/>
    <w:rsid w:val="00F45F2B"/>
    <w:rsid w:val="00F57AE4"/>
    <w:rsid w:val="00F66688"/>
    <w:rsid w:val="00F67150"/>
    <w:rsid w:val="00F84366"/>
    <w:rsid w:val="00F85089"/>
    <w:rsid w:val="00F85564"/>
    <w:rsid w:val="00F86650"/>
    <w:rsid w:val="00F86CFA"/>
    <w:rsid w:val="00F87A64"/>
    <w:rsid w:val="00FA7104"/>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557373"/>
  <w15:chartTrackingRefBased/>
  <w15:docId w15:val="{D1096810-AF27-498F-A52E-318C549C5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R15-SG01-C-0208/e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tu.int/md/R15-SG01-C-0206/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R15-SG01-C/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en/ITU-T/ipr/Pages/policy.aspx" TargetMode="External"/><Relationship Id="rId5" Type="http://schemas.openxmlformats.org/officeDocument/2006/relationships/styles" Target="styles.xml"/><Relationship Id="rId15" Type="http://schemas.openxmlformats.org/officeDocument/2006/relationships/hyperlink" Target="https://www.itu.int/md/R15-SG01-C-0216/en" TargetMode="External"/><Relationship Id="rId10" Type="http://schemas.openxmlformats.org/officeDocument/2006/relationships/hyperlink" Target="http://www.itu.int/pub/R-REC"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R15-SG01-C-0212/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http://purl.org/dc/elements/1.1/"/>
    <ds:schemaRef ds:uri="http://schemas.microsoft.com/office/2006/documentManagement/types"/>
    <ds:schemaRef ds:uri="996b2e75-67fd-4955-a3b0-5ab9934cb50b"/>
    <ds:schemaRef ds:uri="http://www.w3.org/XML/1998/namespace"/>
    <ds:schemaRef ds:uri="http://purl.org/dc/dcmitype/"/>
    <ds:schemaRef ds:uri="de10a323-94a9-4e93-88b4-ea964576960d"/>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ED5606-1F6A-4FE9-8568-D3AEC3FAC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Ganat, ELBAHNASSAWY</dc:creator>
  <cp:keywords>DPM_v2016.12.12.1_prod</cp:keywords>
  <dc:description>Template used by DPM and CPI for the WTSA-16</dc:description>
  <cp:lastModifiedBy>Soto Romero, Alicia</cp:lastModifiedBy>
  <cp:revision>13</cp:revision>
  <cp:lastPrinted>2019-06-20T07:40:00Z</cp:lastPrinted>
  <dcterms:created xsi:type="dcterms:W3CDTF">2019-06-13T09:14:00Z</dcterms:created>
  <dcterms:modified xsi:type="dcterms:W3CDTF">2019-06-20T07:45:00Z</dcterms:modified>
  <cp:category>Conference document</cp:category>
</cp:coreProperties>
</file>