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418"/>
        <w:gridCol w:w="5528"/>
        <w:gridCol w:w="2977"/>
      </w:tblGrid>
      <w:tr w:rsidR="00EA15B3" w:rsidRPr="00F42C8C" w:rsidTr="00621E6C">
        <w:trPr>
          <w:jc w:val="center"/>
        </w:trPr>
        <w:tc>
          <w:tcPr>
            <w:tcW w:w="9923"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621E6C">
        <w:trPr>
          <w:jc w:val="center"/>
        </w:trPr>
        <w:tc>
          <w:tcPr>
            <w:tcW w:w="9923" w:type="dxa"/>
            <w:gridSpan w:val="3"/>
          </w:tcPr>
          <w:p w:rsidR="00EA15B3" w:rsidRPr="00F42C8C" w:rsidRDefault="00EA15B3" w:rsidP="00EA15B3">
            <w:pPr>
              <w:jc w:val="left"/>
            </w:pPr>
          </w:p>
        </w:tc>
      </w:tr>
      <w:tr w:rsidR="00786E9F" w:rsidRPr="00094683" w:rsidTr="00621E6C">
        <w:tblPrEx>
          <w:jc w:val="left"/>
        </w:tblPrEx>
        <w:tc>
          <w:tcPr>
            <w:tcW w:w="6946" w:type="dxa"/>
            <w:gridSpan w:val="2"/>
            <w:shd w:val="clear" w:color="auto" w:fill="auto"/>
          </w:tcPr>
          <w:p w:rsidR="00786E9F" w:rsidRPr="00094683" w:rsidRDefault="00405EAD" w:rsidP="003A4CE8">
            <w:pPr>
              <w:spacing w:before="0"/>
              <w:jc w:val="left"/>
              <w:rPr>
                <w:sz w:val="24"/>
                <w:szCs w:val="24"/>
                <w:lang w:val="fr-CH"/>
              </w:rPr>
            </w:pPr>
            <w:bookmarkStart w:id="2" w:name="Formula"/>
            <w:bookmarkStart w:id="3" w:name="MainStory"/>
            <w:bookmarkStart w:id="4" w:name="CurrentLocation"/>
            <w:bookmarkEnd w:id="2"/>
            <w:bookmarkEnd w:id="3"/>
            <w:bookmarkEnd w:id="4"/>
            <w:proofErr w:type="spellStart"/>
            <w:r w:rsidRPr="00094683">
              <w:rPr>
                <w:sz w:val="24"/>
                <w:szCs w:val="24"/>
                <w:lang w:val="fr-CH"/>
              </w:rPr>
              <w:t>Circular</w:t>
            </w:r>
            <w:proofErr w:type="spellEnd"/>
            <w:r w:rsidRPr="00094683">
              <w:rPr>
                <w:sz w:val="24"/>
                <w:szCs w:val="24"/>
                <w:lang w:val="fr-CH"/>
              </w:rPr>
              <w:t xml:space="preserve"> </w:t>
            </w:r>
            <w:proofErr w:type="spellStart"/>
            <w:r w:rsidRPr="00094683">
              <w:rPr>
                <w:sz w:val="24"/>
                <w:szCs w:val="24"/>
                <w:lang w:val="fr-CH"/>
              </w:rPr>
              <w:t>Administrativa</w:t>
            </w:r>
            <w:proofErr w:type="spellEnd"/>
          </w:p>
          <w:p w:rsidR="00786E9F" w:rsidRPr="00094683" w:rsidRDefault="00786E9F" w:rsidP="00786E9F">
            <w:pPr>
              <w:spacing w:before="0"/>
              <w:jc w:val="left"/>
              <w:rPr>
                <w:b/>
                <w:bCs/>
                <w:sz w:val="24"/>
                <w:szCs w:val="24"/>
                <w:lang w:val="fr-CH"/>
              </w:rPr>
            </w:pPr>
            <w:r w:rsidRPr="00094683">
              <w:rPr>
                <w:b/>
                <w:bCs/>
                <w:sz w:val="24"/>
                <w:szCs w:val="24"/>
                <w:lang w:val="fr-CH"/>
              </w:rPr>
              <w:t>CACE/</w:t>
            </w:r>
            <w:r w:rsidR="000968E9">
              <w:rPr>
                <w:b/>
                <w:bCs/>
                <w:sz w:val="24"/>
                <w:szCs w:val="24"/>
                <w:lang w:val="fr-CH"/>
              </w:rPr>
              <w:t>904</w:t>
            </w:r>
          </w:p>
        </w:tc>
        <w:tc>
          <w:tcPr>
            <w:tcW w:w="2977" w:type="dxa"/>
            <w:shd w:val="clear" w:color="auto" w:fill="auto"/>
          </w:tcPr>
          <w:p w:rsidR="00786E9F" w:rsidRPr="00094683" w:rsidRDefault="000968E9" w:rsidP="003A4CE8">
            <w:pPr>
              <w:spacing w:before="0"/>
              <w:jc w:val="right"/>
              <w:rPr>
                <w:sz w:val="24"/>
                <w:szCs w:val="24"/>
                <w:lang w:val="en-GB"/>
              </w:rPr>
            </w:pPr>
            <w:r>
              <w:rPr>
                <w:sz w:val="24"/>
                <w:szCs w:val="24"/>
                <w:lang w:val="en-GB"/>
              </w:rPr>
              <w:t>14</w:t>
            </w:r>
            <w:r w:rsidR="005D3518">
              <w:rPr>
                <w:sz w:val="24"/>
                <w:szCs w:val="24"/>
                <w:lang w:val="en-GB"/>
              </w:rPr>
              <w:t xml:space="preserve"> de </w:t>
            </w:r>
            <w:proofErr w:type="spellStart"/>
            <w:r w:rsidR="005D3518">
              <w:rPr>
                <w:sz w:val="24"/>
                <w:szCs w:val="24"/>
                <w:lang w:val="en-GB"/>
              </w:rPr>
              <w:t>j</w:t>
            </w:r>
            <w:r>
              <w:rPr>
                <w:sz w:val="24"/>
                <w:szCs w:val="24"/>
                <w:lang w:val="en-GB"/>
              </w:rPr>
              <w:t>unio</w:t>
            </w:r>
            <w:proofErr w:type="spellEnd"/>
            <w:r w:rsidR="005D3518">
              <w:rPr>
                <w:sz w:val="24"/>
                <w:szCs w:val="24"/>
                <w:lang w:val="en-GB"/>
              </w:rPr>
              <w:t xml:space="preserve"> de</w:t>
            </w:r>
            <w:r>
              <w:rPr>
                <w:sz w:val="24"/>
                <w:szCs w:val="24"/>
                <w:lang w:val="en-GB"/>
              </w:rPr>
              <w:t xml:space="preserve"> 2019</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rFonts w:cs="Arial"/>
                <w:sz w:val="24"/>
                <w:szCs w:val="24"/>
                <w:lang w:val="en-GB"/>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786E9F">
            <w:pPr>
              <w:spacing w:before="0"/>
              <w:jc w:val="left"/>
              <w:rPr>
                <w:b/>
                <w:bCs/>
                <w:sz w:val="24"/>
                <w:szCs w:val="24"/>
              </w:rPr>
            </w:pPr>
            <w:r w:rsidRPr="00094683">
              <w:rPr>
                <w:b/>
                <w:bCs/>
                <w:sz w:val="24"/>
                <w:szCs w:val="24"/>
              </w:rPr>
              <w:t>A las Administraciones de los Estados Miembros de la UIT, a los Miembros del Sector de Radiocomunicaciones, a los Asociados del UIT-R que participan en los trab</w:t>
            </w:r>
            <w:r w:rsidR="00D029CF">
              <w:rPr>
                <w:b/>
                <w:bCs/>
                <w:sz w:val="24"/>
                <w:szCs w:val="24"/>
              </w:rPr>
              <w:t>ajos de la Comisión de Estudio 3</w:t>
            </w:r>
            <w:r w:rsidRPr="00094683">
              <w:rPr>
                <w:b/>
                <w:bCs/>
                <w:sz w:val="24"/>
                <w:szCs w:val="24"/>
              </w:rPr>
              <w:t xml:space="preserve"> de Radiocomunicaciones y a las Instituciones Académicas de la UIT</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sz w:val="24"/>
                <w:szCs w:val="24"/>
                <w:lang w:val="en-GB"/>
              </w:rPr>
            </w:pPr>
            <w:r w:rsidRPr="00094683">
              <w:rPr>
                <w:sz w:val="24"/>
                <w:szCs w:val="24"/>
              </w:rPr>
              <w:t>Asunto:</w:t>
            </w:r>
          </w:p>
        </w:tc>
        <w:tc>
          <w:tcPr>
            <w:tcW w:w="8505" w:type="dxa"/>
            <w:gridSpan w:val="2"/>
            <w:vMerge w:val="restart"/>
            <w:shd w:val="clear" w:color="auto" w:fill="auto"/>
          </w:tcPr>
          <w:p w:rsidR="00786E9F" w:rsidRPr="000968E9" w:rsidRDefault="000968E9" w:rsidP="00B20E09">
            <w:pPr>
              <w:tabs>
                <w:tab w:val="clear" w:pos="794"/>
                <w:tab w:val="clear" w:pos="1588"/>
                <w:tab w:val="clear" w:pos="1985"/>
                <w:tab w:val="left" w:pos="34"/>
                <w:tab w:val="left" w:pos="1418"/>
              </w:tabs>
              <w:spacing w:before="120"/>
              <w:jc w:val="left"/>
              <w:rPr>
                <w:b/>
                <w:bCs/>
                <w:sz w:val="24"/>
                <w:szCs w:val="24"/>
              </w:rPr>
            </w:pPr>
            <w:r>
              <w:rPr>
                <w:b/>
                <w:sz w:val="24"/>
                <w:szCs w:val="24"/>
              </w:rPr>
              <w:t>Comisión de Estudio 3</w:t>
            </w:r>
            <w:r w:rsidR="00786E9F" w:rsidRPr="00094683">
              <w:rPr>
                <w:b/>
                <w:sz w:val="24"/>
                <w:szCs w:val="24"/>
              </w:rPr>
              <w:t xml:space="preserve"> de Radiocomunicaciones</w:t>
            </w:r>
            <w:bookmarkStart w:id="5" w:name="OLE_LINK1"/>
            <w:bookmarkStart w:id="6" w:name="OLE_LINK2"/>
            <w:r w:rsidR="00094683">
              <w:rPr>
                <w:b/>
                <w:sz w:val="24"/>
                <w:szCs w:val="24"/>
              </w:rPr>
              <w:t xml:space="preserve"> (</w:t>
            </w:r>
            <w:r w:rsidRPr="000968E9">
              <w:rPr>
                <w:b/>
                <w:sz w:val="24"/>
                <w:szCs w:val="24"/>
              </w:rPr>
              <w:t>Propagación de las ondas radioeléctricas</w:t>
            </w:r>
            <w:r w:rsidR="00094683" w:rsidRPr="000968E9">
              <w:rPr>
                <w:b/>
                <w:sz w:val="24"/>
                <w:szCs w:val="24"/>
              </w:rPr>
              <w:t>)</w:t>
            </w:r>
          </w:p>
          <w:p w:rsidR="00786E9F" w:rsidRPr="000968E9" w:rsidRDefault="00786E9F" w:rsidP="00B20E09">
            <w:pPr>
              <w:tabs>
                <w:tab w:val="clear" w:pos="794"/>
                <w:tab w:val="clear" w:pos="1588"/>
                <w:tab w:val="clear" w:pos="1985"/>
                <w:tab w:val="left" w:pos="454"/>
                <w:tab w:val="left" w:pos="1418"/>
              </w:tabs>
              <w:spacing w:before="120" w:after="120"/>
              <w:ind w:left="459" w:hanging="459"/>
              <w:jc w:val="left"/>
              <w:rPr>
                <w:b/>
                <w:sz w:val="24"/>
                <w:szCs w:val="24"/>
              </w:rPr>
            </w:pPr>
            <w:r w:rsidRPr="00094683">
              <w:rPr>
                <w:b/>
                <w:sz w:val="24"/>
                <w:szCs w:val="24"/>
              </w:rPr>
              <w:t>–</w:t>
            </w:r>
            <w:r w:rsidRPr="00094683">
              <w:rPr>
                <w:bCs/>
                <w:sz w:val="24"/>
                <w:szCs w:val="24"/>
              </w:rPr>
              <w:tab/>
            </w:r>
            <w:r w:rsidRPr="00094683">
              <w:rPr>
                <w:b/>
                <w:bCs/>
                <w:sz w:val="24"/>
                <w:szCs w:val="24"/>
              </w:rPr>
              <w:t xml:space="preserve">Propuesta de </w:t>
            </w:r>
            <w:r w:rsidR="000968E9">
              <w:rPr>
                <w:b/>
                <w:bCs/>
                <w:sz w:val="24"/>
                <w:szCs w:val="24"/>
              </w:rPr>
              <w:t xml:space="preserve">aprobación </w:t>
            </w:r>
            <w:r w:rsidR="00B20E09">
              <w:rPr>
                <w:b/>
                <w:bCs/>
                <w:sz w:val="24"/>
                <w:szCs w:val="24"/>
              </w:rPr>
              <w:t>de 5</w:t>
            </w:r>
            <w:r w:rsidRPr="00094683">
              <w:rPr>
                <w:b/>
                <w:bCs/>
                <w:sz w:val="24"/>
                <w:szCs w:val="24"/>
              </w:rPr>
              <w:t xml:space="preserve"> </w:t>
            </w:r>
            <w:r w:rsidRPr="00094683">
              <w:rPr>
                <w:b/>
                <w:sz w:val="24"/>
                <w:szCs w:val="24"/>
              </w:rPr>
              <w:t>proyectos</w:t>
            </w:r>
            <w:r w:rsidR="000968E9">
              <w:rPr>
                <w:b/>
                <w:sz w:val="24"/>
                <w:szCs w:val="24"/>
              </w:rPr>
              <w:t xml:space="preserve"> </w:t>
            </w:r>
            <w:r w:rsidRPr="00094683">
              <w:rPr>
                <w:b/>
                <w:sz w:val="24"/>
                <w:szCs w:val="24"/>
              </w:rPr>
              <w:t>de Recomendaciones</w:t>
            </w:r>
            <w:r w:rsidR="000968E9">
              <w:rPr>
                <w:b/>
                <w:sz w:val="24"/>
                <w:szCs w:val="24"/>
              </w:rPr>
              <w:t xml:space="preserve"> </w:t>
            </w:r>
            <w:r w:rsidRPr="00094683">
              <w:rPr>
                <w:b/>
                <w:sz w:val="24"/>
                <w:szCs w:val="24"/>
              </w:rPr>
              <w:t>UIT-R revisadas</w:t>
            </w:r>
            <w:bookmarkEnd w:id="5"/>
            <w:bookmarkEnd w:id="6"/>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ind w:left="794" w:hanging="794"/>
              <w:rPr>
                <w:b/>
                <w:bCs/>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rPr>
                <w:b/>
                <w:bCs/>
              </w:rPr>
            </w:pPr>
          </w:p>
        </w:tc>
      </w:tr>
    </w:tbl>
    <w:p w:rsidR="007E0705" w:rsidRPr="00C71C8D" w:rsidRDefault="007E0705" w:rsidP="00247066">
      <w:pPr>
        <w:spacing w:before="240"/>
        <w:rPr>
          <w:sz w:val="24"/>
          <w:szCs w:val="24"/>
        </w:rPr>
      </w:pPr>
      <w:r w:rsidRPr="00C71C8D">
        <w:rPr>
          <w:sz w:val="24"/>
          <w:szCs w:val="24"/>
        </w:rPr>
        <w:t>En la reu</w:t>
      </w:r>
      <w:r w:rsidR="000968E9">
        <w:rPr>
          <w:sz w:val="24"/>
          <w:szCs w:val="24"/>
        </w:rPr>
        <w:t>nión de la Comisión de Estudio 3</w:t>
      </w:r>
      <w:r w:rsidRPr="00C71C8D">
        <w:rPr>
          <w:sz w:val="24"/>
          <w:szCs w:val="24"/>
        </w:rPr>
        <w:t xml:space="preserve"> de</w:t>
      </w:r>
      <w:r w:rsidR="00D029CF">
        <w:rPr>
          <w:sz w:val="24"/>
          <w:szCs w:val="24"/>
        </w:rPr>
        <w:t xml:space="preserve"> Radiocomunicaciones celebrada </w:t>
      </w:r>
      <w:r w:rsidRPr="00C71C8D">
        <w:rPr>
          <w:sz w:val="24"/>
          <w:szCs w:val="24"/>
        </w:rPr>
        <w:t xml:space="preserve">el </w:t>
      </w:r>
      <w:r w:rsidR="000968E9">
        <w:rPr>
          <w:sz w:val="24"/>
          <w:szCs w:val="24"/>
        </w:rPr>
        <w:t xml:space="preserve">24 </w:t>
      </w:r>
      <w:r w:rsidR="00D029CF">
        <w:rPr>
          <w:sz w:val="24"/>
          <w:szCs w:val="24"/>
        </w:rPr>
        <w:t xml:space="preserve">de </w:t>
      </w:r>
      <w:r w:rsidR="000968E9">
        <w:rPr>
          <w:sz w:val="24"/>
          <w:szCs w:val="24"/>
        </w:rPr>
        <w:t>mayo</w:t>
      </w:r>
      <w:r w:rsidRPr="00C71C8D">
        <w:rPr>
          <w:sz w:val="24"/>
          <w:szCs w:val="24"/>
        </w:rPr>
        <w:t xml:space="preserve"> de 201</w:t>
      </w:r>
      <w:r w:rsidR="000968E9">
        <w:rPr>
          <w:sz w:val="24"/>
          <w:szCs w:val="24"/>
        </w:rPr>
        <w:t>9</w:t>
      </w:r>
      <w:r w:rsidRPr="00C71C8D">
        <w:rPr>
          <w:sz w:val="24"/>
          <w:szCs w:val="24"/>
        </w:rPr>
        <w:t xml:space="preserve">, la Comisión de Estudio adoptó </w:t>
      </w:r>
      <w:r w:rsidR="00D029CF">
        <w:rPr>
          <w:sz w:val="24"/>
          <w:szCs w:val="24"/>
        </w:rPr>
        <w:t xml:space="preserve">los </w:t>
      </w:r>
      <w:r w:rsidRPr="00C71C8D">
        <w:rPr>
          <w:sz w:val="24"/>
          <w:szCs w:val="24"/>
        </w:rPr>
        <w:t xml:space="preserve">textos de </w:t>
      </w:r>
      <w:r w:rsidR="000968E9">
        <w:rPr>
          <w:sz w:val="24"/>
          <w:szCs w:val="24"/>
        </w:rPr>
        <w:t>5</w:t>
      </w:r>
      <w:r w:rsidRPr="00C71C8D">
        <w:rPr>
          <w:sz w:val="24"/>
          <w:szCs w:val="24"/>
        </w:rPr>
        <w:t xml:space="preserve"> proyectos</w:t>
      </w:r>
      <w:r w:rsidR="000968E9">
        <w:rPr>
          <w:sz w:val="24"/>
          <w:szCs w:val="24"/>
        </w:rPr>
        <w:t xml:space="preserve"> </w:t>
      </w:r>
      <w:r w:rsidRPr="00C71C8D">
        <w:rPr>
          <w:sz w:val="24"/>
          <w:szCs w:val="24"/>
        </w:rPr>
        <w:t xml:space="preserve">de Recomendaciones </w:t>
      </w:r>
      <w:r w:rsidR="005430D3">
        <w:rPr>
          <w:sz w:val="24"/>
          <w:szCs w:val="24"/>
        </w:rPr>
        <w:t xml:space="preserve">UIT-R </w:t>
      </w:r>
      <w:r w:rsidRPr="00C71C8D">
        <w:rPr>
          <w:sz w:val="24"/>
          <w:szCs w:val="24"/>
        </w:rPr>
        <w:t>revisadas y acordó aplicar el procedimiento de la Resolución UIT-R 1-7 (véase el § A2.6.2.3) para la aprobación de Recomendaciones por consulta. Los títulos y resúmenes</w:t>
      </w:r>
      <w:r w:rsidR="00247066">
        <w:rPr>
          <w:sz w:val="24"/>
          <w:szCs w:val="24"/>
        </w:rPr>
        <w:t xml:space="preserve"> </w:t>
      </w:r>
      <w:r w:rsidRPr="00C71C8D">
        <w:rPr>
          <w:sz w:val="24"/>
          <w:szCs w:val="24"/>
        </w:rPr>
        <w:t xml:space="preserve">de los proyectos de Recomendaciones figuran </w:t>
      </w:r>
      <w:r w:rsidR="00247066">
        <w:rPr>
          <w:sz w:val="24"/>
          <w:szCs w:val="24"/>
        </w:rPr>
        <w:t>en el Anexo a la presente Carta</w:t>
      </w:r>
      <w:r w:rsidRPr="00C71C8D">
        <w:rPr>
          <w:sz w:val="24"/>
          <w:szCs w:val="24"/>
        </w:rPr>
        <w:t>. Todo Estado Miembro que objete la aprobación de un proyecto de Recomendación debe informar al Director y al Presidente de la Comisión de Estudio de los motivos de dicha objeción.</w:t>
      </w:r>
    </w:p>
    <w:p w:rsidR="007E0705" w:rsidRPr="00C71C8D" w:rsidRDefault="007E0705" w:rsidP="00D37589">
      <w:pPr>
        <w:rPr>
          <w:sz w:val="24"/>
          <w:szCs w:val="24"/>
        </w:rPr>
      </w:pPr>
      <w:r w:rsidRPr="00C71C8D">
        <w:rPr>
          <w:sz w:val="24"/>
          <w:szCs w:val="24"/>
        </w:rPr>
        <w:t>Con respecto a las disposiciones del § A2.6.2.3 de la Resolución UIT-R 1-7, se solicita a los Estados Miembros que informen a la Secretaría (</w:t>
      </w:r>
      <w:hyperlink r:id="rId7" w:history="1">
        <w:r w:rsidRPr="00C71C8D">
          <w:rPr>
            <w:color w:val="0000FF"/>
            <w:sz w:val="24"/>
            <w:szCs w:val="24"/>
            <w:u w:val="single"/>
          </w:rPr>
          <w:t>brsgd@itu.int</w:t>
        </w:r>
      </w:hyperlink>
      <w:r w:rsidRPr="00C71C8D">
        <w:rPr>
          <w:sz w:val="24"/>
          <w:szCs w:val="24"/>
        </w:rPr>
        <w:t xml:space="preserve">) antes del </w:t>
      </w:r>
      <w:r w:rsidR="00D029CF">
        <w:rPr>
          <w:sz w:val="24"/>
          <w:szCs w:val="24"/>
          <w:u w:val="single"/>
        </w:rPr>
        <w:t>1</w:t>
      </w:r>
      <w:r w:rsidR="00D37589">
        <w:rPr>
          <w:sz w:val="24"/>
          <w:szCs w:val="24"/>
          <w:u w:val="single"/>
        </w:rPr>
        <w:t xml:space="preserve">4 </w:t>
      </w:r>
      <w:r w:rsidR="00D029CF">
        <w:rPr>
          <w:sz w:val="24"/>
          <w:szCs w:val="24"/>
          <w:u w:val="single"/>
        </w:rPr>
        <w:t xml:space="preserve">de </w:t>
      </w:r>
      <w:r w:rsidR="00D37589">
        <w:rPr>
          <w:sz w:val="24"/>
          <w:szCs w:val="24"/>
          <w:u w:val="single"/>
        </w:rPr>
        <w:t xml:space="preserve">agosto de </w:t>
      </w:r>
      <w:r w:rsidRPr="00C71C8D">
        <w:rPr>
          <w:sz w:val="24"/>
          <w:szCs w:val="24"/>
          <w:u w:val="single"/>
        </w:rPr>
        <w:t>201</w:t>
      </w:r>
      <w:r w:rsidR="00D37589">
        <w:rPr>
          <w:sz w:val="24"/>
          <w:szCs w:val="24"/>
          <w:u w:val="single"/>
        </w:rPr>
        <w:t>9</w:t>
      </w:r>
      <w:r w:rsidRPr="00C71C8D">
        <w:rPr>
          <w:sz w:val="24"/>
          <w:szCs w:val="24"/>
        </w:rPr>
        <w:t xml:space="preserve"> si aprueban o no la propuesta anterior.</w:t>
      </w:r>
    </w:p>
    <w:p w:rsidR="007E0705" w:rsidRPr="00C71C8D" w:rsidRDefault="007E0705" w:rsidP="007E0705">
      <w:pPr>
        <w:rPr>
          <w:sz w:val="24"/>
          <w:szCs w:val="24"/>
        </w:rPr>
      </w:pPr>
      <w:r w:rsidRPr="00C71C8D">
        <w:rPr>
          <w:sz w:val="24"/>
          <w:szCs w:val="24"/>
        </w:rPr>
        <w:t xml:space="preserve">Tras la fecha límite mencionada, los resultados de esta consulta se comunicarán mediante Circular Administrativa y las Recomendaciones aprobadas se publicarán tan pronto como sea posible (véase </w:t>
      </w:r>
      <w:hyperlink r:id="rId8" w:history="1">
        <w:r w:rsidRPr="00C71C8D">
          <w:rPr>
            <w:color w:val="0000FF"/>
            <w:sz w:val="24"/>
            <w:szCs w:val="24"/>
            <w:u w:val="single"/>
          </w:rPr>
          <w:t>http://www.itu.int/pub/R-REC</w:t>
        </w:r>
      </w:hyperlink>
      <w:r w:rsidRPr="00C71C8D">
        <w:rPr>
          <w:sz w:val="24"/>
          <w:szCs w:val="24"/>
        </w:rPr>
        <w:t>).</w:t>
      </w:r>
    </w:p>
    <w:p w:rsidR="007E0705" w:rsidRPr="00C71C8D" w:rsidRDefault="007E0705" w:rsidP="007E0705">
      <w:pPr>
        <w:tabs>
          <w:tab w:val="clear" w:pos="794"/>
          <w:tab w:val="clear" w:pos="1191"/>
          <w:tab w:val="clear" w:pos="1588"/>
          <w:tab w:val="clear" w:pos="1985"/>
        </w:tabs>
        <w:overflowPunct/>
        <w:autoSpaceDE/>
        <w:autoSpaceDN/>
        <w:adjustRightInd/>
        <w:spacing w:before="0"/>
        <w:textAlignment w:val="auto"/>
        <w:rPr>
          <w:sz w:val="24"/>
          <w:szCs w:val="24"/>
        </w:rPr>
      </w:pPr>
      <w:r w:rsidRPr="00C71C8D">
        <w:rPr>
          <w:sz w:val="24"/>
          <w:szCs w:val="24"/>
        </w:rPr>
        <w:br w:type="page"/>
      </w:r>
    </w:p>
    <w:p w:rsidR="007E0705" w:rsidRPr="00C71C8D" w:rsidRDefault="007E0705" w:rsidP="00D85CFE">
      <w:pPr>
        <w:rPr>
          <w:sz w:val="24"/>
          <w:szCs w:val="24"/>
        </w:rPr>
      </w:pPr>
      <w:r w:rsidRPr="00C71C8D">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9" w:history="1">
        <w:r w:rsidR="00D85CFE" w:rsidRPr="00C71C8D">
          <w:rPr>
            <w:rStyle w:val="Hyperlink"/>
            <w:rFonts w:cs="Calibri"/>
            <w:sz w:val="24"/>
            <w:szCs w:val="24"/>
          </w:rPr>
          <w:t>http://www.itu.int/en/ITU-T/ipr/Pages/policy.aspx</w:t>
        </w:r>
      </w:hyperlink>
      <w:r w:rsidRPr="00C71C8D">
        <w:rPr>
          <w:sz w:val="24"/>
          <w:szCs w:val="24"/>
        </w:rPr>
        <w:t>.</w:t>
      </w:r>
    </w:p>
    <w:p w:rsidR="007E0705" w:rsidRDefault="00CF62B6" w:rsidP="000B1E09">
      <w:pPr>
        <w:spacing w:before="1400"/>
        <w:jc w:val="left"/>
        <w:rPr>
          <w:sz w:val="24"/>
          <w:szCs w:val="24"/>
        </w:rPr>
      </w:pPr>
      <w:r>
        <w:rPr>
          <w:sz w:val="24"/>
          <w:szCs w:val="24"/>
        </w:rPr>
        <w:t xml:space="preserve">Mario </w:t>
      </w:r>
      <w:proofErr w:type="spellStart"/>
      <w:r>
        <w:rPr>
          <w:sz w:val="24"/>
          <w:szCs w:val="24"/>
        </w:rPr>
        <w:t>Maniewicz</w:t>
      </w:r>
      <w:proofErr w:type="spellEnd"/>
      <w:r w:rsidR="00D85CFE" w:rsidRPr="00C71C8D">
        <w:rPr>
          <w:sz w:val="24"/>
          <w:szCs w:val="24"/>
        </w:rPr>
        <w:br/>
      </w:r>
      <w:r w:rsidR="007E0705" w:rsidRPr="00C71C8D">
        <w:rPr>
          <w:sz w:val="24"/>
          <w:szCs w:val="24"/>
        </w:rPr>
        <w:t>Director</w:t>
      </w:r>
    </w:p>
    <w:p w:rsidR="00BD580E" w:rsidRDefault="00BD580E" w:rsidP="00BD580E">
      <w:pPr>
        <w:spacing w:before="0"/>
      </w:pPr>
    </w:p>
    <w:p w:rsidR="00BD580E" w:rsidRDefault="00BD580E" w:rsidP="00BD580E">
      <w:pPr>
        <w:spacing w:before="0"/>
      </w:pPr>
    </w:p>
    <w:p w:rsidR="00BD580E" w:rsidRPr="00C71C8D" w:rsidRDefault="00BD580E" w:rsidP="00BD580E">
      <w:pPr>
        <w:spacing w:before="0"/>
      </w:pPr>
    </w:p>
    <w:p w:rsidR="007E0705" w:rsidRDefault="007E0705" w:rsidP="000B1E09">
      <w:pPr>
        <w:rPr>
          <w:sz w:val="24"/>
          <w:szCs w:val="24"/>
        </w:rPr>
      </w:pPr>
      <w:r w:rsidRPr="00C71C8D">
        <w:rPr>
          <w:b/>
          <w:bCs/>
          <w:sz w:val="24"/>
          <w:szCs w:val="24"/>
        </w:rPr>
        <w:t>Anexo:</w:t>
      </w:r>
      <w:r w:rsidR="001C2B03">
        <w:rPr>
          <w:sz w:val="24"/>
          <w:szCs w:val="24"/>
        </w:rPr>
        <w:tab/>
      </w:r>
      <w:bookmarkStart w:id="7" w:name="_GoBack"/>
      <w:bookmarkEnd w:id="7"/>
      <w:r w:rsidRPr="00C71C8D">
        <w:rPr>
          <w:sz w:val="24"/>
          <w:szCs w:val="24"/>
        </w:rPr>
        <w:t>Títulos y resúmenes de los proyectos de Recomendaciones</w:t>
      </w:r>
    </w:p>
    <w:p w:rsidR="000B1E09" w:rsidRPr="00C71C8D" w:rsidRDefault="000B1E09" w:rsidP="000B1E09">
      <w:pPr>
        <w:rPr>
          <w:sz w:val="24"/>
          <w:szCs w:val="24"/>
        </w:rPr>
      </w:pPr>
    </w:p>
    <w:p w:rsidR="00D37589" w:rsidRPr="00D029CF" w:rsidRDefault="007E0705" w:rsidP="00D37589">
      <w:pPr>
        <w:rPr>
          <w:lang w:val="es-ES"/>
        </w:rPr>
      </w:pPr>
      <w:r w:rsidRPr="00C71C8D">
        <w:rPr>
          <w:b/>
          <w:bCs/>
          <w:sz w:val="24"/>
          <w:szCs w:val="24"/>
        </w:rPr>
        <w:t>Documentos:</w:t>
      </w:r>
      <w:r w:rsidRPr="00C71C8D">
        <w:rPr>
          <w:sz w:val="24"/>
          <w:szCs w:val="24"/>
        </w:rPr>
        <w:t xml:space="preserve"> </w:t>
      </w:r>
      <w:r w:rsidR="001A417F">
        <w:rPr>
          <w:sz w:val="24"/>
          <w:szCs w:val="24"/>
        </w:rPr>
        <w:tab/>
      </w:r>
      <w:r w:rsidR="00D37589" w:rsidRPr="00D37589">
        <w:rPr>
          <w:lang w:val="es-ES"/>
        </w:rPr>
        <w:t>Document</w:t>
      </w:r>
      <w:r w:rsidR="001A417F">
        <w:rPr>
          <w:lang w:val="es-ES"/>
        </w:rPr>
        <w:t>o</w:t>
      </w:r>
      <w:r w:rsidR="00D37589" w:rsidRPr="00D37589">
        <w:rPr>
          <w:lang w:val="es-ES"/>
        </w:rPr>
        <w:t xml:space="preserve">s </w:t>
      </w:r>
      <w:r w:rsidR="00D37589" w:rsidRPr="00D029CF">
        <w:rPr>
          <w:rStyle w:val="Hyperlink"/>
          <w:color w:val="auto"/>
          <w:u w:val="none"/>
          <w:lang w:val="es-ES"/>
        </w:rPr>
        <w:t>3/93</w:t>
      </w:r>
      <w:r w:rsidR="00D37589" w:rsidRPr="00D029CF">
        <w:rPr>
          <w:lang w:val="es-ES"/>
        </w:rPr>
        <w:t xml:space="preserve">, </w:t>
      </w:r>
      <w:r w:rsidR="00D37589" w:rsidRPr="00D029CF">
        <w:rPr>
          <w:rStyle w:val="Hyperlink"/>
          <w:color w:val="auto"/>
          <w:u w:val="none"/>
          <w:lang w:val="es-ES"/>
        </w:rPr>
        <w:t>3/94(Rev.1)</w:t>
      </w:r>
      <w:r w:rsidR="00D37589" w:rsidRPr="00D029CF">
        <w:rPr>
          <w:lang w:val="es-ES"/>
        </w:rPr>
        <w:t xml:space="preserve">, </w:t>
      </w:r>
      <w:r w:rsidR="00D37589" w:rsidRPr="00D029CF">
        <w:rPr>
          <w:rStyle w:val="Hyperlink"/>
          <w:color w:val="auto"/>
          <w:u w:val="none"/>
          <w:lang w:val="es-ES"/>
        </w:rPr>
        <w:t>3/95(Rev.1)</w:t>
      </w:r>
      <w:r w:rsidR="00D37589" w:rsidRPr="00D029CF">
        <w:rPr>
          <w:lang w:val="es-ES"/>
        </w:rPr>
        <w:t xml:space="preserve">, </w:t>
      </w:r>
      <w:r w:rsidR="00D37589" w:rsidRPr="00D029CF">
        <w:rPr>
          <w:rStyle w:val="Hyperlink"/>
          <w:color w:val="auto"/>
          <w:u w:val="none"/>
          <w:lang w:val="es-ES"/>
        </w:rPr>
        <w:t>3/97(Rev.1)</w:t>
      </w:r>
      <w:r w:rsidR="00D37589" w:rsidRPr="00D029CF">
        <w:rPr>
          <w:lang w:val="es-ES"/>
        </w:rPr>
        <w:t xml:space="preserve">, </w:t>
      </w:r>
      <w:r w:rsidR="00D37589" w:rsidRPr="00D029CF">
        <w:rPr>
          <w:rStyle w:val="Hyperlink"/>
          <w:color w:val="auto"/>
          <w:u w:val="none"/>
          <w:lang w:val="es-ES"/>
        </w:rPr>
        <w:t>3/98(Rev.1)</w:t>
      </w:r>
    </w:p>
    <w:p w:rsidR="007E0705" w:rsidRPr="00D37589" w:rsidRDefault="007E0705" w:rsidP="001A0EA4">
      <w:pPr>
        <w:spacing w:before="480"/>
        <w:jc w:val="left"/>
        <w:rPr>
          <w:sz w:val="24"/>
          <w:szCs w:val="24"/>
          <w:lang w:val="es-ES"/>
        </w:rPr>
      </w:pPr>
      <w:r w:rsidRPr="00C71C8D">
        <w:rPr>
          <w:sz w:val="24"/>
          <w:szCs w:val="24"/>
        </w:rPr>
        <w:t>Estos documentos están disponibles en formato electrónico en la dirección:</w:t>
      </w:r>
      <w:r w:rsidR="00FD63D4" w:rsidRPr="00C71C8D">
        <w:rPr>
          <w:sz w:val="24"/>
          <w:szCs w:val="24"/>
        </w:rPr>
        <w:t xml:space="preserve"> </w:t>
      </w:r>
      <w:hyperlink r:id="rId10" w:history="1">
        <w:r w:rsidR="00D37589" w:rsidRPr="00D37589">
          <w:rPr>
            <w:rStyle w:val="Hyperlink"/>
            <w:lang w:val="es-ES"/>
          </w:rPr>
          <w:t>https://www.itu.int/md/R15-SG03-C/en</w:t>
        </w:r>
      </w:hyperlink>
      <w:r w:rsidR="00D37589" w:rsidRPr="00D37589">
        <w:rPr>
          <w:lang w:val="es-ES"/>
        </w:rPr>
        <w:t xml:space="preserve"> </w:t>
      </w:r>
    </w:p>
    <w:p w:rsidR="007E0705" w:rsidRPr="000266B0" w:rsidRDefault="007E0705" w:rsidP="000B1E09">
      <w:pPr>
        <w:tabs>
          <w:tab w:val="left" w:pos="284"/>
          <w:tab w:val="left" w:pos="568"/>
        </w:tabs>
        <w:spacing w:before="5400"/>
        <w:rPr>
          <w:b/>
          <w:bCs/>
          <w:sz w:val="18"/>
          <w:szCs w:val="18"/>
        </w:rPr>
      </w:pPr>
      <w:r w:rsidRPr="000266B0">
        <w:rPr>
          <w:b/>
          <w:bCs/>
          <w:sz w:val="18"/>
          <w:szCs w:val="18"/>
        </w:rPr>
        <w:t>Distribución:</w:t>
      </w:r>
    </w:p>
    <w:p w:rsidR="007E0705" w:rsidRPr="000266B0" w:rsidRDefault="007E0705" w:rsidP="00BD580E">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Administraciones de los Estados </w:t>
      </w:r>
      <w:r w:rsidR="008C2623">
        <w:rPr>
          <w:sz w:val="18"/>
          <w:szCs w:val="18"/>
        </w:rPr>
        <w:t xml:space="preserve">Miembros de la UIT y </w:t>
      </w:r>
      <w:r w:rsidRPr="000266B0">
        <w:rPr>
          <w:sz w:val="18"/>
          <w:szCs w:val="18"/>
        </w:rPr>
        <w:t xml:space="preserve">Miembros del Sector de Radiocomunicaciones que participan en los trabajos de la Comisión de Estudio </w:t>
      </w:r>
      <w:r w:rsidR="00BD580E">
        <w:rPr>
          <w:sz w:val="18"/>
          <w:szCs w:val="18"/>
        </w:rPr>
        <w:t>3</w:t>
      </w:r>
      <w:r w:rsidRPr="000266B0">
        <w:rPr>
          <w:sz w:val="18"/>
          <w:szCs w:val="18"/>
        </w:rPr>
        <w:t xml:space="preserve"> de Radiocomunicaciones </w:t>
      </w:r>
    </w:p>
    <w:p w:rsidR="007E0705" w:rsidRPr="000266B0" w:rsidRDefault="007E0705" w:rsidP="00BD580E">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Asociados del UIT-R que participan en los trabajos de la Comisión de Estudio </w:t>
      </w:r>
      <w:r w:rsidR="00BD580E">
        <w:rPr>
          <w:sz w:val="18"/>
          <w:szCs w:val="18"/>
        </w:rPr>
        <w:t>3</w:t>
      </w:r>
      <w:r w:rsidRPr="000266B0">
        <w:rPr>
          <w:sz w:val="18"/>
          <w:szCs w:val="18"/>
        </w:rPr>
        <w:t xml:space="preserve">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r>
      <w:r>
        <w:rPr>
          <w:sz w:val="18"/>
          <w:szCs w:val="18"/>
        </w:rPr>
        <w:t>Instituciones Académicas de la UIT</w:t>
      </w:r>
      <w:r w:rsidRPr="000266B0">
        <w:rPr>
          <w:sz w:val="18"/>
          <w:szCs w:val="18"/>
        </w:rPr>
        <w:t xml:space="preserve"> </w:t>
      </w:r>
    </w:p>
    <w:p w:rsidR="007E0705" w:rsidRPr="000266B0" w:rsidRDefault="007E0705" w:rsidP="00FD63D4">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Presidente y Vicepresidentes de las Comisiones de Estudio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Presidente y Vicepresidentes de la Reunión Preparatoria de la Conferencia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Miembros de la Junta del Reglamento de Radiocomunicaciones </w:t>
      </w:r>
    </w:p>
    <w:p w:rsidR="00BD580E" w:rsidRDefault="007E0705" w:rsidP="00BD580E">
      <w:pPr>
        <w:tabs>
          <w:tab w:val="left" w:pos="567"/>
          <w:tab w:val="left" w:pos="6237"/>
        </w:tabs>
        <w:overflowPunct/>
        <w:autoSpaceDE/>
        <w:autoSpaceDN/>
        <w:adjustRightInd/>
        <w:spacing w:before="0" w:line="240" w:lineRule="auto"/>
        <w:ind w:left="567" w:hanging="567"/>
        <w:textAlignment w:val="auto"/>
        <w:rPr>
          <w:sz w:val="18"/>
          <w:szCs w:val="18"/>
        </w:rPr>
      </w:pPr>
      <w:r w:rsidRPr="000266B0">
        <w:rPr>
          <w:sz w:val="18"/>
          <w:szCs w:val="18"/>
        </w:rPr>
        <w:t>–</w:t>
      </w:r>
      <w:r w:rsidRPr="000266B0">
        <w:rPr>
          <w:sz w:val="18"/>
          <w:szCs w:val="18"/>
        </w:rPr>
        <w:tab/>
        <w:t>Secretario General de la UIT, Director de la Oficina de Normalización de las Telecomunicaciones, Director de la Oficina de Desarrollo</w:t>
      </w:r>
      <w:r w:rsidR="00400AF2">
        <w:rPr>
          <w:sz w:val="18"/>
          <w:szCs w:val="18"/>
        </w:rPr>
        <w:t xml:space="preserve"> de Telecomunicaciones</w:t>
      </w:r>
    </w:p>
    <w:p w:rsidR="00C42DD7" w:rsidRDefault="00C42DD7" w:rsidP="00BD580E">
      <w:pPr>
        <w:tabs>
          <w:tab w:val="left" w:pos="567"/>
          <w:tab w:val="left" w:pos="6237"/>
        </w:tabs>
        <w:overflowPunct/>
        <w:autoSpaceDE/>
        <w:autoSpaceDN/>
        <w:adjustRightInd/>
        <w:spacing w:before="0" w:line="240" w:lineRule="auto"/>
        <w:ind w:left="567" w:hanging="567"/>
        <w:textAlignment w:val="auto"/>
        <w:rPr>
          <w:sz w:val="18"/>
          <w:szCs w:val="18"/>
        </w:rPr>
      </w:pPr>
      <w:r>
        <w:rPr>
          <w:sz w:val="18"/>
          <w:szCs w:val="18"/>
        </w:rPr>
        <w:br w:type="page"/>
      </w:r>
    </w:p>
    <w:p w:rsidR="007E0705" w:rsidRPr="00437A87" w:rsidRDefault="001A0EA4" w:rsidP="001A0EA4">
      <w:pPr>
        <w:pStyle w:val="AnnexNotitle0"/>
        <w:rPr>
          <w:rFonts w:asciiTheme="minorHAnsi" w:hAnsiTheme="minorHAnsi"/>
        </w:rPr>
      </w:pPr>
      <w:r>
        <w:rPr>
          <w:rFonts w:asciiTheme="minorHAnsi" w:hAnsiTheme="minorHAnsi"/>
        </w:rPr>
        <w:lastRenderedPageBreak/>
        <w:t>Anexo</w:t>
      </w:r>
      <w:r w:rsidR="00F31C52" w:rsidRPr="00437A87">
        <w:rPr>
          <w:rFonts w:asciiTheme="minorHAnsi" w:hAnsiTheme="minorHAnsi"/>
        </w:rPr>
        <w:br/>
      </w:r>
      <w:r w:rsidR="00F31C52" w:rsidRPr="00437A87">
        <w:rPr>
          <w:rFonts w:asciiTheme="minorHAnsi" w:hAnsiTheme="minorHAnsi"/>
        </w:rPr>
        <w:br/>
      </w:r>
      <w:r w:rsidR="007E0705" w:rsidRPr="00437A87">
        <w:rPr>
          <w:rFonts w:asciiTheme="minorHAnsi" w:hAnsiTheme="minorHAnsi"/>
        </w:rPr>
        <w:t xml:space="preserve">Títulos y resúmenes de los proyectos de Recomendaciones adoptados </w:t>
      </w:r>
      <w:r w:rsidR="007E0705" w:rsidRPr="00437A87">
        <w:rPr>
          <w:rFonts w:asciiTheme="minorHAnsi" w:hAnsiTheme="minorHAnsi"/>
        </w:rPr>
        <w:br/>
        <w:t xml:space="preserve">por la Comisión de Estudio </w:t>
      </w:r>
      <w:r w:rsidR="00D029CF">
        <w:rPr>
          <w:rFonts w:asciiTheme="minorHAnsi" w:hAnsiTheme="minorHAnsi"/>
        </w:rPr>
        <w:t>3</w:t>
      </w:r>
      <w:r w:rsidR="007E0705" w:rsidRPr="00437A87">
        <w:rPr>
          <w:rFonts w:asciiTheme="minorHAnsi" w:hAnsiTheme="minorHAnsi"/>
        </w:rPr>
        <w:t xml:space="preserve"> de Radiocomunicaciones</w:t>
      </w:r>
    </w:p>
    <w:p w:rsidR="001A0EA4" w:rsidRPr="00E14F31" w:rsidRDefault="001A0EA4" w:rsidP="001A0EA4">
      <w:pPr>
        <w:tabs>
          <w:tab w:val="left" w:pos="8647"/>
        </w:tabs>
        <w:spacing w:before="600"/>
        <w:rPr>
          <w:sz w:val="24"/>
          <w:szCs w:val="24"/>
        </w:rPr>
      </w:pPr>
      <w:r w:rsidRPr="00E14F31">
        <w:rPr>
          <w:sz w:val="24"/>
          <w:szCs w:val="24"/>
          <w:u w:val="single"/>
        </w:rPr>
        <w:t>Proyecto de revisión de la Recomendación UIT-R P.533-13</w:t>
      </w:r>
      <w:r w:rsidRPr="00E14F31">
        <w:rPr>
          <w:sz w:val="24"/>
          <w:szCs w:val="24"/>
        </w:rPr>
        <w:tab/>
        <w:t xml:space="preserve">Doc. </w:t>
      </w:r>
      <w:r w:rsidRPr="00E14F31">
        <w:rPr>
          <w:rFonts w:cs="Times New Roman"/>
          <w:sz w:val="24"/>
          <w:szCs w:val="24"/>
          <w:rPrChange w:id="8" w:author="Satorre Sagredo, Lillian" w:date="2019-06-10T15:33:00Z">
            <w:rPr>
              <w:lang w:val="fr-CH"/>
            </w:rPr>
          </w:rPrChange>
        </w:rPr>
        <w:t>3/93</w:t>
      </w:r>
    </w:p>
    <w:p w:rsidR="001A0EA4" w:rsidRPr="001835CF" w:rsidRDefault="001A0EA4" w:rsidP="001A0EA4">
      <w:pPr>
        <w:pStyle w:val="Rectitle"/>
      </w:pPr>
      <w:r w:rsidRPr="001835CF">
        <w:t>Método de predicción de la calidad de funcionamiento de</w:t>
      </w:r>
      <w:r>
        <w:t xml:space="preserve"> </w:t>
      </w:r>
      <w:r w:rsidRPr="001835CF">
        <w:t xml:space="preserve">circuitos </w:t>
      </w:r>
      <w:r w:rsidR="000B1E09">
        <w:br/>
      </w:r>
      <w:r w:rsidRPr="001835CF">
        <w:t xml:space="preserve">que funcionan en ondas </w:t>
      </w:r>
      <w:proofErr w:type="spellStart"/>
      <w:r w:rsidRPr="001835CF">
        <w:t>decamétricas</w:t>
      </w:r>
      <w:proofErr w:type="spellEnd"/>
    </w:p>
    <w:p w:rsidR="001A0EA4" w:rsidRPr="00E14F31" w:rsidRDefault="001A0EA4" w:rsidP="00566E38">
      <w:pPr>
        <w:pStyle w:val="Normalaftertitle"/>
        <w:rPr>
          <w:sz w:val="24"/>
          <w:szCs w:val="24"/>
        </w:rPr>
      </w:pPr>
      <w:r w:rsidRPr="00E14F31">
        <w:rPr>
          <w:sz w:val="24"/>
          <w:szCs w:val="24"/>
        </w:rPr>
        <w:t>Se proponen pequeñas revisiones para mejorar la modelización de la pérdida por encima de la MUF y para corregir las ecuaciones de la probabilidad del mes.</w:t>
      </w:r>
    </w:p>
    <w:p w:rsidR="001A0EA4" w:rsidRPr="00E14F31" w:rsidRDefault="001A0EA4" w:rsidP="00E14F31">
      <w:pPr>
        <w:tabs>
          <w:tab w:val="left" w:pos="7938"/>
        </w:tabs>
        <w:spacing w:before="600"/>
        <w:rPr>
          <w:sz w:val="24"/>
          <w:szCs w:val="24"/>
        </w:rPr>
      </w:pPr>
      <w:r w:rsidRPr="00E14F31">
        <w:rPr>
          <w:sz w:val="24"/>
          <w:szCs w:val="24"/>
          <w:u w:val="single"/>
        </w:rPr>
        <w:t>Proyecto de revisión de la Recomendación UIT-R P.372-13</w:t>
      </w:r>
      <w:r w:rsidRPr="00E14F31">
        <w:rPr>
          <w:sz w:val="24"/>
          <w:szCs w:val="24"/>
        </w:rPr>
        <w:tab/>
        <w:t xml:space="preserve">Doc. </w:t>
      </w:r>
      <w:r w:rsidRPr="00E14F31">
        <w:rPr>
          <w:rFonts w:cs="Times New Roman"/>
          <w:sz w:val="24"/>
          <w:szCs w:val="24"/>
          <w:rPrChange w:id="9" w:author="Satorre Sagredo, Lillian" w:date="2019-06-10T15:33:00Z">
            <w:rPr>
              <w:lang w:val="fr-CH"/>
            </w:rPr>
          </w:rPrChange>
        </w:rPr>
        <w:t>3/94(Rev.1)</w:t>
      </w:r>
    </w:p>
    <w:p w:rsidR="001A0EA4" w:rsidRPr="001835CF" w:rsidRDefault="001A0EA4" w:rsidP="001A0EA4">
      <w:pPr>
        <w:pStyle w:val="Rectitle"/>
      </w:pPr>
      <w:r w:rsidRPr="001835CF">
        <w:t>Ruido radioeléctrico</w:t>
      </w:r>
    </w:p>
    <w:p w:rsidR="001A0EA4" w:rsidRPr="00E14F31" w:rsidRDefault="001A0EA4" w:rsidP="00566E38">
      <w:pPr>
        <w:pStyle w:val="Normalaftertitle"/>
        <w:rPr>
          <w:sz w:val="24"/>
          <w:szCs w:val="24"/>
        </w:rPr>
      </w:pPr>
      <w:r w:rsidRPr="00E14F31">
        <w:rPr>
          <w:sz w:val="24"/>
          <w:szCs w:val="24"/>
        </w:rPr>
        <w:t>En este proyecto de revisión no se modifica sustantivamente el contenido, sino que se propone la división del texto en varias partes independientes para facilitar su utilización. Tras una parte general, a la que se añade texto para aclarar el contenido y el alcance de la Recomendación, en las siguientes partes se aborda el ruido radioeléctrico natural, en orden de frecuencias descendente, el ruido radioeléctrico artificial y, por último, el método adecuado para combinar el resultado cuando hay ruido procedente de diversas fuentes.</w:t>
      </w:r>
    </w:p>
    <w:p w:rsidR="001A0EA4" w:rsidRPr="00E14F31" w:rsidRDefault="001A0EA4" w:rsidP="00E14F31">
      <w:pPr>
        <w:tabs>
          <w:tab w:val="left" w:pos="7938"/>
        </w:tabs>
        <w:spacing w:before="600"/>
        <w:rPr>
          <w:sz w:val="24"/>
          <w:szCs w:val="24"/>
        </w:rPr>
      </w:pPr>
      <w:r w:rsidRPr="00E14F31">
        <w:rPr>
          <w:sz w:val="24"/>
          <w:szCs w:val="24"/>
          <w:u w:val="single"/>
        </w:rPr>
        <w:t>Proyecto de revisión de la Recomendación UIT-R P</w:t>
      </w:r>
      <w:r w:rsidR="00DF3D10">
        <w:rPr>
          <w:sz w:val="24"/>
          <w:szCs w:val="24"/>
          <w:u w:val="single"/>
        </w:rPr>
        <w:t>.</w:t>
      </w:r>
      <w:r w:rsidRPr="00E14F31">
        <w:rPr>
          <w:sz w:val="24"/>
          <w:szCs w:val="24"/>
          <w:u w:val="single"/>
        </w:rPr>
        <w:t>341-6</w:t>
      </w:r>
      <w:r w:rsidRPr="00E14F31">
        <w:rPr>
          <w:sz w:val="24"/>
          <w:szCs w:val="24"/>
        </w:rPr>
        <w:tab/>
        <w:t xml:space="preserve">Doc. </w:t>
      </w:r>
      <w:r w:rsidRPr="00E14F31">
        <w:rPr>
          <w:rFonts w:cs="Times New Roman"/>
          <w:sz w:val="24"/>
          <w:szCs w:val="24"/>
          <w:rPrChange w:id="10" w:author="Satorre Sagredo, Lillian" w:date="2019-06-10T15:33:00Z">
            <w:rPr>
              <w:lang w:val="fr-CH"/>
            </w:rPr>
          </w:rPrChange>
        </w:rPr>
        <w:t>3/95(Rev.1)</w:t>
      </w:r>
    </w:p>
    <w:p w:rsidR="001A0EA4" w:rsidRPr="001835CF" w:rsidRDefault="001A0EA4" w:rsidP="001A0EA4">
      <w:pPr>
        <w:pStyle w:val="Rectitle"/>
      </w:pPr>
      <w:r w:rsidRPr="001835CF">
        <w:t>Noción de pérdidas de transmisión en los enlaces radioeléctricos</w:t>
      </w:r>
    </w:p>
    <w:p w:rsidR="001A0EA4" w:rsidRPr="00E14F31" w:rsidRDefault="001A0EA4" w:rsidP="00566E38">
      <w:pPr>
        <w:pStyle w:val="Normalaftertitle"/>
        <w:rPr>
          <w:rFonts w:asciiTheme="minorHAnsi" w:hAnsiTheme="minorHAnsi" w:cs="Times New Roman"/>
          <w:sz w:val="24"/>
          <w:szCs w:val="24"/>
        </w:rPr>
      </w:pPr>
      <w:r w:rsidRPr="00E14F31">
        <w:rPr>
          <w:sz w:val="24"/>
          <w:szCs w:val="24"/>
        </w:rPr>
        <w:t>En resumen, las modificaciones a esta Recomendación son:</w:t>
      </w:r>
    </w:p>
    <w:p w:rsidR="001A0EA4" w:rsidRPr="00E14F31" w:rsidRDefault="001A0EA4" w:rsidP="001A0EA4">
      <w:pPr>
        <w:pStyle w:val="enumlev1"/>
        <w:rPr>
          <w:sz w:val="24"/>
          <w:szCs w:val="24"/>
        </w:rPr>
      </w:pPr>
      <w:r w:rsidRPr="00E14F31">
        <w:rPr>
          <w:sz w:val="24"/>
          <w:szCs w:val="24"/>
        </w:rPr>
        <w:t>•</w:t>
      </w:r>
      <w:r w:rsidRPr="00E14F31">
        <w:rPr>
          <w:sz w:val="24"/>
          <w:szCs w:val="24"/>
        </w:rPr>
        <w:tab/>
        <w:t>reorganizar el orden de los términos y definiciones. No se pretende realizar cambios sustantivos en esta reordenación;</w:t>
      </w:r>
    </w:p>
    <w:p w:rsidR="001A0EA4" w:rsidRPr="00E14F31" w:rsidRDefault="001A0EA4" w:rsidP="001A0EA4">
      <w:pPr>
        <w:pStyle w:val="enumlev1"/>
        <w:rPr>
          <w:sz w:val="24"/>
          <w:szCs w:val="24"/>
        </w:rPr>
      </w:pPr>
      <w:r w:rsidRPr="00E14F31">
        <w:rPr>
          <w:sz w:val="24"/>
          <w:szCs w:val="24"/>
        </w:rPr>
        <w:t>•</w:t>
      </w:r>
      <w:r w:rsidRPr="00E14F31">
        <w:rPr>
          <w:sz w:val="24"/>
          <w:szCs w:val="24"/>
        </w:rPr>
        <w:tab/>
        <w:t>armonizar los símbolos asociados a los términos;</w:t>
      </w:r>
    </w:p>
    <w:p w:rsidR="001A0EA4" w:rsidRPr="00E14F31" w:rsidRDefault="001A0EA4" w:rsidP="001A0EA4">
      <w:pPr>
        <w:pStyle w:val="enumlev1"/>
        <w:rPr>
          <w:sz w:val="24"/>
          <w:szCs w:val="24"/>
        </w:rPr>
      </w:pPr>
      <w:r w:rsidRPr="00E14F31">
        <w:rPr>
          <w:sz w:val="24"/>
          <w:szCs w:val="24"/>
        </w:rPr>
        <w:t>•</w:t>
      </w:r>
      <w:r w:rsidRPr="00E14F31">
        <w:rPr>
          <w:sz w:val="24"/>
          <w:szCs w:val="24"/>
        </w:rPr>
        <w:tab/>
        <w:t>redefinir el término «pérdida total» y «pérdida básica de transmisión»;</w:t>
      </w:r>
    </w:p>
    <w:p w:rsidR="001A0EA4" w:rsidRPr="00E14F31" w:rsidRDefault="001A0EA4" w:rsidP="001A0EA4">
      <w:pPr>
        <w:pStyle w:val="enumlev1"/>
        <w:rPr>
          <w:sz w:val="24"/>
          <w:szCs w:val="24"/>
        </w:rPr>
      </w:pPr>
      <w:r w:rsidRPr="00E14F31">
        <w:rPr>
          <w:sz w:val="24"/>
          <w:szCs w:val="24"/>
        </w:rPr>
        <w:t>•</w:t>
      </w:r>
      <w:r w:rsidRPr="00E14F31">
        <w:rPr>
          <w:sz w:val="24"/>
          <w:szCs w:val="24"/>
        </w:rPr>
        <w:tab/>
        <w:t>añadir un nuevo Anexo a la Recomendación en el que se indique una forma de determinar la densidad de flujo de potencia y la intensidad de campo;</w:t>
      </w:r>
    </w:p>
    <w:p w:rsidR="001A0EA4" w:rsidRPr="00E14F31" w:rsidRDefault="001A0EA4" w:rsidP="001A0EA4">
      <w:pPr>
        <w:pStyle w:val="enumlev1"/>
        <w:rPr>
          <w:sz w:val="24"/>
          <w:szCs w:val="24"/>
        </w:rPr>
      </w:pPr>
      <w:r w:rsidRPr="00E14F31">
        <w:rPr>
          <w:sz w:val="24"/>
          <w:szCs w:val="24"/>
        </w:rPr>
        <w:t>•</w:t>
      </w:r>
      <w:r w:rsidRPr="00E14F31">
        <w:rPr>
          <w:sz w:val="24"/>
          <w:szCs w:val="24"/>
        </w:rPr>
        <w:tab/>
        <w:t>volver a enumerar los anexos y las ecuaciones según proceda.</w:t>
      </w:r>
    </w:p>
    <w:p w:rsidR="001A0EA4" w:rsidRPr="00E14F31" w:rsidRDefault="001A0EA4" w:rsidP="001A0EA4">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E14F31">
        <w:rPr>
          <w:sz w:val="24"/>
          <w:szCs w:val="24"/>
        </w:rPr>
        <w:br w:type="page"/>
      </w:r>
    </w:p>
    <w:p w:rsidR="001A0EA4" w:rsidRPr="00E14F31" w:rsidRDefault="001A0EA4" w:rsidP="00E14F31">
      <w:pPr>
        <w:tabs>
          <w:tab w:val="left" w:pos="7938"/>
        </w:tabs>
        <w:spacing w:before="600"/>
        <w:rPr>
          <w:sz w:val="24"/>
          <w:szCs w:val="24"/>
        </w:rPr>
      </w:pPr>
      <w:r w:rsidRPr="00E14F31">
        <w:rPr>
          <w:sz w:val="24"/>
          <w:szCs w:val="24"/>
          <w:u w:val="single"/>
        </w:rPr>
        <w:lastRenderedPageBreak/>
        <w:t>Proyecto de revisión de la Recomendación UIT-R P.525-3</w:t>
      </w:r>
      <w:r w:rsidRPr="00E14F31">
        <w:rPr>
          <w:sz w:val="24"/>
          <w:szCs w:val="24"/>
        </w:rPr>
        <w:tab/>
        <w:t xml:space="preserve">Doc. </w:t>
      </w:r>
      <w:r w:rsidRPr="00E14F31">
        <w:rPr>
          <w:rFonts w:cs="Times New Roman"/>
          <w:sz w:val="24"/>
          <w:szCs w:val="24"/>
          <w:rPrChange w:id="11" w:author="Satorre Sagredo, Lillian" w:date="2019-06-10T15:33:00Z">
            <w:rPr>
              <w:lang w:val="fr-CH"/>
            </w:rPr>
          </w:rPrChange>
        </w:rPr>
        <w:t>3/97(Rev.1)</w:t>
      </w:r>
    </w:p>
    <w:p w:rsidR="001A0EA4" w:rsidRPr="001835CF" w:rsidRDefault="001A0EA4" w:rsidP="001A0EA4">
      <w:pPr>
        <w:pStyle w:val="Rectitle"/>
      </w:pPr>
      <w:r w:rsidRPr="001835CF">
        <w:t>Cálculo de la atenuación en el espacio libre</w:t>
      </w:r>
    </w:p>
    <w:p w:rsidR="001A0EA4" w:rsidRPr="00E14F31" w:rsidRDefault="001A0EA4" w:rsidP="00566E38">
      <w:pPr>
        <w:pStyle w:val="Normalaftertitle"/>
        <w:rPr>
          <w:sz w:val="24"/>
          <w:szCs w:val="24"/>
        </w:rPr>
      </w:pPr>
      <w:r w:rsidRPr="00E14F31">
        <w:rPr>
          <w:sz w:val="24"/>
          <w:szCs w:val="24"/>
        </w:rPr>
        <w:t xml:space="preserve">En esta revisión se proporciona una definición de los términos «espacio libre» y «propagación en el espacio libre». También se armonizan los símbolos de la Recomendación con los definidos en el anteproyecto de revisión de la Recomendación </w:t>
      </w:r>
      <w:r w:rsidRPr="00D029CF">
        <w:rPr>
          <w:rStyle w:val="Hyperlink"/>
          <w:rFonts w:cs="Calibri"/>
          <w:color w:val="auto"/>
          <w:sz w:val="24"/>
          <w:szCs w:val="24"/>
          <w:u w:val="none"/>
        </w:rPr>
        <w:t>UIT-R P.341-6</w:t>
      </w:r>
      <w:r w:rsidRPr="00D029CF">
        <w:rPr>
          <w:sz w:val="24"/>
          <w:szCs w:val="24"/>
        </w:rPr>
        <w:t xml:space="preserve"> </w:t>
      </w:r>
      <w:r w:rsidRPr="00E14F31">
        <w:rPr>
          <w:sz w:val="24"/>
          <w:szCs w:val="24"/>
        </w:rPr>
        <w:t xml:space="preserve">(Documento </w:t>
      </w:r>
      <w:hyperlink r:id="rId11" w:history="1">
        <w:r w:rsidRPr="00E14F31">
          <w:rPr>
            <w:rStyle w:val="Hyperlink"/>
            <w:rFonts w:cs="Calibri"/>
            <w:sz w:val="24"/>
            <w:szCs w:val="24"/>
          </w:rPr>
          <w:t>3/95</w:t>
        </w:r>
      </w:hyperlink>
      <w:r w:rsidRPr="00E14F31">
        <w:rPr>
          <w:sz w:val="24"/>
          <w:szCs w:val="24"/>
        </w:rPr>
        <w:t>). En el punto 4 se revisa la definición de «potencia recibida» para aplicar a una antena de adaptación conjugada en lugar a de una antena isótropa.</w:t>
      </w:r>
    </w:p>
    <w:p w:rsidR="001A0EA4" w:rsidRPr="00E14F31" w:rsidRDefault="001A0EA4" w:rsidP="00E14F31">
      <w:pPr>
        <w:keepNext/>
        <w:keepLines/>
        <w:tabs>
          <w:tab w:val="left" w:pos="7938"/>
        </w:tabs>
        <w:spacing w:before="600"/>
        <w:rPr>
          <w:sz w:val="24"/>
          <w:szCs w:val="24"/>
        </w:rPr>
      </w:pPr>
      <w:r w:rsidRPr="00E14F31">
        <w:rPr>
          <w:sz w:val="24"/>
          <w:szCs w:val="24"/>
          <w:u w:val="single"/>
        </w:rPr>
        <w:t>Proyecto de revisión de la Recomendación UIT-R P.840-7</w:t>
      </w:r>
      <w:r w:rsidRPr="00E14F31">
        <w:rPr>
          <w:sz w:val="24"/>
          <w:szCs w:val="24"/>
        </w:rPr>
        <w:tab/>
        <w:t xml:space="preserve">Doc. </w:t>
      </w:r>
      <w:r w:rsidRPr="00E14F31">
        <w:rPr>
          <w:rFonts w:cs="Times New Roman"/>
          <w:sz w:val="24"/>
          <w:szCs w:val="24"/>
          <w:rPrChange w:id="12" w:author="Satorre Sagredo, Lillian" w:date="2019-06-10T15:33:00Z">
            <w:rPr>
              <w:lang w:val="fr-CH"/>
            </w:rPr>
          </w:rPrChange>
        </w:rPr>
        <w:t>3/98(Rev.1)</w:t>
      </w:r>
    </w:p>
    <w:p w:rsidR="001A0EA4" w:rsidRPr="001835CF" w:rsidRDefault="001A0EA4" w:rsidP="001A0EA4">
      <w:pPr>
        <w:pStyle w:val="Rectitle"/>
      </w:pPr>
      <w:r w:rsidRPr="001835CF">
        <w:t>Atenuación debida a las nubes y a la niebla</w:t>
      </w:r>
    </w:p>
    <w:p w:rsidR="001A0EA4" w:rsidRPr="00E14F31" w:rsidRDefault="001A0EA4" w:rsidP="003044B5">
      <w:pPr>
        <w:pStyle w:val="Normalaftertitle"/>
        <w:rPr>
          <w:sz w:val="24"/>
          <w:szCs w:val="24"/>
        </w:rPr>
      </w:pPr>
      <w:r w:rsidRPr="00E14F31">
        <w:rPr>
          <w:sz w:val="24"/>
          <w:szCs w:val="24"/>
        </w:rPr>
        <w:t>El objetivo de este documento es proponer una revisión del Anexo 3 a la Recomendación UIT</w:t>
      </w:r>
      <w:r w:rsidR="003044B5">
        <w:rPr>
          <w:sz w:val="24"/>
          <w:szCs w:val="24"/>
        </w:rPr>
        <w:noBreakHyphen/>
      </w:r>
      <w:r w:rsidRPr="00E14F31">
        <w:rPr>
          <w:sz w:val="24"/>
          <w:szCs w:val="24"/>
        </w:rPr>
        <w:t>R</w:t>
      </w:r>
      <w:r w:rsidR="003044B5">
        <w:rPr>
          <w:sz w:val="24"/>
          <w:szCs w:val="24"/>
        </w:rPr>
        <w:t> </w:t>
      </w:r>
      <w:r w:rsidRPr="00E14F31">
        <w:rPr>
          <w:sz w:val="24"/>
          <w:szCs w:val="24"/>
        </w:rPr>
        <w:t>P.840-7 en la que:</w:t>
      </w:r>
    </w:p>
    <w:p w:rsidR="001A0EA4" w:rsidRPr="00E14F31" w:rsidRDefault="001A0EA4" w:rsidP="001A0EA4">
      <w:pPr>
        <w:pStyle w:val="enumlev1"/>
        <w:rPr>
          <w:sz w:val="24"/>
          <w:szCs w:val="24"/>
        </w:rPr>
      </w:pPr>
      <w:r w:rsidRPr="00E14F31">
        <w:rPr>
          <w:sz w:val="24"/>
          <w:szCs w:val="24"/>
        </w:rPr>
        <w:t>–</w:t>
      </w:r>
      <w:r w:rsidRPr="00E14F31">
        <w:rPr>
          <w:sz w:val="24"/>
          <w:szCs w:val="24"/>
        </w:rPr>
        <w:tab/>
        <w:t>se especifique la gama de probabilidad aplicable;</w:t>
      </w:r>
    </w:p>
    <w:p w:rsidR="001A0EA4" w:rsidRPr="00E14F31" w:rsidRDefault="001A0EA4" w:rsidP="001A0EA4">
      <w:pPr>
        <w:pStyle w:val="enumlev1"/>
        <w:rPr>
          <w:sz w:val="24"/>
          <w:szCs w:val="24"/>
        </w:rPr>
      </w:pPr>
      <w:r w:rsidRPr="00E14F31">
        <w:rPr>
          <w:sz w:val="24"/>
          <w:szCs w:val="24"/>
        </w:rPr>
        <w:t>–</w:t>
      </w:r>
      <w:r w:rsidRPr="00E14F31">
        <w:rPr>
          <w:sz w:val="24"/>
          <w:szCs w:val="24"/>
        </w:rPr>
        <w:tab/>
        <w:t xml:space="preserve">se pruebe si </w:t>
      </w:r>
      <w:r w:rsidRPr="00E14F31">
        <w:rPr>
          <w:i/>
          <w:iCs/>
          <w:sz w:val="24"/>
          <w:szCs w:val="24"/>
        </w:rPr>
        <w:t>P</w:t>
      </w:r>
      <w:r w:rsidRPr="00E14F31">
        <w:rPr>
          <w:sz w:val="24"/>
          <w:szCs w:val="24"/>
        </w:rPr>
        <w:t xml:space="preserve"> es mayor que </w:t>
      </w:r>
      <m:oMath>
        <m:sSub>
          <m:sSubPr>
            <m:ctrlPr>
              <w:rPr>
                <w:rFonts w:ascii="Cambria Math" w:hAnsi="Cambria Math" w:cstheme="minorHAnsi"/>
                <w:sz w:val="24"/>
              </w:rPr>
            </m:ctrlPr>
          </m:sSubPr>
          <m:e>
            <m:r>
              <w:rPr>
                <w:rFonts w:ascii="Cambria Math" w:hAnsi="Cambria Math" w:cstheme="minorHAnsi"/>
                <w:sz w:val="24"/>
              </w:rPr>
              <m:t>P</m:t>
            </m:r>
          </m:e>
          <m:sub>
            <m:r>
              <w:rPr>
                <w:rFonts w:ascii="Cambria Math" w:hAnsi="Cambria Math" w:cstheme="minorHAnsi"/>
                <w:sz w:val="24"/>
              </w:rPr>
              <m:t>CLW</m:t>
            </m:r>
          </m:sub>
        </m:sSub>
      </m:oMath>
      <w:r w:rsidRPr="00E14F31">
        <w:rPr>
          <w:rFonts w:asciiTheme="minorHAnsi" w:hAnsiTheme="minorHAnsi" w:cstheme="minorHAnsi"/>
          <w:sz w:val="24"/>
        </w:rPr>
        <w:t xml:space="preserve"> y, de ser así, ponga </w:t>
      </w:r>
      <m:oMath>
        <m:sSub>
          <m:sSubPr>
            <m:ctrlPr>
              <w:rPr>
                <w:rFonts w:ascii="Cambria Math" w:hAnsi="Cambria Math" w:cstheme="minorHAnsi"/>
                <w:sz w:val="24"/>
              </w:rPr>
            </m:ctrlPr>
          </m:sSubPr>
          <m:e>
            <m:r>
              <w:rPr>
                <w:rFonts w:ascii="Cambria Math" w:hAnsi="Cambria Math" w:cstheme="minorHAnsi"/>
                <w:sz w:val="24"/>
              </w:rPr>
              <m:t>L</m:t>
            </m:r>
          </m:e>
          <m:sub>
            <m:r>
              <w:rPr>
                <w:rFonts w:ascii="Cambria Math" w:hAnsi="Cambria Math" w:cstheme="minorHAnsi"/>
                <w:sz w:val="24"/>
              </w:rPr>
              <m:t>red</m:t>
            </m:r>
          </m:sub>
        </m:sSub>
        <m:r>
          <m:rPr>
            <m:sty m:val="p"/>
          </m:rPr>
          <w:rPr>
            <w:rFonts w:ascii="Cambria Math" w:hAnsi="Cambria Math" w:cstheme="minorHAnsi"/>
            <w:sz w:val="24"/>
          </w:rPr>
          <m:t>=0</m:t>
        </m:r>
      </m:oMath>
      <w:r w:rsidRPr="00E14F31">
        <w:rPr>
          <w:rFonts w:asciiTheme="minorHAnsi" w:hAnsiTheme="minorHAnsi" w:cstheme="minorHAnsi"/>
          <w:sz w:val="24"/>
        </w:rPr>
        <w:t>;</w:t>
      </w:r>
    </w:p>
    <w:p w:rsidR="001A0EA4" w:rsidRPr="00E14F31" w:rsidRDefault="001A0EA4" w:rsidP="001A0EA4">
      <w:pPr>
        <w:pStyle w:val="enumlev1"/>
        <w:rPr>
          <w:sz w:val="24"/>
          <w:szCs w:val="24"/>
        </w:rPr>
      </w:pPr>
      <w:r w:rsidRPr="00E14F31">
        <w:rPr>
          <w:sz w:val="24"/>
          <w:szCs w:val="24"/>
        </w:rPr>
        <w:t>–</w:t>
      </w:r>
      <w:r w:rsidRPr="00E14F31">
        <w:rPr>
          <w:sz w:val="24"/>
          <w:szCs w:val="24"/>
        </w:rPr>
        <w:tab/>
        <w:t>se armonice el texto con las secciones precedentes de la Recomendación; y</w:t>
      </w:r>
    </w:p>
    <w:p w:rsidR="001A0EA4" w:rsidRPr="00E14F31" w:rsidRDefault="001A0EA4" w:rsidP="001A0EA4">
      <w:pPr>
        <w:pStyle w:val="enumlev1"/>
        <w:rPr>
          <w:rFonts w:asciiTheme="minorHAnsi" w:hAnsiTheme="minorHAnsi" w:cstheme="minorHAnsi"/>
          <w:sz w:val="24"/>
        </w:rPr>
      </w:pPr>
      <w:r w:rsidRPr="00E14F31">
        <w:rPr>
          <w:sz w:val="24"/>
          <w:szCs w:val="24"/>
        </w:rPr>
        <w:t>–</w:t>
      </w:r>
      <w:r w:rsidRPr="00E14F31">
        <w:rPr>
          <w:sz w:val="24"/>
          <w:szCs w:val="24"/>
        </w:rPr>
        <w:tab/>
        <w:t xml:space="preserve">se armonice el método de interpolación con el método de síntesis de las series temporales del contenido integrado de agua líquida en las nubes de la Recomendación UIT-R P.1853, que necesita </w:t>
      </w:r>
      <m:oMath>
        <m:r>
          <w:rPr>
            <w:rFonts w:ascii="Cambria Math" w:hAnsi="Cambria Math" w:cstheme="minorHAnsi"/>
            <w:sz w:val="24"/>
          </w:rPr>
          <m:t>m</m:t>
        </m:r>
      </m:oMath>
      <w:r w:rsidRPr="00E14F31">
        <w:rPr>
          <w:rFonts w:asciiTheme="minorHAnsi" w:hAnsiTheme="minorHAnsi" w:cstheme="minorHAnsi"/>
          <w:sz w:val="24"/>
        </w:rPr>
        <w:t xml:space="preserve">, </w:t>
      </w:r>
      <m:oMath>
        <m:r>
          <m:rPr>
            <m:sty m:val="p"/>
          </m:rPr>
          <w:rPr>
            <w:rFonts w:ascii="Cambria Math" w:hAnsi="Cambria Math" w:cstheme="minorHAnsi"/>
            <w:sz w:val="24"/>
          </w:rPr>
          <m:t>σ</m:t>
        </m:r>
      </m:oMath>
      <w:r w:rsidRPr="00E14F31">
        <w:rPr>
          <w:rFonts w:asciiTheme="minorHAnsi" w:hAnsiTheme="minorHAnsi" w:cstheme="minorHAnsi"/>
          <w:sz w:val="24"/>
        </w:rPr>
        <w:t xml:space="preserve">, y </w:t>
      </w:r>
      <m:oMath>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CLW</m:t>
            </m:r>
          </m:sub>
        </m:sSub>
      </m:oMath>
      <w:r w:rsidRPr="00E14F31">
        <w:rPr>
          <w:rFonts w:asciiTheme="minorHAnsi" w:hAnsiTheme="minorHAnsi" w:cstheme="minorHAnsi"/>
          <w:sz w:val="24"/>
        </w:rPr>
        <w:t xml:space="preserve"> en la ubicación correspondiente (es decir, mediante interpolación espacial de los valores de </w:t>
      </w:r>
      <m:oMath>
        <m:r>
          <w:rPr>
            <w:rFonts w:ascii="Cambria Math" w:hAnsi="Cambria Math" w:cstheme="minorHAnsi"/>
            <w:sz w:val="24"/>
          </w:rPr>
          <m:t>m</m:t>
        </m:r>
      </m:oMath>
      <w:r w:rsidRPr="00E14F31">
        <w:rPr>
          <w:rFonts w:asciiTheme="minorHAnsi" w:hAnsiTheme="minorHAnsi" w:cstheme="minorHAnsi"/>
          <w:sz w:val="24"/>
        </w:rPr>
        <w:t xml:space="preserve">, </w:t>
      </w:r>
      <m:oMath>
        <m:r>
          <m:rPr>
            <m:sty m:val="p"/>
          </m:rPr>
          <w:rPr>
            <w:rFonts w:ascii="Cambria Math" w:hAnsi="Cambria Math" w:cstheme="minorHAnsi"/>
            <w:sz w:val="24"/>
          </w:rPr>
          <m:t>σ</m:t>
        </m:r>
      </m:oMath>
      <w:r w:rsidRPr="00E14F31">
        <w:rPr>
          <w:rFonts w:asciiTheme="minorHAnsi" w:hAnsiTheme="minorHAnsi" w:cstheme="minorHAnsi"/>
          <w:sz w:val="24"/>
        </w:rPr>
        <w:t xml:space="preserve">, y </w:t>
      </w:r>
      <m:oMath>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CLW</m:t>
            </m:r>
          </m:sub>
        </m:sSub>
      </m:oMath>
      <w:r w:rsidRPr="00E14F31">
        <w:rPr>
          <w:rFonts w:asciiTheme="minorHAnsi" w:hAnsiTheme="minorHAnsi" w:cstheme="minorHAnsi"/>
          <w:sz w:val="24"/>
        </w:rPr>
        <w:t xml:space="preserve"> en los cuatro puntos de la cuadrícula circundantes y la determinación de </w:t>
      </w:r>
      <m:oMath>
        <m:sSub>
          <m:sSubPr>
            <m:ctrlPr>
              <w:rPr>
                <w:rFonts w:ascii="Cambria Math" w:hAnsi="Cambria Math" w:cstheme="minorHAnsi"/>
                <w:i/>
                <w:sz w:val="24"/>
              </w:rPr>
            </m:ctrlPr>
          </m:sSubPr>
          <m:e>
            <m:r>
              <w:rPr>
                <w:rFonts w:ascii="Cambria Math" w:hAnsi="Cambria Math" w:cstheme="minorHAnsi"/>
                <w:sz w:val="24"/>
              </w:rPr>
              <m:t>L</m:t>
            </m:r>
          </m:e>
          <m:sub>
            <m:r>
              <w:rPr>
                <w:rFonts w:ascii="Cambria Math" w:hAnsi="Cambria Math" w:cstheme="minorHAnsi"/>
                <w:sz w:val="24"/>
              </w:rPr>
              <m:t>red</m:t>
            </m:r>
          </m:sub>
        </m:sSub>
      </m:oMath>
      <w:r w:rsidRPr="00E14F31">
        <w:rPr>
          <w:rFonts w:asciiTheme="minorHAnsi" w:hAnsiTheme="minorHAnsi" w:cstheme="minorHAnsi"/>
          <w:sz w:val="24"/>
        </w:rPr>
        <w:t xml:space="preserve"> en la ubicación correspondiente a partir de la interpolación espacial de los valores de </w:t>
      </w:r>
      <m:oMath>
        <m:r>
          <w:rPr>
            <w:rFonts w:ascii="Cambria Math" w:hAnsi="Cambria Math" w:cstheme="minorHAnsi"/>
            <w:sz w:val="24"/>
          </w:rPr>
          <m:t>m</m:t>
        </m:r>
      </m:oMath>
      <w:r w:rsidRPr="00E14F31">
        <w:rPr>
          <w:rFonts w:asciiTheme="minorHAnsi" w:hAnsiTheme="minorHAnsi" w:cstheme="minorHAnsi"/>
          <w:sz w:val="24"/>
        </w:rPr>
        <w:t xml:space="preserve">, </w:t>
      </w:r>
      <m:oMath>
        <m:r>
          <m:rPr>
            <m:sty m:val="p"/>
          </m:rPr>
          <w:rPr>
            <w:rFonts w:ascii="Cambria Math" w:hAnsi="Cambria Math" w:cstheme="minorHAnsi"/>
            <w:sz w:val="24"/>
          </w:rPr>
          <m:t>σ</m:t>
        </m:r>
      </m:oMath>
      <w:r w:rsidRPr="00E14F31">
        <w:rPr>
          <w:rFonts w:asciiTheme="minorHAnsi" w:hAnsiTheme="minorHAnsi" w:cstheme="minorHAnsi"/>
          <w:sz w:val="24"/>
        </w:rPr>
        <w:t xml:space="preserve">, y </w:t>
      </w:r>
      <m:oMath>
        <m:sSub>
          <m:sSubPr>
            <m:ctrlPr>
              <w:rPr>
                <w:rFonts w:ascii="Cambria Math" w:hAnsi="Cambria Math" w:cstheme="minorHAnsi"/>
                <w:i/>
                <w:sz w:val="24"/>
              </w:rPr>
            </m:ctrlPr>
          </m:sSubPr>
          <m:e>
            <m:r>
              <w:rPr>
                <w:rFonts w:ascii="Cambria Math" w:hAnsi="Cambria Math" w:cstheme="minorHAnsi"/>
                <w:sz w:val="24"/>
              </w:rPr>
              <m:t>P</m:t>
            </m:r>
          </m:e>
          <m:sub>
            <m:r>
              <w:rPr>
                <w:rFonts w:ascii="Cambria Math" w:hAnsi="Cambria Math" w:cstheme="minorHAnsi"/>
                <w:sz w:val="24"/>
              </w:rPr>
              <m:t>CLW</m:t>
            </m:r>
          </m:sub>
        </m:sSub>
      </m:oMath>
      <w:r w:rsidRPr="00E14F31">
        <w:rPr>
          <w:rFonts w:asciiTheme="minorHAnsi" w:hAnsiTheme="minorHAnsi" w:cstheme="minorHAnsi"/>
          <w:sz w:val="24"/>
        </w:rPr>
        <w:t xml:space="preserve">, en lugar de la determinación de </w:t>
      </w:r>
      <m:oMath>
        <m:sSub>
          <m:sSubPr>
            <m:ctrlPr>
              <w:rPr>
                <w:rFonts w:ascii="Cambria Math" w:hAnsi="Cambria Math" w:cstheme="minorHAnsi"/>
                <w:i/>
                <w:sz w:val="24"/>
              </w:rPr>
            </m:ctrlPr>
          </m:sSubPr>
          <m:e>
            <m:r>
              <w:rPr>
                <w:rFonts w:ascii="Cambria Math" w:hAnsi="Cambria Math" w:cstheme="minorHAnsi"/>
                <w:sz w:val="24"/>
              </w:rPr>
              <m:t>L</m:t>
            </m:r>
          </m:e>
          <m:sub>
            <m:r>
              <w:rPr>
                <w:rFonts w:ascii="Cambria Math" w:hAnsi="Cambria Math" w:cstheme="minorHAnsi"/>
                <w:sz w:val="24"/>
              </w:rPr>
              <m:t>red</m:t>
            </m:r>
          </m:sub>
        </m:sSub>
      </m:oMath>
      <w:r w:rsidRPr="00E14F31">
        <w:rPr>
          <w:rFonts w:asciiTheme="minorHAnsi" w:hAnsiTheme="minorHAnsi" w:cstheme="minorHAnsi"/>
          <w:sz w:val="24"/>
        </w:rPr>
        <w:t xml:space="preserve"> en la ubicación correspondiente mediante la interpolación espacial de los valores calculados de </w:t>
      </w:r>
      <m:oMath>
        <m:sSub>
          <m:sSubPr>
            <m:ctrlPr>
              <w:rPr>
                <w:rFonts w:ascii="Cambria Math" w:hAnsi="Cambria Math" w:cstheme="minorHAnsi"/>
                <w:i/>
                <w:sz w:val="24"/>
              </w:rPr>
            </m:ctrlPr>
          </m:sSubPr>
          <m:e>
            <m:r>
              <w:rPr>
                <w:rFonts w:ascii="Cambria Math" w:hAnsi="Cambria Math" w:cstheme="minorHAnsi"/>
                <w:sz w:val="24"/>
              </w:rPr>
              <m:t>L</m:t>
            </m:r>
          </m:e>
          <m:sub>
            <m:r>
              <w:rPr>
                <w:rFonts w:ascii="Cambria Math" w:hAnsi="Cambria Math" w:cstheme="minorHAnsi"/>
                <w:sz w:val="24"/>
              </w:rPr>
              <m:t>red</m:t>
            </m:r>
          </m:sub>
        </m:sSub>
      </m:oMath>
      <w:r w:rsidRPr="00E14F31">
        <w:rPr>
          <w:rFonts w:asciiTheme="minorHAnsi" w:hAnsiTheme="minorHAnsi" w:cstheme="minorHAnsi"/>
          <w:sz w:val="24"/>
        </w:rPr>
        <w:t xml:space="preserve"> en los cuatro puntos de la cuadrícula circundantes).</w:t>
      </w:r>
    </w:p>
    <w:p w:rsidR="001A0EA4" w:rsidRPr="00E14F31" w:rsidRDefault="001A0EA4" w:rsidP="001A0EA4">
      <w:pPr>
        <w:rPr>
          <w:sz w:val="24"/>
          <w:szCs w:val="24"/>
        </w:rPr>
      </w:pPr>
      <w:r w:rsidRPr="00E14F31">
        <w:rPr>
          <w:sz w:val="24"/>
          <w:szCs w:val="24"/>
        </w:rPr>
        <w:t>En la Sección 4 de UIT</w:t>
      </w:r>
      <w:r w:rsidRPr="00E14F31">
        <w:rPr>
          <w:sz w:val="24"/>
          <w:szCs w:val="28"/>
        </w:rPr>
        <w:t>-R P.840-7 se facilitan los valores de</w:t>
      </w:r>
      <w:r w:rsidRPr="00E14F31">
        <w:rPr>
          <w:sz w:val="24"/>
          <w:szCs w:val="24"/>
        </w:rPr>
        <w:t xml:space="preserve"> </w:t>
      </w:r>
      <w:r w:rsidRPr="00E14F31">
        <w:rPr>
          <w:i/>
          <w:sz w:val="24"/>
          <w:szCs w:val="24"/>
        </w:rPr>
        <w:t>m</w:t>
      </w:r>
      <w:proofErr w:type="gramStart"/>
      <w:r w:rsidRPr="00E14F31">
        <w:rPr>
          <w:i/>
          <w:sz w:val="24"/>
          <w:szCs w:val="24"/>
        </w:rPr>
        <w:t>, </w:t>
      </w:r>
      <w:r w:rsidRPr="00E14F31">
        <w:rPr>
          <w:sz w:val="24"/>
          <w:szCs w:val="24"/>
        </w:rPr>
        <w:sym w:font="Symbol" w:char="F073"/>
      </w:r>
      <w:r w:rsidRPr="00E14F31">
        <w:rPr>
          <w:i/>
          <w:sz w:val="24"/>
          <w:szCs w:val="24"/>
        </w:rPr>
        <w:t>,</w:t>
      </w:r>
      <w:proofErr w:type="gramEnd"/>
      <w:r w:rsidRPr="00E14F31">
        <w:rPr>
          <w:i/>
          <w:sz w:val="24"/>
          <w:szCs w:val="24"/>
        </w:rPr>
        <w:t xml:space="preserve"> </w:t>
      </w:r>
      <w:r w:rsidRPr="00E14F31">
        <w:rPr>
          <w:sz w:val="24"/>
          <w:szCs w:val="24"/>
        </w:rPr>
        <w:t>y</w:t>
      </w:r>
      <w:r w:rsidRPr="00E14F31">
        <w:rPr>
          <w:i/>
          <w:sz w:val="24"/>
          <w:szCs w:val="24"/>
        </w:rPr>
        <w:t xml:space="preserve"> P</w:t>
      </w:r>
      <w:r w:rsidRPr="00E14F31">
        <w:rPr>
          <w:i/>
          <w:sz w:val="24"/>
          <w:szCs w:val="24"/>
          <w:vertAlign w:val="subscript"/>
        </w:rPr>
        <w:t xml:space="preserve">CLW </w:t>
      </w:r>
      <w:r w:rsidRPr="00E14F31">
        <w:rPr>
          <w:sz w:val="24"/>
          <w:szCs w:val="24"/>
        </w:rPr>
        <w:t xml:space="preserve">en la ubicación deseada que necesita el generador de series temporales de atenuación debida a las nubes de la Recomendación UIT-R P.1853; el valor asociado de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red</m:t>
            </m:r>
          </m:sub>
        </m:sSub>
      </m:oMath>
      <w:r w:rsidRPr="00E14F31">
        <w:rPr>
          <w:sz w:val="24"/>
          <w:szCs w:val="24"/>
        </w:rPr>
        <w:t xml:space="preserve"> se presenta como referencia. En todos los demás casos, para calcular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red</m:t>
            </m:r>
          </m:sub>
        </m:sSub>
      </m:oMath>
      <w:r w:rsidRPr="00E14F31">
        <w:rPr>
          <w:sz w:val="24"/>
          <w:szCs w:val="24"/>
        </w:rPr>
        <w:t xml:space="preserve"> deberá utilizarse la Sección 3, en lugar del cálculo aproximativo de la Sección 4.</w:t>
      </w:r>
    </w:p>
    <w:p w:rsidR="001A0EA4" w:rsidRPr="00E14F31" w:rsidRDefault="001A0EA4" w:rsidP="001A0EA4">
      <w:pPr>
        <w:rPr>
          <w:sz w:val="24"/>
          <w:szCs w:val="24"/>
        </w:rPr>
      </w:pPr>
      <w:r w:rsidRPr="00E14F31">
        <w:rPr>
          <w:sz w:val="24"/>
          <w:szCs w:val="28"/>
        </w:rPr>
        <w:t>Este Anexo sustituye a la Sección 4 en su integridad.</w:t>
      </w:r>
    </w:p>
    <w:p w:rsidR="001A0EA4" w:rsidRPr="001835CF" w:rsidRDefault="001A0EA4" w:rsidP="001A0EA4">
      <w:pPr>
        <w:pStyle w:val="Reasons"/>
        <w:rPr>
          <w:lang w:val="es-ES_tradnl"/>
        </w:rPr>
      </w:pPr>
    </w:p>
    <w:p w:rsidR="001A0EA4" w:rsidRPr="001835CF" w:rsidRDefault="001A0EA4" w:rsidP="001A0EA4">
      <w:pPr>
        <w:jc w:val="center"/>
      </w:pPr>
      <w:r w:rsidRPr="001835CF">
        <w:t>______________</w:t>
      </w:r>
    </w:p>
    <w:sectPr w:rsidR="001A0EA4" w:rsidRPr="001835CF"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05" w:rsidRDefault="007E0705">
      <w:r>
        <w:separator/>
      </w:r>
    </w:p>
  </w:endnote>
  <w:endnote w:type="continuationSeparator" w:id="0">
    <w:p w:rsidR="007E0705" w:rsidRDefault="007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AD" w:rsidRPr="00F66AB5" w:rsidRDefault="005776AD" w:rsidP="005776AD">
    <w:pPr>
      <w:pStyle w:val="FirstFooter"/>
      <w:spacing w:line="240" w:lineRule="auto"/>
      <w:ind w:left="-397" w:right="-397"/>
      <w:jc w:val="center"/>
      <w:rPr>
        <w:sz w:val="18"/>
        <w:szCs w:val="18"/>
      </w:rPr>
    </w:pPr>
    <w:r w:rsidRPr="00F66AB5">
      <w:rPr>
        <w:sz w:val="18"/>
        <w:szCs w:val="18"/>
      </w:rPr>
      <w:t xml:space="preserve">Unión Internacional de Telecomunicaciones • Place des </w:t>
    </w:r>
    <w:proofErr w:type="spellStart"/>
    <w:r w:rsidRPr="00F66AB5">
      <w:rPr>
        <w:sz w:val="18"/>
        <w:szCs w:val="18"/>
      </w:rPr>
      <w:t>Nations</w:t>
    </w:r>
    <w:proofErr w:type="spellEnd"/>
    <w:r w:rsidRPr="00F66AB5">
      <w:rPr>
        <w:sz w:val="18"/>
        <w:szCs w:val="18"/>
      </w:rPr>
      <w:t xml:space="preserve"> • CH</w:t>
    </w:r>
    <w:r w:rsidRPr="00F66AB5">
      <w:rPr>
        <w:sz w:val="18"/>
        <w:szCs w:val="18"/>
      </w:rPr>
      <w:noBreakHyphen/>
      <w:t>1211 Ginebra 20 • Suiza</w:t>
    </w:r>
    <w:r w:rsidRPr="00F66AB5">
      <w:rPr>
        <w:sz w:val="18"/>
        <w:szCs w:val="18"/>
      </w:rPr>
      <w:br/>
      <w:t xml:space="preserve">Tel: +41 22 730 5111 • Fax: +41 22 733 7256 • Correo-e: </w:t>
    </w:r>
    <w:hyperlink r:id="rId1" w:history="1">
      <w:r w:rsidRPr="00F66AB5">
        <w:rPr>
          <w:rStyle w:val="Hyperlink"/>
          <w:sz w:val="18"/>
          <w:szCs w:val="18"/>
        </w:rPr>
        <w:t>itumail@itu.int</w:t>
      </w:r>
    </w:hyperlink>
    <w:r w:rsidRPr="00F66AB5">
      <w:rPr>
        <w:sz w:val="18"/>
        <w:szCs w:val="18"/>
      </w:rPr>
      <w:t xml:space="preserve"> • </w:t>
    </w:r>
    <w:hyperlink r:id="rId2" w:history="1">
      <w:r w:rsidRPr="00F66AB5">
        <w:rPr>
          <w:rStyle w:val="Hyperlink"/>
          <w:sz w:val="18"/>
          <w:szCs w:val="18"/>
        </w:rPr>
        <w:t>www.itu.int</w:t>
      </w:r>
    </w:hyperlink>
    <w:r w:rsidRPr="00F66AB5">
      <w:rPr>
        <w:sz w:val="18"/>
        <w:szCs w:val="18"/>
      </w:rPr>
      <w:t xml:space="preserve"> </w:t>
    </w:r>
    <w:r w:rsidR="009B0DB7" w:rsidRPr="00F66AB5">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05" w:rsidRDefault="007E0705">
      <w:r>
        <w:t>____________________</w:t>
      </w:r>
    </w:p>
  </w:footnote>
  <w:footnote w:type="continuationSeparator" w:id="0">
    <w:p w:rsidR="007E0705" w:rsidRDefault="007E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85CFE" w:rsidRDefault="00D15CFA" w:rsidP="00D85CFE">
    <w:pPr>
      <w:pStyle w:val="Header"/>
      <w:jc w:val="center"/>
      <w:rPr>
        <w:sz w:val="18"/>
        <w:szCs w:val="18"/>
      </w:rPr>
    </w:pPr>
    <w:r w:rsidRPr="00D85CFE">
      <w:rPr>
        <w:sz w:val="18"/>
        <w:szCs w:val="18"/>
      </w:rPr>
      <w:t xml:space="preserve">- </w:t>
    </w:r>
    <w:r w:rsidR="00026CF8" w:rsidRPr="00D85CFE">
      <w:rPr>
        <w:rStyle w:val="PageNumber"/>
        <w:rFonts w:cs="Calibri"/>
        <w:sz w:val="18"/>
        <w:szCs w:val="18"/>
      </w:rPr>
      <w:fldChar w:fldCharType="begin"/>
    </w:r>
    <w:r w:rsidR="00026CF8" w:rsidRPr="00D85CFE">
      <w:rPr>
        <w:rStyle w:val="PageNumber"/>
        <w:rFonts w:cs="Calibri"/>
        <w:sz w:val="18"/>
        <w:szCs w:val="18"/>
      </w:rPr>
      <w:instrText xml:space="preserve"> PAGE </w:instrText>
    </w:r>
    <w:r w:rsidR="00026CF8" w:rsidRPr="00D85CFE">
      <w:rPr>
        <w:rStyle w:val="PageNumber"/>
        <w:rFonts w:cs="Calibri"/>
        <w:sz w:val="18"/>
        <w:szCs w:val="18"/>
      </w:rPr>
      <w:fldChar w:fldCharType="separate"/>
    </w:r>
    <w:r w:rsidR="001C2B03">
      <w:rPr>
        <w:rStyle w:val="PageNumber"/>
        <w:rFonts w:cs="Calibri"/>
        <w:noProof/>
        <w:sz w:val="18"/>
        <w:szCs w:val="18"/>
      </w:rPr>
      <w:t>4</w:t>
    </w:r>
    <w:r w:rsidR="00026CF8" w:rsidRPr="00D85CFE">
      <w:rPr>
        <w:rStyle w:val="PageNumber"/>
        <w:rFonts w:cs="Calibri"/>
        <w:sz w:val="18"/>
        <w:szCs w:val="18"/>
      </w:rPr>
      <w:fldChar w:fldCharType="end"/>
    </w:r>
    <w:r w:rsidRPr="00D85CFE">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52" w:rsidRPr="00D85CFE" w:rsidRDefault="00F31C52" w:rsidP="00D85CFE">
    <w:pPr>
      <w:pStyle w:val="Header"/>
      <w:jc w:val="center"/>
      <w:rPr>
        <w:sz w:val="18"/>
        <w:szCs w:val="18"/>
      </w:rPr>
    </w:pPr>
    <w:r w:rsidRPr="00D85CFE">
      <w:rPr>
        <w:sz w:val="18"/>
        <w:szCs w:val="18"/>
      </w:rPr>
      <w:t xml:space="preserve">- </w:t>
    </w:r>
    <w:r w:rsidRPr="00D85CFE">
      <w:rPr>
        <w:rStyle w:val="PageNumber"/>
        <w:rFonts w:cs="Calibri"/>
        <w:sz w:val="18"/>
        <w:szCs w:val="18"/>
      </w:rPr>
      <w:fldChar w:fldCharType="begin"/>
    </w:r>
    <w:r w:rsidRPr="00D85CFE">
      <w:rPr>
        <w:rStyle w:val="PageNumber"/>
        <w:rFonts w:cs="Calibri"/>
        <w:sz w:val="18"/>
        <w:szCs w:val="18"/>
      </w:rPr>
      <w:instrText xml:space="preserve"> PAGE </w:instrText>
    </w:r>
    <w:r w:rsidRPr="00D85CFE">
      <w:rPr>
        <w:rStyle w:val="PageNumber"/>
        <w:rFonts w:cs="Calibri"/>
        <w:sz w:val="18"/>
        <w:szCs w:val="18"/>
      </w:rPr>
      <w:fldChar w:fldCharType="separate"/>
    </w:r>
    <w:r w:rsidR="001C2B03">
      <w:rPr>
        <w:rStyle w:val="PageNumber"/>
        <w:rFonts w:cs="Calibri"/>
        <w:noProof/>
        <w:sz w:val="18"/>
        <w:szCs w:val="18"/>
      </w:rPr>
      <w:t>3</w:t>
    </w:r>
    <w:r w:rsidRPr="00D85CFE">
      <w:rPr>
        <w:rStyle w:val="PageNumber"/>
        <w:rFonts w:cs="Calibri"/>
        <w:sz w:val="18"/>
        <w:szCs w:val="18"/>
      </w:rPr>
      <w:fldChar w:fldCharType="end"/>
    </w:r>
    <w:r w:rsidRPr="00D85CFE">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0968E9" w:rsidRPr="000968E9" w:rsidTr="001A74B5">
      <w:tc>
        <w:tcPr>
          <w:tcW w:w="4800" w:type="dxa"/>
          <w:noWrap/>
          <w:tcMar>
            <w:left w:w="0" w:type="dxa"/>
          </w:tcMar>
        </w:tcPr>
        <w:p w:rsidR="000968E9" w:rsidRPr="000968E9" w:rsidRDefault="000968E9" w:rsidP="000968E9">
          <w:pPr>
            <w:tabs>
              <w:tab w:val="clear" w:pos="1191"/>
              <w:tab w:val="clear" w:pos="1588"/>
              <w:tab w:val="clear" w:pos="1985"/>
              <w:tab w:val="center" w:pos="4820"/>
              <w:tab w:val="center" w:pos="9639"/>
            </w:tabs>
            <w:spacing w:before="120" w:line="360" w:lineRule="auto"/>
            <w:jc w:val="left"/>
            <w:rPr>
              <w:sz w:val="24"/>
              <w:lang w:val="en-US"/>
            </w:rPr>
          </w:pPr>
          <w:r w:rsidRPr="000968E9">
            <w:rPr>
              <w:noProof/>
              <w:color w:val="3399FF"/>
              <w:sz w:val="24"/>
              <w:lang w:val="en-GB" w:eastAsia="zh-CN"/>
            </w:rPr>
            <w:drawing>
              <wp:inline distT="0" distB="0" distL="0" distR="0" wp14:anchorId="2118D26C" wp14:editId="504D2CD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0968E9" w:rsidRPr="000968E9" w:rsidRDefault="000968E9" w:rsidP="000968E9">
          <w:pPr>
            <w:tabs>
              <w:tab w:val="clear" w:pos="1191"/>
              <w:tab w:val="clear" w:pos="1588"/>
              <w:tab w:val="clear" w:pos="1985"/>
              <w:tab w:val="center" w:pos="4820"/>
              <w:tab w:val="center" w:pos="9639"/>
            </w:tabs>
            <w:spacing w:before="240" w:line="360" w:lineRule="auto"/>
            <w:jc w:val="right"/>
            <w:rPr>
              <w:sz w:val="24"/>
              <w:lang w:val="en-US"/>
            </w:rPr>
          </w:pPr>
          <w:r w:rsidRPr="000968E9">
            <w:rPr>
              <w:noProof/>
              <w:sz w:val="24"/>
              <w:lang w:val="en-GB" w:eastAsia="zh-CN"/>
            </w:rPr>
            <w:drawing>
              <wp:inline distT="0" distB="0" distL="0" distR="0" wp14:anchorId="3BBED388" wp14:editId="22C5D98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E0705"/>
    <w:rsid w:val="00010E30"/>
    <w:rsid w:val="00026CF8"/>
    <w:rsid w:val="00031E64"/>
    <w:rsid w:val="00040DF5"/>
    <w:rsid w:val="00054534"/>
    <w:rsid w:val="00070258"/>
    <w:rsid w:val="00072B9B"/>
    <w:rsid w:val="00072E16"/>
    <w:rsid w:val="0007323C"/>
    <w:rsid w:val="00086D03"/>
    <w:rsid w:val="00094683"/>
    <w:rsid w:val="000968E9"/>
    <w:rsid w:val="000A7051"/>
    <w:rsid w:val="000B1E09"/>
    <w:rsid w:val="000B2A41"/>
    <w:rsid w:val="000C03C7"/>
    <w:rsid w:val="000D786F"/>
    <w:rsid w:val="000E3DEE"/>
    <w:rsid w:val="000E5E18"/>
    <w:rsid w:val="00103C76"/>
    <w:rsid w:val="00105660"/>
    <w:rsid w:val="0011265F"/>
    <w:rsid w:val="00145AA2"/>
    <w:rsid w:val="0016308F"/>
    <w:rsid w:val="00196710"/>
    <w:rsid w:val="00197324"/>
    <w:rsid w:val="001A0EA4"/>
    <w:rsid w:val="001A417F"/>
    <w:rsid w:val="001B1CE8"/>
    <w:rsid w:val="001C2B03"/>
    <w:rsid w:val="001D7070"/>
    <w:rsid w:val="001F5A49"/>
    <w:rsid w:val="00200936"/>
    <w:rsid w:val="00201097"/>
    <w:rsid w:val="00201B6E"/>
    <w:rsid w:val="002240B2"/>
    <w:rsid w:val="00235A29"/>
    <w:rsid w:val="00247066"/>
    <w:rsid w:val="00276146"/>
    <w:rsid w:val="002861E6"/>
    <w:rsid w:val="002A2700"/>
    <w:rsid w:val="002D3428"/>
    <w:rsid w:val="002D6688"/>
    <w:rsid w:val="002F0890"/>
    <w:rsid w:val="003044B5"/>
    <w:rsid w:val="003370B8"/>
    <w:rsid w:val="00337394"/>
    <w:rsid w:val="00350BBA"/>
    <w:rsid w:val="003519FA"/>
    <w:rsid w:val="003666FF"/>
    <w:rsid w:val="003741EE"/>
    <w:rsid w:val="003A4DB5"/>
    <w:rsid w:val="003B2BDA"/>
    <w:rsid w:val="003B55EC"/>
    <w:rsid w:val="003C4471"/>
    <w:rsid w:val="003E504F"/>
    <w:rsid w:val="00400AF2"/>
    <w:rsid w:val="00405EAD"/>
    <w:rsid w:val="004326DB"/>
    <w:rsid w:val="0043682E"/>
    <w:rsid w:val="00437A87"/>
    <w:rsid w:val="004815EB"/>
    <w:rsid w:val="004919DC"/>
    <w:rsid w:val="00496920"/>
    <w:rsid w:val="004B7C9A"/>
    <w:rsid w:val="004E0DC4"/>
    <w:rsid w:val="004E0FB5"/>
    <w:rsid w:val="004E43BB"/>
    <w:rsid w:val="004F178E"/>
    <w:rsid w:val="004F6466"/>
    <w:rsid w:val="00505309"/>
    <w:rsid w:val="0050789B"/>
    <w:rsid w:val="00515771"/>
    <w:rsid w:val="00542A47"/>
    <w:rsid w:val="005430D3"/>
    <w:rsid w:val="00543DF8"/>
    <w:rsid w:val="00546101"/>
    <w:rsid w:val="00553DD7"/>
    <w:rsid w:val="00566E38"/>
    <w:rsid w:val="0057469A"/>
    <w:rsid w:val="005776AD"/>
    <w:rsid w:val="00580814"/>
    <w:rsid w:val="005A03A3"/>
    <w:rsid w:val="005B214C"/>
    <w:rsid w:val="005D3518"/>
    <w:rsid w:val="00602D53"/>
    <w:rsid w:val="00621E6C"/>
    <w:rsid w:val="00650346"/>
    <w:rsid w:val="00651777"/>
    <w:rsid w:val="0067458B"/>
    <w:rsid w:val="00674F4F"/>
    <w:rsid w:val="006B0590"/>
    <w:rsid w:val="006B49DA"/>
    <w:rsid w:val="006C18EB"/>
    <w:rsid w:val="00700636"/>
    <w:rsid w:val="00707216"/>
    <w:rsid w:val="007234B1"/>
    <w:rsid w:val="00730B9A"/>
    <w:rsid w:val="00783681"/>
    <w:rsid w:val="00786E9F"/>
    <w:rsid w:val="007921A7"/>
    <w:rsid w:val="007A5C27"/>
    <w:rsid w:val="007B3DB1"/>
    <w:rsid w:val="007D183E"/>
    <w:rsid w:val="007E0705"/>
    <w:rsid w:val="007E304D"/>
    <w:rsid w:val="007E3F13"/>
    <w:rsid w:val="007E480E"/>
    <w:rsid w:val="00800012"/>
    <w:rsid w:val="00813653"/>
    <w:rsid w:val="0081513E"/>
    <w:rsid w:val="00823210"/>
    <w:rsid w:val="00843445"/>
    <w:rsid w:val="00847D46"/>
    <w:rsid w:val="00854131"/>
    <w:rsid w:val="0085652D"/>
    <w:rsid w:val="0087694B"/>
    <w:rsid w:val="008C2623"/>
    <w:rsid w:val="008F4F21"/>
    <w:rsid w:val="00904D4A"/>
    <w:rsid w:val="009151BA"/>
    <w:rsid w:val="009277BC"/>
    <w:rsid w:val="00927D57"/>
    <w:rsid w:val="00941D23"/>
    <w:rsid w:val="0095010C"/>
    <w:rsid w:val="00963D9D"/>
    <w:rsid w:val="00976AAD"/>
    <w:rsid w:val="00981B54"/>
    <w:rsid w:val="009842C3"/>
    <w:rsid w:val="009A6BB6"/>
    <w:rsid w:val="009B0DB7"/>
    <w:rsid w:val="009B3F43"/>
    <w:rsid w:val="009C161F"/>
    <w:rsid w:val="009E4AEC"/>
    <w:rsid w:val="009E5BD8"/>
    <w:rsid w:val="009E681E"/>
    <w:rsid w:val="00A34D6F"/>
    <w:rsid w:val="00A41F91"/>
    <w:rsid w:val="00A9168B"/>
    <w:rsid w:val="00A963DF"/>
    <w:rsid w:val="00AC3896"/>
    <w:rsid w:val="00AE6CFA"/>
    <w:rsid w:val="00AF3325"/>
    <w:rsid w:val="00B20E09"/>
    <w:rsid w:val="00B3122B"/>
    <w:rsid w:val="00B34CF9"/>
    <w:rsid w:val="00B67004"/>
    <w:rsid w:val="00B90C45"/>
    <w:rsid w:val="00B933BE"/>
    <w:rsid w:val="00BB4069"/>
    <w:rsid w:val="00BD580E"/>
    <w:rsid w:val="00BD7E5E"/>
    <w:rsid w:val="00BE6574"/>
    <w:rsid w:val="00C0495F"/>
    <w:rsid w:val="00C17C22"/>
    <w:rsid w:val="00C42DD7"/>
    <w:rsid w:val="00C57E2C"/>
    <w:rsid w:val="00C608B7"/>
    <w:rsid w:val="00C66F24"/>
    <w:rsid w:val="00C71C8D"/>
    <w:rsid w:val="00C764BA"/>
    <w:rsid w:val="00C9291E"/>
    <w:rsid w:val="00CA3F44"/>
    <w:rsid w:val="00CA4E58"/>
    <w:rsid w:val="00CB3771"/>
    <w:rsid w:val="00CB5153"/>
    <w:rsid w:val="00CC0DA0"/>
    <w:rsid w:val="00CF62B6"/>
    <w:rsid w:val="00CF6752"/>
    <w:rsid w:val="00D029CF"/>
    <w:rsid w:val="00D10BA0"/>
    <w:rsid w:val="00D15CFA"/>
    <w:rsid w:val="00D2339B"/>
    <w:rsid w:val="00D24EB5"/>
    <w:rsid w:val="00D37589"/>
    <w:rsid w:val="00D41571"/>
    <w:rsid w:val="00D416A0"/>
    <w:rsid w:val="00D47672"/>
    <w:rsid w:val="00D509E3"/>
    <w:rsid w:val="00D5123C"/>
    <w:rsid w:val="00D51C9E"/>
    <w:rsid w:val="00D55560"/>
    <w:rsid w:val="00D61C5A"/>
    <w:rsid w:val="00D85CFE"/>
    <w:rsid w:val="00DB3A18"/>
    <w:rsid w:val="00DC003B"/>
    <w:rsid w:val="00DE050D"/>
    <w:rsid w:val="00DE66A5"/>
    <w:rsid w:val="00DF2B50"/>
    <w:rsid w:val="00DF3D10"/>
    <w:rsid w:val="00E003F5"/>
    <w:rsid w:val="00E04C86"/>
    <w:rsid w:val="00E14F31"/>
    <w:rsid w:val="00E20F30"/>
    <w:rsid w:val="00E27BBA"/>
    <w:rsid w:val="00E34CD1"/>
    <w:rsid w:val="00E35E8F"/>
    <w:rsid w:val="00E438E8"/>
    <w:rsid w:val="00E520E2"/>
    <w:rsid w:val="00E64254"/>
    <w:rsid w:val="00E72FE6"/>
    <w:rsid w:val="00E7474D"/>
    <w:rsid w:val="00E77ED9"/>
    <w:rsid w:val="00EA15B3"/>
    <w:rsid w:val="00EB2358"/>
    <w:rsid w:val="00EB3EB8"/>
    <w:rsid w:val="00F31C52"/>
    <w:rsid w:val="00F42C8C"/>
    <w:rsid w:val="00F468C5"/>
    <w:rsid w:val="00F51F3E"/>
    <w:rsid w:val="00F52F39"/>
    <w:rsid w:val="00F55EAB"/>
    <w:rsid w:val="00F914DD"/>
    <w:rsid w:val="00F938C0"/>
    <w:rsid w:val="00FA2358"/>
    <w:rsid w:val="00FB2592"/>
    <w:rsid w:val="00FB2810"/>
    <w:rsid w:val="00FC2947"/>
    <w:rsid w:val="00FD63D4"/>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15:docId w15:val="{0D5415CF-5AC5-47AF-BEE2-86D809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7E0705"/>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uiPriority w:val="99"/>
    <w:locked/>
    <w:rsid w:val="007E0705"/>
    <w:rPr>
      <w:szCs w:val="22"/>
      <w:lang w:val="es-ES_tradnl" w:eastAsia="en-US"/>
    </w:rPr>
  </w:style>
  <w:style w:type="character" w:customStyle="1" w:styleId="TableheadChar">
    <w:name w:val="Table_head Char"/>
    <w:basedOn w:val="DefaultParagraphFont"/>
    <w:link w:val="Tablehead"/>
    <w:uiPriority w:val="99"/>
    <w:locked/>
    <w:rsid w:val="007E0705"/>
    <w:rPr>
      <w:b/>
      <w:szCs w:val="22"/>
      <w:lang w:val="es-ES_tradnl" w:eastAsia="en-US"/>
    </w:rPr>
  </w:style>
  <w:style w:type="paragraph" w:customStyle="1" w:styleId="Reasons">
    <w:name w:val="Reasons"/>
    <w:basedOn w:val="Normal"/>
    <w:qFormat/>
    <w:rsid w:val="007E07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styleId="ListParagraph">
    <w:name w:val="List Paragraph"/>
    <w:basedOn w:val="Normal"/>
    <w:uiPriority w:val="34"/>
    <w:qFormat/>
    <w:rsid w:val="005776AD"/>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sgd@itu.int"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SG03-C-0095/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R15-SG03-C/en" TargetMode="Externa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41</TotalTime>
  <Pages>4</Pages>
  <Words>1047</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Limousin, Catherine</cp:lastModifiedBy>
  <cp:revision>17</cp:revision>
  <cp:lastPrinted>2019-06-12T14:00:00Z</cp:lastPrinted>
  <dcterms:created xsi:type="dcterms:W3CDTF">2019-06-10T09:02:00Z</dcterms:created>
  <dcterms:modified xsi:type="dcterms:W3CDTF">2019-06-13T07:53:00Z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