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D76916"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0C36EF">
            <w:pPr>
              <w:spacing w:before="0"/>
              <w:jc w:val="left"/>
              <w:rPr>
                <w:b/>
                <w:bCs/>
                <w:sz w:val="28"/>
                <w:szCs w:val="28"/>
                <w:lang w:val="fr-CH"/>
              </w:rPr>
            </w:pPr>
            <w:r w:rsidRPr="00773F7E">
              <w:rPr>
                <w:b/>
                <w:bCs/>
                <w:szCs w:val="24"/>
                <w:lang w:val="fr-CH"/>
              </w:rPr>
              <w:t>CA</w:t>
            </w:r>
            <w:r w:rsidR="00416FE8">
              <w:rPr>
                <w:b/>
                <w:bCs/>
                <w:szCs w:val="24"/>
                <w:lang w:val="fr-CH"/>
              </w:rPr>
              <w:t>CE</w:t>
            </w:r>
            <w:r w:rsidRPr="00773F7E">
              <w:rPr>
                <w:b/>
                <w:bCs/>
                <w:szCs w:val="24"/>
                <w:lang w:val="fr-CH"/>
              </w:rPr>
              <w:t>/</w:t>
            </w:r>
            <w:r w:rsidR="00502E20">
              <w:rPr>
                <w:b/>
                <w:bCs/>
                <w:szCs w:val="24"/>
                <w:lang w:val="fr-CH"/>
              </w:rPr>
              <w:t>904</w:t>
            </w:r>
          </w:p>
        </w:tc>
        <w:tc>
          <w:tcPr>
            <w:tcW w:w="2835" w:type="dxa"/>
            <w:shd w:val="clear" w:color="auto" w:fill="auto"/>
          </w:tcPr>
          <w:p w:rsidR="00E53DCE" w:rsidRPr="00416FE8" w:rsidRDefault="00D76916" w:rsidP="00502E20">
            <w:pPr>
              <w:spacing w:before="0"/>
              <w:jc w:val="right"/>
              <w:rPr>
                <w:sz w:val="28"/>
                <w:szCs w:val="28"/>
                <w:lang w:val="fr-CH"/>
              </w:rPr>
            </w:pPr>
            <w:r>
              <w:rPr>
                <w:szCs w:val="24"/>
                <w:lang w:val="fr-CH"/>
              </w:rPr>
              <w:t>L</w:t>
            </w:r>
            <w:r w:rsidR="00E53DCE" w:rsidRPr="00416FE8">
              <w:rPr>
                <w:szCs w:val="24"/>
                <w:lang w:val="fr-CH"/>
              </w:rPr>
              <w:t xml:space="preserve">e </w:t>
            </w:r>
            <w:sdt>
              <w:sdtPr>
                <w:rPr>
                  <w:rFonts w:cs="Arial"/>
                  <w:szCs w:val="24"/>
                  <w:lang w:val="fr-CH"/>
                </w:rPr>
                <w:alias w:val="Date"/>
                <w:tag w:val="Date"/>
                <w:id w:val="444659277"/>
                <w:placeholder>
                  <w:docPart w:val="C0A2D85B2FC847AF97C2EAA1E9F82E44"/>
                </w:placeholder>
                <w:date>
                  <w:dateFormat w:val="d MMMM yyyy"/>
                  <w:lid w:val="fr-FR"/>
                  <w:storeMappedDataAs w:val="date"/>
                  <w:calendar w:val="gregorian"/>
                </w:date>
              </w:sdtPr>
              <w:sdtEndPr/>
              <w:sdtContent>
                <w:r w:rsidR="00502E20">
                  <w:rPr>
                    <w:rFonts w:cs="Arial"/>
                    <w:szCs w:val="24"/>
                    <w:lang w:val="fr-CH"/>
                  </w:rPr>
                  <w:t>14 juin 2019</w:t>
                </w:r>
              </w:sdtContent>
            </w:sdt>
          </w:p>
        </w:tc>
      </w:tr>
      <w:tr w:rsidR="00E53DCE" w:rsidRPr="00D76916" w:rsidTr="004228FA">
        <w:trPr>
          <w:jc w:val="center"/>
        </w:trPr>
        <w:tc>
          <w:tcPr>
            <w:tcW w:w="9889" w:type="dxa"/>
            <w:gridSpan w:val="3"/>
            <w:shd w:val="clear" w:color="auto" w:fill="auto"/>
          </w:tcPr>
          <w:p w:rsidR="00E53DCE" w:rsidRPr="00416FE8" w:rsidRDefault="00E53DCE" w:rsidP="006160CB">
            <w:pPr>
              <w:spacing w:before="0"/>
              <w:jc w:val="left"/>
              <w:rPr>
                <w:rFonts w:cs="Arial"/>
                <w:szCs w:val="24"/>
                <w:lang w:val="fr-CH"/>
              </w:rPr>
            </w:pPr>
          </w:p>
        </w:tc>
      </w:tr>
      <w:tr w:rsidR="00E53DCE" w:rsidRPr="00D76916" w:rsidTr="004228FA">
        <w:trPr>
          <w:jc w:val="center"/>
        </w:trPr>
        <w:tc>
          <w:tcPr>
            <w:tcW w:w="9889" w:type="dxa"/>
            <w:gridSpan w:val="3"/>
            <w:shd w:val="clear" w:color="auto" w:fill="auto"/>
          </w:tcPr>
          <w:p w:rsidR="00E53DCE" w:rsidRPr="00416FE8" w:rsidRDefault="00E53DCE" w:rsidP="006160CB">
            <w:pPr>
              <w:spacing w:before="0"/>
              <w:jc w:val="left"/>
              <w:rPr>
                <w:szCs w:val="24"/>
                <w:lang w:val="fr-CH"/>
              </w:rPr>
            </w:pPr>
          </w:p>
        </w:tc>
      </w:tr>
      <w:tr w:rsidR="00E53DCE" w:rsidRPr="00E14FB0" w:rsidTr="004228FA">
        <w:trPr>
          <w:jc w:val="center"/>
        </w:trPr>
        <w:tc>
          <w:tcPr>
            <w:tcW w:w="9889" w:type="dxa"/>
            <w:gridSpan w:val="3"/>
            <w:shd w:val="clear" w:color="auto" w:fill="auto"/>
          </w:tcPr>
          <w:p w:rsidR="00E53DCE" w:rsidRPr="00773F7E" w:rsidRDefault="00EE1A57" w:rsidP="00502E20">
            <w:pPr>
              <w:spacing w:before="0"/>
              <w:jc w:val="left"/>
              <w:rPr>
                <w:b/>
                <w:bCs/>
                <w:szCs w:val="24"/>
                <w:lang w:val="fr-CH"/>
              </w:rPr>
            </w:pPr>
            <w:r w:rsidRPr="002569F7">
              <w:rPr>
                <w:b/>
                <w:bCs/>
                <w:szCs w:val="24"/>
                <w:lang w:val="fr-CH"/>
              </w:rPr>
              <w:t xml:space="preserve">Aux Administrations des </w:t>
            </w:r>
            <w:proofErr w:type="spellStart"/>
            <w:r w:rsidRPr="002569F7">
              <w:rPr>
                <w:b/>
                <w:bCs/>
                <w:szCs w:val="24"/>
                <w:lang w:val="fr-CH"/>
              </w:rPr>
              <w:t>Etats</w:t>
            </w:r>
            <w:proofErr w:type="spellEnd"/>
            <w:r w:rsidRPr="002569F7">
              <w:rPr>
                <w:b/>
                <w:bCs/>
                <w:szCs w:val="24"/>
                <w:lang w:val="fr-CH"/>
              </w:rPr>
              <w:t xml:space="preserve"> Membres de l'UIT</w:t>
            </w:r>
            <w:r w:rsidR="00416FE8" w:rsidRPr="005622AB">
              <w:rPr>
                <w:b/>
                <w:lang w:val="fr-CH"/>
              </w:rPr>
              <w:t>, aux Membres du Secteur des radiocommunications, aux Associés de l'UIT-R participa</w:t>
            </w:r>
            <w:r w:rsidR="00416FE8">
              <w:rPr>
                <w:b/>
                <w:lang w:val="fr-CH"/>
              </w:rPr>
              <w:t>nt aux travaux de la Commission</w:t>
            </w:r>
            <w:r w:rsidR="00D76916">
              <w:rPr>
                <w:b/>
                <w:lang w:val="fr-CH"/>
              </w:rPr>
              <w:t xml:space="preserve"> </w:t>
            </w:r>
            <w:r w:rsidR="00416FE8" w:rsidRPr="005622AB">
              <w:rPr>
                <w:b/>
                <w:lang w:val="fr-CH"/>
              </w:rPr>
              <w:t>d'études</w:t>
            </w:r>
            <w:r w:rsidR="00D76916">
              <w:rPr>
                <w:b/>
                <w:lang w:val="fr-CH"/>
              </w:rPr>
              <w:t> </w:t>
            </w:r>
            <w:r w:rsidR="00502E20">
              <w:rPr>
                <w:b/>
                <w:lang w:val="fr-CH"/>
              </w:rPr>
              <w:t>3</w:t>
            </w:r>
            <w:r w:rsidR="00416FE8" w:rsidRPr="005622AB">
              <w:rPr>
                <w:b/>
                <w:lang w:val="fr-CH"/>
              </w:rPr>
              <w:t xml:space="preserve"> des radiocommunications et aux </w:t>
            </w:r>
            <w:r w:rsidR="00416FE8">
              <w:rPr>
                <w:b/>
                <w:lang w:val="fr-CH"/>
              </w:rPr>
              <w:t>é</w:t>
            </w:r>
            <w:r w:rsidR="00416FE8" w:rsidRPr="005622AB">
              <w:rPr>
                <w:b/>
                <w:lang w:val="fr-CH"/>
              </w:rPr>
              <w:t>tablissements universitaire</w:t>
            </w:r>
            <w:r w:rsidR="00416FE8">
              <w:rPr>
                <w:b/>
                <w:lang w:val="fr-CH"/>
              </w:rPr>
              <w:t>s</w:t>
            </w:r>
            <w:r w:rsidR="00416FE8" w:rsidRPr="0022079C">
              <w:rPr>
                <w:b/>
                <w:lang w:val="fr-CH"/>
              </w:rPr>
              <w:t xml:space="preserve"> </w:t>
            </w:r>
            <w:r w:rsidR="00416FE8" w:rsidRPr="005622AB">
              <w:rPr>
                <w:b/>
                <w:lang w:val="fr-CH"/>
              </w:rPr>
              <w:t>participa</w:t>
            </w:r>
            <w:r w:rsidR="00416FE8">
              <w:rPr>
                <w:b/>
                <w:lang w:val="fr-CH"/>
              </w:rPr>
              <w:t>nt aux travaux</w:t>
            </w:r>
            <w:r w:rsidR="00416FE8" w:rsidRPr="005622AB">
              <w:rPr>
                <w:b/>
                <w:lang w:val="fr-CH"/>
              </w:rPr>
              <w:t xml:space="preserve"> de l'UIT</w:t>
            </w:r>
          </w:p>
        </w:tc>
      </w:tr>
      <w:tr w:rsidR="00E53DCE" w:rsidRPr="00E14FB0"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E14FB0"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E14FB0" w:rsidTr="004228FA">
        <w:trPr>
          <w:jc w:val="center"/>
        </w:trPr>
        <w:tc>
          <w:tcPr>
            <w:tcW w:w="1526" w:type="dxa"/>
            <w:shd w:val="clear" w:color="auto" w:fill="auto"/>
          </w:tcPr>
          <w:p w:rsidR="00E53DCE" w:rsidRPr="00416FE8" w:rsidRDefault="003471C9" w:rsidP="006160CB">
            <w:pPr>
              <w:tabs>
                <w:tab w:val="clear" w:pos="1588"/>
                <w:tab w:val="left" w:pos="1560"/>
              </w:tabs>
              <w:spacing w:before="0"/>
              <w:jc w:val="left"/>
              <w:rPr>
                <w:szCs w:val="24"/>
                <w:lang w:val="fr-CH"/>
              </w:rPr>
            </w:pPr>
            <w:r>
              <w:rPr>
                <w:lang w:val="fr-CH"/>
              </w:rPr>
              <w:t>Objet</w:t>
            </w:r>
            <w:r w:rsidR="00E53DCE" w:rsidRPr="00416FE8">
              <w:rPr>
                <w:szCs w:val="24"/>
                <w:lang w:val="fr-CH"/>
              </w:rPr>
              <w:t>:</w:t>
            </w:r>
          </w:p>
        </w:tc>
        <w:tc>
          <w:tcPr>
            <w:tcW w:w="8363" w:type="dxa"/>
            <w:gridSpan w:val="2"/>
            <w:vMerge w:val="restart"/>
            <w:shd w:val="clear" w:color="auto" w:fill="auto"/>
          </w:tcPr>
          <w:p w:rsidR="00416FE8" w:rsidRPr="005622AB" w:rsidRDefault="00502E20" w:rsidP="00515850">
            <w:pPr>
              <w:tabs>
                <w:tab w:val="clear" w:pos="794"/>
                <w:tab w:val="clear" w:pos="1191"/>
                <w:tab w:val="clear" w:pos="1588"/>
                <w:tab w:val="clear" w:pos="1985"/>
              </w:tabs>
              <w:spacing w:before="0"/>
              <w:jc w:val="left"/>
              <w:rPr>
                <w:b/>
                <w:bCs/>
                <w:lang w:val="fr-CH"/>
              </w:rPr>
            </w:pPr>
            <w:r>
              <w:rPr>
                <w:b/>
                <w:bCs/>
                <w:lang w:val="fr-CH"/>
              </w:rPr>
              <w:t>Commission d'études 3</w:t>
            </w:r>
            <w:r w:rsidR="00416FE8" w:rsidRPr="005622AB">
              <w:rPr>
                <w:b/>
                <w:bCs/>
                <w:lang w:val="fr-CH"/>
              </w:rPr>
              <w:t xml:space="preserve"> des radiocommunications</w:t>
            </w:r>
            <w:r w:rsidR="00416FE8">
              <w:rPr>
                <w:b/>
                <w:bCs/>
                <w:lang w:val="fr-CH"/>
              </w:rPr>
              <w:t xml:space="preserve"> (</w:t>
            </w:r>
            <w:r>
              <w:rPr>
                <w:b/>
                <w:bCs/>
                <w:lang w:val="fr-CH"/>
              </w:rPr>
              <w:t>Propagation des ondes radioélectriques</w:t>
            </w:r>
            <w:r w:rsidR="00416FE8">
              <w:rPr>
                <w:b/>
                <w:bCs/>
                <w:lang w:val="fr-CH"/>
              </w:rPr>
              <w:t>)</w:t>
            </w:r>
          </w:p>
          <w:p w:rsidR="00946607" w:rsidRPr="00F748BA" w:rsidRDefault="00416FE8" w:rsidP="007E177B">
            <w:pPr>
              <w:pStyle w:val="enumlev1"/>
              <w:tabs>
                <w:tab w:val="clear" w:pos="794"/>
                <w:tab w:val="left" w:pos="493"/>
              </w:tabs>
              <w:jc w:val="left"/>
              <w:rPr>
                <w:b/>
                <w:bCs/>
                <w:lang w:val="fr-CH"/>
              </w:rPr>
            </w:pPr>
            <w:r w:rsidRPr="00416FE8">
              <w:rPr>
                <w:b/>
                <w:bCs/>
                <w:lang w:val="fr-CH"/>
              </w:rPr>
              <w:t>–</w:t>
            </w:r>
            <w:r w:rsidRPr="00416FE8">
              <w:rPr>
                <w:b/>
                <w:bCs/>
                <w:lang w:val="fr-CH"/>
              </w:rPr>
              <w:tab/>
            </w:r>
            <w:r w:rsidR="00F748BA" w:rsidRPr="00CB3366">
              <w:rPr>
                <w:b/>
                <w:bCs/>
                <w:lang w:val="fr-CH"/>
              </w:rPr>
              <w:t xml:space="preserve">Proposition </w:t>
            </w:r>
            <w:r w:rsidR="00946607">
              <w:rPr>
                <w:b/>
                <w:bCs/>
                <w:lang w:val="fr-CH"/>
              </w:rPr>
              <w:t xml:space="preserve">d'approbation de </w:t>
            </w:r>
            <w:r w:rsidR="00502E20">
              <w:rPr>
                <w:b/>
                <w:bCs/>
                <w:lang w:val="fr-CH"/>
              </w:rPr>
              <w:t xml:space="preserve">5 </w:t>
            </w:r>
            <w:r w:rsidR="00946607">
              <w:rPr>
                <w:b/>
                <w:bCs/>
                <w:lang w:val="fr-CH"/>
              </w:rPr>
              <w:t>projet</w:t>
            </w:r>
            <w:r w:rsidR="00071DF6">
              <w:rPr>
                <w:b/>
                <w:bCs/>
                <w:lang w:val="fr-CH"/>
              </w:rPr>
              <w:t>s</w:t>
            </w:r>
            <w:r w:rsidR="00946607">
              <w:rPr>
                <w:b/>
                <w:bCs/>
                <w:lang w:val="fr-CH"/>
              </w:rPr>
              <w:t xml:space="preserve"> de </w:t>
            </w:r>
            <w:r w:rsidR="003D0676">
              <w:rPr>
                <w:b/>
                <w:bCs/>
                <w:lang w:val="fr-CH"/>
              </w:rPr>
              <w:t>Recommandation</w:t>
            </w:r>
            <w:r w:rsidR="00F748BA" w:rsidRPr="00CB3366">
              <w:rPr>
                <w:b/>
                <w:bCs/>
                <w:lang w:val="fr-CH"/>
              </w:rPr>
              <w:t xml:space="preserve"> </w:t>
            </w:r>
            <w:r w:rsidR="00F748BA">
              <w:rPr>
                <w:b/>
                <w:bCs/>
                <w:lang w:val="fr-CH"/>
              </w:rPr>
              <w:t xml:space="preserve">UIT-R </w:t>
            </w:r>
            <w:r w:rsidR="00F748BA" w:rsidRPr="00CB3366">
              <w:rPr>
                <w:b/>
                <w:bCs/>
                <w:lang w:val="fr-CH"/>
              </w:rPr>
              <w:t>révisée</w:t>
            </w:r>
          </w:p>
        </w:tc>
      </w:tr>
      <w:tr w:rsidR="00E53DCE" w:rsidRPr="00E14FB0"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E14FB0"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E14FB0" w:rsidTr="004228FA">
        <w:trPr>
          <w:jc w:val="center"/>
        </w:trPr>
        <w:tc>
          <w:tcPr>
            <w:tcW w:w="9889" w:type="dxa"/>
            <w:gridSpan w:val="3"/>
            <w:shd w:val="clear" w:color="auto" w:fill="auto"/>
          </w:tcPr>
          <w:p w:rsidR="00E53DCE" w:rsidRPr="00416FE8" w:rsidRDefault="00E53DCE" w:rsidP="00E53DCE">
            <w:pPr>
              <w:tabs>
                <w:tab w:val="clear" w:pos="1588"/>
                <w:tab w:val="left" w:pos="1560"/>
              </w:tabs>
              <w:spacing w:before="0"/>
              <w:jc w:val="left"/>
              <w:rPr>
                <w:szCs w:val="24"/>
                <w:lang w:val="fr-CH"/>
              </w:rPr>
            </w:pPr>
          </w:p>
        </w:tc>
      </w:tr>
      <w:tr w:rsidR="00E53DCE" w:rsidRPr="00E14FB0" w:rsidTr="004228FA">
        <w:trPr>
          <w:jc w:val="center"/>
        </w:trPr>
        <w:tc>
          <w:tcPr>
            <w:tcW w:w="9889" w:type="dxa"/>
            <w:gridSpan w:val="3"/>
            <w:shd w:val="clear" w:color="auto" w:fill="auto"/>
          </w:tcPr>
          <w:p w:rsidR="00E53DCE" w:rsidRPr="00416FE8" w:rsidRDefault="00E53DCE" w:rsidP="006160CB">
            <w:pPr>
              <w:spacing w:before="0"/>
              <w:jc w:val="left"/>
              <w:rPr>
                <w:b/>
                <w:bCs/>
                <w:szCs w:val="24"/>
                <w:lang w:val="fr-CH"/>
              </w:rPr>
            </w:pPr>
          </w:p>
        </w:tc>
      </w:tr>
    </w:tbl>
    <w:p w:rsidR="002A695D" w:rsidRDefault="002A695D" w:rsidP="00515850">
      <w:pPr>
        <w:rPr>
          <w:lang w:val="fr-CH"/>
        </w:rPr>
      </w:pPr>
      <w:r>
        <w:rPr>
          <w:lang w:val="fr-CH"/>
        </w:rPr>
        <w:t>A s</w:t>
      </w:r>
      <w:r w:rsidRPr="0010038F">
        <w:rPr>
          <w:lang w:val="fr-CH"/>
        </w:rPr>
        <w:t xml:space="preserve">a réunion </w:t>
      </w:r>
      <w:r w:rsidRPr="0083107E">
        <w:rPr>
          <w:lang w:val="fr-CH"/>
        </w:rPr>
        <w:t xml:space="preserve">tenue </w:t>
      </w:r>
      <w:r w:rsidR="00502E20">
        <w:rPr>
          <w:lang w:val="fr-CH"/>
        </w:rPr>
        <w:t>le 24 mai 2019</w:t>
      </w:r>
      <w:r w:rsidRPr="0083107E">
        <w:rPr>
          <w:lang w:val="fr-CH"/>
        </w:rPr>
        <w:t>, la Commission d</w:t>
      </w:r>
      <w:r>
        <w:rPr>
          <w:lang w:val="fr-CH"/>
        </w:rPr>
        <w:t>'</w:t>
      </w:r>
      <w:r w:rsidRPr="0083107E">
        <w:rPr>
          <w:lang w:val="fr-CH"/>
        </w:rPr>
        <w:t xml:space="preserve">études </w:t>
      </w:r>
      <w:r w:rsidR="00502E20">
        <w:rPr>
          <w:lang w:val="fr-CH"/>
        </w:rPr>
        <w:t>3</w:t>
      </w:r>
      <w:r>
        <w:rPr>
          <w:lang w:val="fr-CH"/>
        </w:rPr>
        <w:t xml:space="preserve"> des radiocommunications </w:t>
      </w:r>
      <w:r w:rsidRPr="0083107E">
        <w:rPr>
          <w:lang w:val="fr-CH"/>
        </w:rPr>
        <w:t>a adopté le</w:t>
      </w:r>
      <w:r>
        <w:rPr>
          <w:lang w:val="fr-CH"/>
        </w:rPr>
        <w:t>s</w:t>
      </w:r>
      <w:r w:rsidRPr="0083107E">
        <w:rPr>
          <w:lang w:val="fr-CH"/>
        </w:rPr>
        <w:t xml:space="preserve"> </w:t>
      </w:r>
      <w:r w:rsidR="00502E20">
        <w:rPr>
          <w:lang w:val="fr-CH"/>
        </w:rPr>
        <w:t>5</w:t>
      </w:r>
      <w:r>
        <w:rPr>
          <w:lang w:val="fr-CH"/>
        </w:rPr>
        <w:t xml:space="preserve"> </w:t>
      </w:r>
      <w:r w:rsidRPr="0083107E">
        <w:rPr>
          <w:lang w:val="fr-CH"/>
        </w:rPr>
        <w:t>projets de Recommandation</w:t>
      </w:r>
      <w:r w:rsidRPr="002A695D">
        <w:rPr>
          <w:lang w:val="fr-CH"/>
        </w:rPr>
        <w:t xml:space="preserve"> </w:t>
      </w:r>
      <w:r w:rsidRPr="000B0A53">
        <w:rPr>
          <w:lang w:val="fr-CH"/>
        </w:rPr>
        <w:t>UIT-R</w:t>
      </w:r>
      <w:r w:rsidRPr="0083107E">
        <w:rPr>
          <w:lang w:val="fr-CH"/>
        </w:rPr>
        <w:t xml:space="preserve"> révisée et </w:t>
      </w:r>
      <w:r>
        <w:rPr>
          <w:lang w:val="fr-CH"/>
        </w:rPr>
        <w:t>a décidé d'appliquer la procédure prévue dans la Résolution UIT-R 1-7 (voir le § </w:t>
      </w:r>
      <w:r w:rsidRPr="002A695D">
        <w:rPr>
          <w:lang w:val="fr-CH"/>
        </w:rPr>
        <w:t>A2.6.2.3</w:t>
      </w:r>
      <w:r w:rsidRPr="0083107E">
        <w:rPr>
          <w:lang w:val="fr-CH"/>
        </w:rPr>
        <w:t>) pour l</w:t>
      </w:r>
      <w:r>
        <w:rPr>
          <w:lang w:val="fr-CH"/>
        </w:rPr>
        <w:t>'</w:t>
      </w:r>
      <w:r w:rsidRPr="0083107E">
        <w:rPr>
          <w:lang w:val="fr-CH"/>
        </w:rPr>
        <w:t>approbation d</w:t>
      </w:r>
      <w:r>
        <w:rPr>
          <w:lang w:val="fr-CH"/>
        </w:rPr>
        <w:t xml:space="preserve">es </w:t>
      </w:r>
      <w:r w:rsidRPr="0083107E">
        <w:rPr>
          <w:lang w:val="fr-CH"/>
        </w:rPr>
        <w:t xml:space="preserve">Recommandations par consultation. </w:t>
      </w:r>
      <w:r w:rsidR="00515850">
        <w:rPr>
          <w:lang w:val="fr-CH"/>
        </w:rPr>
        <w:t>L</w:t>
      </w:r>
      <w:r w:rsidRPr="0083107E">
        <w:rPr>
          <w:lang w:val="fr-CH"/>
        </w:rPr>
        <w:t>e</w:t>
      </w:r>
      <w:r>
        <w:rPr>
          <w:lang w:val="fr-CH"/>
        </w:rPr>
        <w:t>s</w:t>
      </w:r>
      <w:r w:rsidRPr="0083107E">
        <w:rPr>
          <w:lang w:val="fr-CH"/>
        </w:rPr>
        <w:t xml:space="preserve"> titre</w:t>
      </w:r>
      <w:r w:rsidR="00515850">
        <w:rPr>
          <w:lang w:val="fr-CH"/>
        </w:rPr>
        <w:t>s</w:t>
      </w:r>
      <w:r w:rsidRPr="0083107E">
        <w:rPr>
          <w:lang w:val="fr-CH"/>
        </w:rPr>
        <w:t xml:space="preserve"> et résumé</w:t>
      </w:r>
      <w:r>
        <w:rPr>
          <w:lang w:val="fr-CH"/>
        </w:rPr>
        <w:t>s</w:t>
      </w:r>
      <w:r w:rsidRPr="0083107E">
        <w:rPr>
          <w:lang w:val="fr-CH"/>
        </w:rPr>
        <w:t xml:space="preserve"> de ces projets de Recommandation sont donnés </w:t>
      </w:r>
      <w:r>
        <w:rPr>
          <w:lang w:val="fr-CH"/>
        </w:rPr>
        <w:t xml:space="preserve">dans </w:t>
      </w:r>
      <w:r w:rsidRPr="00A12B99">
        <w:rPr>
          <w:lang w:val="fr-CH"/>
        </w:rPr>
        <w:t>l'Annexe</w:t>
      </w:r>
      <w:r>
        <w:rPr>
          <w:lang w:val="fr-CH"/>
        </w:rPr>
        <w:t xml:space="preserve"> de la présente Circulaire.</w:t>
      </w:r>
      <w:r w:rsidRPr="000B0A53">
        <w:rPr>
          <w:lang w:val="fr-CH"/>
        </w:rPr>
        <w:t xml:space="preserve"> </w:t>
      </w:r>
      <w:r w:rsidRPr="008C61E2">
        <w:rPr>
          <w:lang w:val="fr-CH"/>
        </w:rPr>
        <w:t>Un Etat Membre qui soulève une objection au sujet de l'a</w:t>
      </w:r>
      <w:r>
        <w:rPr>
          <w:lang w:val="fr-CH"/>
        </w:rPr>
        <w:t>pprobation</w:t>
      </w:r>
      <w:r w:rsidRPr="008C61E2">
        <w:rPr>
          <w:lang w:val="fr-CH"/>
        </w:rPr>
        <w:t xml:space="preserve"> d'un projet de Recommandation est prié d'informer le Directeur et le Président de la Commission d'études des raisons de cette objection.</w:t>
      </w:r>
    </w:p>
    <w:p w:rsidR="002A695D" w:rsidRPr="0010038F" w:rsidRDefault="002A695D" w:rsidP="00502E20">
      <w:pPr>
        <w:rPr>
          <w:lang w:val="fr-CH"/>
        </w:rPr>
      </w:pPr>
      <w:r w:rsidRPr="0010038F">
        <w:rPr>
          <w:lang w:val="fr-CH"/>
        </w:rPr>
        <w:t>Co</w:t>
      </w:r>
      <w:r>
        <w:rPr>
          <w:lang w:val="fr-CH"/>
        </w:rPr>
        <w:t>mpte tenu des dispositions du § </w:t>
      </w:r>
      <w:r w:rsidRPr="002A695D">
        <w:rPr>
          <w:lang w:val="fr-CH"/>
        </w:rPr>
        <w:t xml:space="preserve">A2.6.2.3 </w:t>
      </w:r>
      <w:r>
        <w:rPr>
          <w:lang w:val="fr-CH"/>
        </w:rPr>
        <w:t xml:space="preserve">de la Résolution UIT-R 1-7, les </w:t>
      </w:r>
      <w:proofErr w:type="spellStart"/>
      <w:r>
        <w:rPr>
          <w:lang w:val="fr-CH"/>
        </w:rPr>
        <w:t>Etats</w:t>
      </w:r>
      <w:proofErr w:type="spellEnd"/>
      <w:r>
        <w:rPr>
          <w:lang w:val="fr-CH"/>
        </w:rPr>
        <w:t xml:space="preserve"> Membres sont priés de </w:t>
      </w:r>
      <w:r w:rsidRPr="0010038F">
        <w:rPr>
          <w:lang w:val="fr-CH"/>
        </w:rPr>
        <w:t>faire savoir au Secrétariat (</w:t>
      </w:r>
      <w:hyperlink r:id="rId8" w:history="1">
        <w:r w:rsidRPr="0010038F">
          <w:rPr>
            <w:rStyle w:val="Hyperlink"/>
            <w:lang w:val="fr-CH"/>
          </w:rPr>
          <w:t>brsgd@itu.int</w:t>
        </w:r>
      </w:hyperlink>
      <w:r w:rsidRPr="0010038F">
        <w:rPr>
          <w:lang w:val="fr-CH"/>
        </w:rPr>
        <w:t xml:space="preserve">), au plus tard le </w:t>
      </w:r>
      <w:r w:rsidR="00E14FB0">
        <w:rPr>
          <w:lang w:val="fr-CH"/>
        </w:rPr>
        <w:t>1</w:t>
      </w:r>
      <w:r w:rsidR="00502E20">
        <w:rPr>
          <w:lang w:val="fr-CH"/>
        </w:rPr>
        <w:t>4 août 2019</w:t>
      </w:r>
      <w:r w:rsidRPr="0010038F">
        <w:rPr>
          <w:lang w:val="fr-CH"/>
        </w:rPr>
        <w:t xml:space="preserve">, </w:t>
      </w:r>
      <w:r>
        <w:rPr>
          <w:lang w:val="fr-CH"/>
        </w:rPr>
        <w:t>s'ils approuvent ou non les propositions ci-dessus</w:t>
      </w:r>
      <w:r w:rsidRPr="0010038F">
        <w:rPr>
          <w:lang w:val="fr-CH"/>
        </w:rPr>
        <w:t>.</w:t>
      </w:r>
    </w:p>
    <w:p w:rsidR="002A695D" w:rsidRDefault="002A695D" w:rsidP="00502E20">
      <w:pPr>
        <w:rPr>
          <w:lang w:val="fr-CH"/>
        </w:rPr>
      </w:pPr>
      <w:r w:rsidRPr="0083107E">
        <w:rPr>
          <w:lang w:val="fr-CH"/>
        </w:rPr>
        <w:t xml:space="preserve">Après la date limite mentionnée ci-dessus, les résultats de la présente consultation seront communiqués dans une Circulaire administrative et </w:t>
      </w:r>
      <w:r w:rsidR="00502E20">
        <w:rPr>
          <w:lang w:val="fr-CH"/>
        </w:rPr>
        <w:t>les Recommandations</w:t>
      </w:r>
      <w:r>
        <w:rPr>
          <w:lang w:val="fr-CH"/>
        </w:rPr>
        <w:t xml:space="preserve"> </w:t>
      </w:r>
      <w:r w:rsidR="00502E20">
        <w:rPr>
          <w:lang w:val="fr-CH"/>
        </w:rPr>
        <w:t>seront publiées</w:t>
      </w:r>
      <w:r>
        <w:rPr>
          <w:lang w:val="fr-CH"/>
        </w:rPr>
        <w:t xml:space="preserve"> dans les meilleurs délais </w:t>
      </w:r>
      <w:r w:rsidRPr="00EE4B86">
        <w:rPr>
          <w:lang w:val="fr-CH"/>
        </w:rPr>
        <w:t>(</w:t>
      </w:r>
      <w:r>
        <w:rPr>
          <w:lang w:val="fr-CH"/>
        </w:rPr>
        <w:t xml:space="preserve">voir </w:t>
      </w:r>
      <w:hyperlink r:id="rId9" w:history="1">
        <w:r w:rsidRPr="00EE4B86">
          <w:rPr>
            <w:rStyle w:val="Hyperlink"/>
            <w:lang w:val="fr-CH"/>
          </w:rPr>
          <w:t>http://www.itu.int/pub/R-REC</w:t>
        </w:r>
      </w:hyperlink>
      <w:r w:rsidRPr="00EE4B86">
        <w:rPr>
          <w:lang w:val="fr-CH"/>
        </w:rPr>
        <w:t>).</w:t>
      </w:r>
    </w:p>
    <w:p w:rsidR="00502E20" w:rsidRDefault="00502E20">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1E5403" w:rsidRPr="003F582C" w:rsidRDefault="002A695D" w:rsidP="00D76916">
      <w:pPr>
        <w:keepNext/>
        <w:keepLines/>
        <w:rPr>
          <w:lang w:val="fr-CH"/>
        </w:rPr>
      </w:pPr>
      <w:r w:rsidRPr="003F582C">
        <w:rPr>
          <w:spacing w:val="-4"/>
          <w:lang w:val="fr-CH"/>
        </w:rPr>
        <w:lastRenderedPageBreak/>
        <w:t>Toute organisation membre de l'UIT ayant connaissance d'un brevet détenu en son sein ou par</w:t>
      </w:r>
      <w:r w:rsidR="00D76916" w:rsidRPr="003F582C">
        <w:rPr>
          <w:spacing w:val="-4"/>
          <w:lang w:val="fr-CH"/>
        </w:rPr>
        <w:t xml:space="preserve"> </w:t>
      </w:r>
      <w:r w:rsidRPr="003F582C">
        <w:rPr>
          <w:spacing w:val="-4"/>
          <w:lang w:val="fr-CH"/>
        </w:rPr>
        <w:t>d'autres organismes, et susceptible de se rapporter complètement ou en partie à des éléments</w:t>
      </w:r>
      <w:r w:rsidR="00D76916" w:rsidRPr="003F582C">
        <w:rPr>
          <w:spacing w:val="-4"/>
          <w:lang w:val="fr-CH"/>
        </w:rPr>
        <w:t xml:space="preserve"> </w:t>
      </w:r>
      <w:r w:rsidRPr="003F582C">
        <w:rPr>
          <w:spacing w:val="-4"/>
          <w:lang w:val="fr-CH"/>
        </w:rPr>
        <w:t>d'un ou des projets de Recommandation</w:t>
      </w:r>
      <w:r w:rsidR="00502E20" w:rsidRPr="003F582C">
        <w:rPr>
          <w:spacing w:val="-4"/>
          <w:lang w:val="fr-CH"/>
        </w:rPr>
        <w:t>s</w:t>
      </w:r>
      <w:r w:rsidRPr="003F582C">
        <w:rPr>
          <w:spacing w:val="-4"/>
          <w:lang w:val="fr-CH"/>
        </w:rPr>
        <w:t xml:space="preserve"> mentionnés dans la présente lettre, est priée de</w:t>
      </w:r>
      <w:r w:rsidR="00D76916" w:rsidRPr="003F582C">
        <w:rPr>
          <w:spacing w:val="-4"/>
          <w:lang w:val="fr-CH"/>
        </w:rPr>
        <w:t xml:space="preserve"> </w:t>
      </w:r>
      <w:r w:rsidRPr="003F582C">
        <w:rPr>
          <w:spacing w:val="-4"/>
          <w:lang w:val="fr-CH"/>
        </w:rPr>
        <w:t xml:space="preserve">transmettre lesdites informations au Secrétariat, dans les meilleurs délais. La politique commune en matière de brevets de </w:t>
      </w:r>
      <w:r w:rsidRPr="003F582C">
        <w:rPr>
          <w:lang w:val="fr-CH"/>
        </w:rPr>
        <w:t>l'UIT</w:t>
      </w:r>
      <w:r w:rsidRPr="003F582C">
        <w:rPr>
          <w:lang w:val="fr-CH"/>
        </w:rPr>
        <w:noBreakHyphen/>
        <w:t>T/UIT</w:t>
      </w:r>
      <w:r w:rsidRPr="003F582C">
        <w:rPr>
          <w:lang w:val="fr-CH"/>
        </w:rPr>
        <w:noBreakHyphen/>
        <w:t xml:space="preserve">R/ISO/CEI est disponible à l'adresse: </w:t>
      </w:r>
      <w:hyperlink r:id="rId10" w:history="1">
        <w:r w:rsidRPr="003F582C">
          <w:rPr>
            <w:rStyle w:val="Hyperlink"/>
            <w:lang w:val="fr-CH"/>
          </w:rPr>
          <w:t>http://www.itu.int/en/ITU-T/ipr/Pages/policy.aspx</w:t>
        </w:r>
      </w:hyperlink>
      <w:r w:rsidRPr="003F582C">
        <w:rPr>
          <w:lang w:val="fr-CH"/>
        </w:rPr>
        <w:t>.</w:t>
      </w:r>
    </w:p>
    <w:p w:rsidR="002569F7" w:rsidRDefault="00B76E35" w:rsidP="003F582C">
      <w:pPr>
        <w:keepNext/>
        <w:keepLines/>
        <w:spacing w:before="1400" w:line="240" w:lineRule="auto"/>
        <w:jc w:val="left"/>
        <w:rPr>
          <w:szCs w:val="24"/>
          <w:lang w:val="fr-FR"/>
        </w:rPr>
      </w:pPr>
      <w:r w:rsidRPr="00502E20">
        <w:rPr>
          <w:szCs w:val="24"/>
          <w:lang w:val="fr-FR"/>
        </w:rPr>
        <w:t xml:space="preserve">Mario </w:t>
      </w:r>
      <w:proofErr w:type="spellStart"/>
      <w:r w:rsidRPr="00502E20">
        <w:rPr>
          <w:szCs w:val="24"/>
          <w:lang w:val="fr-FR"/>
        </w:rPr>
        <w:t>Maniewicz</w:t>
      </w:r>
      <w:proofErr w:type="spellEnd"/>
      <w:r w:rsidR="00E53DCE" w:rsidRPr="00773F7E">
        <w:rPr>
          <w:szCs w:val="24"/>
          <w:lang w:val="fr-FR"/>
        </w:rPr>
        <w:br/>
        <w:t xml:space="preserve">Directeur </w:t>
      </w:r>
    </w:p>
    <w:p w:rsidR="00C3556B" w:rsidRDefault="00C3556B" w:rsidP="002569F7">
      <w:pPr>
        <w:spacing w:before="0" w:line="240" w:lineRule="auto"/>
        <w:jc w:val="left"/>
        <w:rPr>
          <w:szCs w:val="24"/>
          <w:lang w:val="fr-FR"/>
        </w:rPr>
      </w:pPr>
    </w:p>
    <w:p w:rsidR="001E5403" w:rsidRDefault="001E5403" w:rsidP="002569F7">
      <w:pPr>
        <w:spacing w:before="0" w:line="240" w:lineRule="auto"/>
        <w:jc w:val="left"/>
        <w:rPr>
          <w:szCs w:val="24"/>
          <w:lang w:val="fr-FR"/>
        </w:rPr>
      </w:pPr>
    </w:p>
    <w:p w:rsidR="001E5403" w:rsidRDefault="001E5403" w:rsidP="002569F7">
      <w:pPr>
        <w:spacing w:before="0" w:line="240" w:lineRule="auto"/>
        <w:jc w:val="left"/>
        <w:rPr>
          <w:szCs w:val="24"/>
          <w:lang w:val="fr-FR"/>
        </w:rPr>
      </w:pPr>
    </w:p>
    <w:p w:rsidR="002A695D" w:rsidRDefault="002A695D" w:rsidP="003F582C">
      <w:pPr>
        <w:rPr>
          <w:bCs/>
          <w:lang w:val="fr-CH"/>
        </w:rPr>
      </w:pPr>
      <w:r w:rsidRPr="002A695D">
        <w:rPr>
          <w:b/>
          <w:bCs/>
          <w:lang w:val="fr-CH"/>
        </w:rPr>
        <w:t>Annexe:</w:t>
      </w:r>
      <w:r w:rsidR="00D76916">
        <w:rPr>
          <w:b/>
          <w:bCs/>
          <w:lang w:val="fr-CH"/>
        </w:rPr>
        <w:tab/>
      </w:r>
      <w:r w:rsidRPr="00B44E23">
        <w:rPr>
          <w:bCs/>
          <w:lang w:val="fr-CH"/>
        </w:rPr>
        <w:t>Titre</w:t>
      </w:r>
      <w:r w:rsidR="007E177B">
        <w:rPr>
          <w:bCs/>
          <w:lang w:val="fr-CH"/>
        </w:rPr>
        <w:t>s</w:t>
      </w:r>
      <w:r w:rsidRPr="00B44E23">
        <w:rPr>
          <w:bCs/>
          <w:lang w:val="fr-CH"/>
        </w:rPr>
        <w:t xml:space="preserve"> et résumé</w:t>
      </w:r>
      <w:r w:rsidR="007E177B">
        <w:rPr>
          <w:bCs/>
          <w:lang w:val="fr-CH"/>
        </w:rPr>
        <w:t>s</w:t>
      </w:r>
      <w:r w:rsidR="00502E20">
        <w:rPr>
          <w:bCs/>
          <w:lang w:val="fr-CH"/>
        </w:rPr>
        <w:t xml:space="preserve"> d</w:t>
      </w:r>
      <w:r w:rsidRPr="00B44E23">
        <w:rPr>
          <w:bCs/>
          <w:lang w:val="fr-CH"/>
        </w:rPr>
        <w:t>es projet</w:t>
      </w:r>
      <w:r w:rsidR="00502E20">
        <w:rPr>
          <w:bCs/>
          <w:lang w:val="fr-CH"/>
        </w:rPr>
        <w:t>s</w:t>
      </w:r>
      <w:r w:rsidRPr="00B44E23">
        <w:rPr>
          <w:bCs/>
          <w:lang w:val="fr-CH"/>
        </w:rPr>
        <w:t xml:space="preserve"> de Recommandation</w:t>
      </w:r>
    </w:p>
    <w:p w:rsidR="003F582C" w:rsidRPr="00B44E23" w:rsidRDefault="003F582C" w:rsidP="003F582C">
      <w:pPr>
        <w:rPr>
          <w:bCs/>
          <w:lang w:val="fr-CH"/>
        </w:rPr>
      </w:pPr>
    </w:p>
    <w:p w:rsidR="00502E20" w:rsidRPr="00515013" w:rsidRDefault="00B44E23" w:rsidP="007E177B">
      <w:pPr>
        <w:tabs>
          <w:tab w:val="center" w:pos="7939"/>
          <w:tab w:val="right" w:pos="8505"/>
        </w:tabs>
        <w:rPr>
          <w:lang w:val="fr-CH"/>
        </w:rPr>
      </w:pPr>
      <w:r>
        <w:rPr>
          <w:b/>
          <w:bCs/>
          <w:lang w:val="fr-CH"/>
        </w:rPr>
        <w:t>Documents</w:t>
      </w:r>
      <w:r w:rsidR="002A695D" w:rsidRPr="00005977">
        <w:rPr>
          <w:b/>
          <w:bCs/>
          <w:lang w:val="fr-CH"/>
        </w:rPr>
        <w:t>:</w:t>
      </w:r>
      <w:r w:rsidR="00502E20" w:rsidRPr="0035674D">
        <w:rPr>
          <w:b/>
          <w:lang w:val="fr-CH"/>
        </w:rPr>
        <w:t xml:space="preserve"> </w:t>
      </w:r>
      <w:r w:rsidR="00502E20">
        <w:rPr>
          <w:b/>
          <w:lang w:val="fr-CH"/>
        </w:rPr>
        <w:tab/>
      </w:r>
      <w:r w:rsidR="00502E20" w:rsidRPr="0035674D">
        <w:rPr>
          <w:lang w:val="fr-CH"/>
        </w:rPr>
        <w:t xml:space="preserve">Documents </w:t>
      </w:r>
      <w:r w:rsidR="00502E20" w:rsidRPr="00515013">
        <w:rPr>
          <w:rStyle w:val="Hyperlink"/>
          <w:color w:val="auto"/>
          <w:u w:val="none"/>
          <w:lang w:val="fr-CH"/>
        </w:rPr>
        <w:t>3/93</w:t>
      </w:r>
      <w:r w:rsidR="00502E20" w:rsidRPr="00515013">
        <w:rPr>
          <w:lang w:val="fr-CH"/>
        </w:rPr>
        <w:t xml:space="preserve">, </w:t>
      </w:r>
      <w:r w:rsidR="00502E20" w:rsidRPr="00515013">
        <w:rPr>
          <w:rStyle w:val="Hyperlink"/>
          <w:color w:val="auto"/>
          <w:u w:val="none"/>
          <w:lang w:val="fr-CH"/>
        </w:rPr>
        <w:t>3/94(Rev.1)</w:t>
      </w:r>
      <w:r w:rsidR="00502E20" w:rsidRPr="00515013">
        <w:rPr>
          <w:lang w:val="fr-CH"/>
        </w:rPr>
        <w:t xml:space="preserve">, </w:t>
      </w:r>
      <w:r w:rsidR="00502E20" w:rsidRPr="00515013">
        <w:rPr>
          <w:rStyle w:val="Hyperlink"/>
          <w:color w:val="auto"/>
          <w:u w:val="none"/>
          <w:lang w:val="fr-CH"/>
        </w:rPr>
        <w:t>3/95(Rev.1)</w:t>
      </w:r>
      <w:r w:rsidR="00502E20" w:rsidRPr="00515013">
        <w:rPr>
          <w:lang w:val="fr-CH"/>
        </w:rPr>
        <w:t xml:space="preserve">, </w:t>
      </w:r>
      <w:r w:rsidR="00502E20" w:rsidRPr="00515013">
        <w:rPr>
          <w:rStyle w:val="Hyperlink"/>
          <w:color w:val="auto"/>
          <w:u w:val="none"/>
          <w:lang w:val="fr-CH"/>
        </w:rPr>
        <w:t>3/97(Rev.1)</w:t>
      </w:r>
      <w:r w:rsidR="00502E20" w:rsidRPr="00515013">
        <w:rPr>
          <w:lang w:val="fr-CH"/>
        </w:rPr>
        <w:t xml:space="preserve">, </w:t>
      </w:r>
      <w:r w:rsidR="00502E20" w:rsidRPr="00515013">
        <w:rPr>
          <w:rStyle w:val="Hyperlink"/>
          <w:color w:val="auto"/>
          <w:u w:val="none"/>
          <w:lang w:val="fr-CH"/>
        </w:rPr>
        <w:t>3/98(Rev.1)</w:t>
      </w:r>
    </w:p>
    <w:p w:rsidR="002A695D" w:rsidRPr="00502E20" w:rsidRDefault="002A695D" w:rsidP="00240D9A">
      <w:pPr>
        <w:tabs>
          <w:tab w:val="center" w:pos="7939"/>
          <w:tab w:val="right" w:pos="8505"/>
        </w:tabs>
        <w:spacing w:before="480"/>
        <w:jc w:val="left"/>
        <w:rPr>
          <w:lang w:val="fr-FR"/>
        </w:rPr>
      </w:pPr>
      <w:r w:rsidRPr="002A695D">
        <w:rPr>
          <w:color w:val="000000"/>
          <w:lang w:val="fr-CH"/>
        </w:rPr>
        <w:t>Les documents sont disponibles en format électronique à l'adresse</w:t>
      </w:r>
      <w:r w:rsidR="00240D9A">
        <w:rPr>
          <w:color w:val="000000"/>
          <w:lang w:val="fr-CH"/>
        </w:rPr>
        <w:t>:</w:t>
      </w:r>
      <w:r w:rsidR="00240D9A">
        <w:rPr>
          <w:color w:val="000000"/>
          <w:lang w:val="fr-CH"/>
        </w:rPr>
        <w:br/>
      </w:r>
      <w:r w:rsidR="00502E20" w:rsidRPr="00515013">
        <w:rPr>
          <w:rStyle w:val="Hyperlink"/>
          <w:lang w:val="fr-FR"/>
        </w:rPr>
        <w:t>https://www.itu.int/md/R15-SG03-C/en</w:t>
      </w:r>
    </w:p>
    <w:p w:rsidR="002A695D" w:rsidRPr="002A695D" w:rsidRDefault="002A695D" w:rsidP="003F582C">
      <w:pPr>
        <w:tabs>
          <w:tab w:val="left" w:pos="284"/>
          <w:tab w:val="left" w:pos="568"/>
        </w:tabs>
        <w:spacing w:before="5600" w:line="240" w:lineRule="auto"/>
        <w:rPr>
          <w:b/>
          <w:bCs/>
          <w:sz w:val="18"/>
          <w:szCs w:val="18"/>
          <w:lang w:val="fr-CH"/>
        </w:rPr>
      </w:pPr>
      <w:bookmarkStart w:id="0" w:name="ddistribution"/>
      <w:bookmarkEnd w:id="0"/>
      <w:r w:rsidRPr="002A695D">
        <w:rPr>
          <w:b/>
          <w:bCs/>
          <w:sz w:val="18"/>
          <w:szCs w:val="18"/>
          <w:lang w:val="fr-CH"/>
        </w:rPr>
        <w:t>Distribution:</w:t>
      </w:r>
    </w:p>
    <w:p w:rsidR="00970468" w:rsidRPr="003F582C" w:rsidRDefault="002A695D" w:rsidP="003F582C">
      <w:pPr>
        <w:tabs>
          <w:tab w:val="left" w:pos="567"/>
          <w:tab w:val="left" w:pos="6237"/>
        </w:tabs>
        <w:spacing w:before="0" w:line="240" w:lineRule="auto"/>
        <w:ind w:left="567" w:hanging="567"/>
        <w:rPr>
          <w:sz w:val="18"/>
          <w:szCs w:val="18"/>
          <w:lang w:val="fr-FR"/>
        </w:rPr>
      </w:pPr>
      <w:r w:rsidRPr="003F582C">
        <w:rPr>
          <w:sz w:val="18"/>
          <w:szCs w:val="18"/>
          <w:lang w:val="fr-FR"/>
        </w:rPr>
        <w:t>–</w:t>
      </w:r>
      <w:r w:rsidRPr="003F582C">
        <w:rPr>
          <w:sz w:val="18"/>
          <w:szCs w:val="18"/>
          <w:lang w:val="fr-FR"/>
        </w:rPr>
        <w:tab/>
        <w:t xml:space="preserve">Administrations des </w:t>
      </w:r>
      <w:proofErr w:type="spellStart"/>
      <w:r w:rsidRPr="003F582C">
        <w:rPr>
          <w:sz w:val="18"/>
          <w:szCs w:val="18"/>
          <w:lang w:val="fr-FR"/>
        </w:rPr>
        <w:t>Etats</w:t>
      </w:r>
      <w:proofErr w:type="spellEnd"/>
      <w:r w:rsidRPr="003F582C">
        <w:rPr>
          <w:sz w:val="18"/>
          <w:szCs w:val="18"/>
          <w:lang w:val="fr-FR"/>
        </w:rPr>
        <w:t xml:space="preserve"> Membres de l'UIT et Membres du Secteur des radiocommunications</w:t>
      </w:r>
      <w:r w:rsidR="003F582C" w:rsidRPr="003F582C">
        <w:rPr>
          <w:sz w:val="18"/>
          <w:szCs w:val="18"/>
          <w:lang w:val="fr-FR"/>
        </w:rPr>
        <w:t xml:space="preserve"> participant aux travaux de </w:t>
      </w:r>
      <w:r w:rsidR="00970468" w:rsidRPr="003F582C">
        <w:rPr>
          <w:sz w:val="18"/>
          <w:szCs w:val="18"/>
          <w:lang w:val="fr-FR"/>
        </w:rPr>
        <w:t xml:space="preserve">la </w:t>
      </w:r>
      <w:r w:rsidRPr="003F582C">
        <w:rPr>
          <w:sz w:val="18"/>
          <w:szCs w:val="18"/>
          <w:lang w:val="fr-FR"/>
        </w:rPr>
        <w:t xml:space="preserve">Commission d'études </w:t>
      </w:r>
      <w:r w:rsidR="007E177B" w:rsidRPr="003F582C">
        <w:rPr>
          <w:sz w:val="18"/>
          <w:szCs w:val="18"/>
          <w:lang w:val="fr-FR"/>
        </w:rPr>
        <w:t>3</w:t>
      </w:r>
      <w:r w:rsidRPr="003F582C">
        <w:rPr>
          <w:sz w:val="18"/>
          <w:szCs w:val="18"/>
          <w:lang w:val="fr-FR"/>
        </w:rPr>
        <w:t xml:space="preserve"> des radiocommunications</w:t>
      </w:r>
    </w:p>
    <w:p w:rsidR="00970468" w:rsidRPr="00E14FB0" w:rsidRDefault="002A695D" w:rsidP="003F582C">
      <w:pPr>
        <w:tabs>
          <w:tab w:val="left" w:pos="567"/>
          <w:tab w:val="left" w:pos="6237"/>
        </w:tabs>
        <w:spacing w:before="0" w:line="240" w:lineRule="auto"/>
        <w:ind w:left="567" w:hanging="567"/>
        <w:rPr>
          <w:sz w:val="18"/>
          <w:szCs w:val="18"/>
          <w:lang w:val="fr-FR"/>
        </w:rPr>
      </w:pPr>
      <w:r w:rsidRPr="00E14FB0">
        <w:rPr>
          <w:sz w:val="18"/>
          <w:szCs w:val="18"/>
          <w:lang w:val="fr-FR"/>
        </w:rPr>
        <w:t>–</w:t>
      </w:r>
      <w:r w:rsidRPr="00E14FB0">
        <w:rPr>
          <w:sz w:val="18"/>
          <w:szCs w:val="18"/>
          <w:lang w:val="fr-FR"/>
        </w:rPr>
        <w:tab/>
        <w:t xml:space="preserve">Associés de l'UIT-R participant aux travaux de la Commission d'études </w:t>
      </w:r>
      <w:r w:rsidR="007E177B" w:rsidRPr="00E14FB0">
        <w:rPr>
          <w:sz w:val="18"/>
          <w:szCs w:val="18"/>
          <w:lang w:val="fr-FR"/>
        </w:rPr>
        <w:t>3</w:t>
      </w:r>
      <w:r w:rsidRPr="00E14FB0">
        <w:rPr>
          <w:sz w:val="18"/>
          <w:szCs w:val="18"/>
          <w:lang w:val="fr-FR"/>
        </w:rPr>
        <w:t xml:space="preserve"> des radiocommunications</w:t>
      </w:r>
    </w:p>
    <w:p w:rsidR="00970468" w:rsidRPr="00E14FB0" w:rsidRDefault="002A695D" w:rsidP="003F582C">
      <w:pPr>
        <w:tabs>
          <w:tab w:val="left" w:pos="567"/>
          <w:tab w:val="left" w:pos="6237"/>
        </w:tabs>
        <w:spacing w:before="0" w:line="240" w:lineRule="auto"/>
        <w:ind w:left="567" w:hanging="567"/>
        <w:rPr>
          <w:sz w:val="18"/>
          <w:szCs w:val="18"/>
          <w:lang w:val="fr-FR"/>
        </w:rPr>
      </w:pPr>
      <w:r w:rsidRPr="00E14FB0">
        <w:rPr>
          <w:sz w:val="18"/>
          <w:szCs w:val="18"/>
          <w:lang w:val="fr-FR"/>
        </w:rPr>
        <w:t>–</w:t>
      </w:r>
      <w:r w:rsidRPr="00E14FB0">
        <w:rPr>
          <w:sz w:val="18"/>
          <w:szCs w:val="18"/>
          <w:lang w:val="fr-FR"/>
        </w:rPr>
        <w:tab/>
      </w:r>
      <w:proofErr w:type="spellStart"/>
      <w:r w:rsidRPr="00E14FB0">
        <w:rPr>
          <w:sz w:val="18"/>
          <w:szCs w:val="18"/>
          <w:lang w:val="fr-FR"/>
        </w:rPr>
        <w:t>Etablissements</w:t>
      </w:r>
      <w:proofErr w:type="spellEnd"/>
      <w:r w:rsidRPr="00E14FB0">
        <w:rPr>
          <w:sz w:val="18"/>
          <w:szCs w:val="18"/>
          <w:lang w:val="fr-FR"/>
        </w:rPr>
        <w:t xml:space="preserve"> universitaires participant aux travaux de l'UIT </w:t>
      </w:r>
    </w:p>
    <w:p w:rsidR="00BA7FD4" w:rsidRPr="00E14FB0" w:rsidRDefault="002A695D" w:rsidP="003F582C">
      <w:pPr>
        <w:tabs>
          <w:tab w:val="left" w:pos="567"/>
          <w:tab w:val="left" w:pos="6237"/>
        </w:tabs>
        <w:spacing w:before="0" w:line="240" w:lineRule="auto"/>
        <w:ind w:left="567" w:hanging="567"/>
        <w:rPr>
          <w:sz w:val="18"/>
          <w:szCs w:val="18"/>
          <w:lang w:val="fr-FR"/>
        </w:rPr>
      </w:pPr>
      <w:r w:rsidRPr="00E14FB0">
        <w:rPr>
          <w:sz w:val="18"/>
          <w:szCs w:val="18"/>
          <w:lang w:val="fr-FR"/>
        </w:rPr>
        <w:t>–</w:t>
      </w:r>
      <w:r w:rsidRPr="00E14FB0">
        <w:rPr>
          <w:sz w:val="18"/>
          <w:szCs w:val="18"/>
          <w:lang w:val="fr-FR"/>
        </w:rPr>
        <w:tab/>
        <w:t>Présidents et Vice</w:t>
      </w:r>
      <w:r w:rsidRPr="00E14FB0">
        <w:rPr>
          <w:sz w:val="18"/>
          <w:szCs w:val="18"/>
          <w:lang w:val="fr-FR"/>
        </w:rPr>
        <w:noBreakHyphen/>
        <w:t>Présidents des Commissions d'études des radiocommunications</w:t>
      </w:r>
    </w:p>
    <w:p w:rsidR="00970468" w:rsidRPr="00E14FB0" w:rsidRDefault="002A695D" w:rsidP="003F582C">
      <w:pPr>
        <w:tabs>
          <w:tab w:val="left" w:pos="567"/>
          <w:tab w:val="left" w:pos="6237"/>
        </w:tabs>
        <w:spacing w:before="0" w:line="240" w:lineRule="auto"/>
        <w:ind w:left="567" w:hanging="567"/>
        <w:rPr>
          <w:sz w:val="18"/>
          <w:szCs w:val="18"/>
          <w:lang w:val="fr-FR"/>
        </w:rPr>
      </w:pPr>
      <w:r w:rsidRPr="00E14FB0">
        <w:rPr>
          <w:sz w:val="18"/>
          <w:szCs w:val="18"/>
          <w:lang w:val="fr-FR"/>
        </w:rPr>
        <w:t>–</w:t>
      </w:r>
      <w:r w:rsidRPr="00E14FB0">
        <w:rPr>
          <w:sz w:val="18"/>
          <w:szCs w:val="18"/>
          <w:lang w:val="fr-FR"/>
        </w:rPr>
        <w:tab/>
        <w:t>Président et Vice</w:t>
      </w:r>
      <w:r w:rsidRPr="00E14FB0">
        <w:rPr>
          <w:sz w:val="18"/>
          <w:szCs w:val="18"/>
          <w:lang w:val="fr-FR"/>
        </w:rPr>
        <w:noBreakHyphen/>
        <w:t>Présidents de la Réunion de préparation à la Conférence</w:t>
      </w:r>
    </w:p>
    <w:p w:rsidR="00970468" w:rsidRPr="00E14FB0" w:rsidRDefault="002A695D" w:rsidP="003F582C">
      <w:pPr>
        <w:tabs>
          <w:tab w:val="left" w:pos="567"/>
          <w:tab w:val="left" w:pos="6237"/>
        </w:tabs>
        <w:spacing w:before="0" w:line="240" w:lineRule="auto"/>
        <w:ind w:left="567" w:hanging="567"/>
        <w:rPr>
          <w:sz w:val="18"/>
          <w:szCs w:val="18"/>
          <w:lang w:val="fr-FR"/>
        </w:rPr>
      </w:pPr>
      <w:r w:rsidRPr="00E14FB0">
        <w:rPr>
          <w:sz w:val="18"/>
          <w:szCs w:val="18"/>
          <w:lang w:val="fr-FR"/>
        </w:rPr>
        <w:t>–</w:t>
      </w:r>
      <w:r w:rsidRPr="00E14FB0">
        <w:rPr>
          <w:sz w:val="18"/>
          <w:szCs w:val="18"/>
          <w:lang w:val="fr-FR"/>
        </w:rPr>
        <w:tab/>
        <w:t>Membres du Comité du Règlement des radiocommunications</w:t>
      </w:r>
    </w:p>
    <w:p w:rsidR="002A695D" w:rsidRPr="003F582C" w:rsidRDefault="002A695D" w:rsidP="003F582C">
      <w:pPr>
        <w:tabs>
          <w:tab w:val="left" w:pos="567"/>
          <w:tab w:val="left" w:pos="6237"/>
        </w:tabs>
        <w:spacing w:before="0" w:line="240" w:lineRule="auto"/>
        <w:ind w:left="567" w:hanging="567"/>
        <w:rPr>
          <w:sz w:val="18"/>
          <w:szCs w:val="18"/>
          <w:lang w:val="fr-FR"/>
        </w:rPr>
      </w:pPr>
      <w:r w:rsidRPr="003F582C">
        <w:rPr>
          <w:sz w:val="18"/>
          <w:szCs w:val="18"/>
          <w:lang w:val="fr-FR"/>
        </w:rPr>
        <w:t>–</w:t>
      </w:r>
      <w:r w:rsidRPr="003F582C">
        <w:rPr>
          <w:sz w:val="18"/>
          <w:szCs w:val="18"/>
          <w:lang w:val="fr-FR"/>
        </w:rPr>
        <w:tab/>
        <w:t>Secrétaire général de l'UIT, Directeur du Bureau de la normalisation des télécommunic</w:t>
      </w:r>
      <w:r w:rsidR="003F582C" w:rsidRPr="003F582C">
        <w:rPr>
          <w:sz w:val="18"/>
          <w:szCs w:val="18"/>
          <w:lang w:val="fr-FR"/>
        </w:rPr>
        <w:t xml:space="preserve">ations, Directeur du Bureau de </w:t>
      </w:r>
      <w:r w:rsidRPr="003F582C">
        <w:rPr>
          <w:sz w:val="18"/>
          <w:szCs w:val="18"/>
          <w:lang w:val="fr-FR"/>
        </w:rPr>
        <w:t>développement des télécommunications</w:t>
      </w:r>
    </w:p>
    <w:p w:rsidR="00F748BA" w:rsidRPr="00F748BA" w:rsidRDefault="00F748BA" w:rsidP="003D73E3">
      <w:pPr>
        <w:spacing w:before="0"/>
        <w:rPr>
          <w:lang w:val="fr-CH"/>
        </w:rPr>
      </w:pPr>
      <w:r w:rsidRPr="00F748BA">
        <w:rPr>
          <w:lang w:val="fr-CH"/>
        </w:rPr>
        <w:br w:type="page"/>
      </w:r>
    </w:p>
    <w:p w:rsidR="003D73E3" w:rsidRPr="000E1160" w:rsidRDefault="003D73E3" w:rsidP="003F582C">
      <w:pPr>
        <w:pStyle w:val="AnnexNotitle0"/>
      </w:pPr>
      <w:r w:rsidRPr="003D73E3">
        <w:rPr>
          <w:rFonts w:asciiTheme="minorHAnsi" w:hAnsiTheme="minorHAnsi"/>
          <w:lang w:val="fr-CH"/>
        </w:rPr>
        <w:lastRenderedPageBreak/>
        <w:t>Annexe</w:t>
      </w:r>
      <w:r w:rsidR="00D76916">
        <w:rPr>
          <w:rFonts w:asciiTheme="minorHAnsi" w:hAnsiTheme="minorHAnsi"/>
          <w:lang w:val="fr-CH"/>
        </w:rPr>
        <w:br/>
      </w:r>
      <w:bookmarkStart w:id="1" w:name="_GoBack"/>
      <w:bookmarkEnd w:id="1"/>
      <w:r w:rsidR="00D76916">
        <w:rPr>
          <w:rFonts w:asciiTheme="minorHAnsi" w:hAnsiTheme="minorHAnsi"/>
          <w:lang w:val="fr-CH"/>
        </w:rPr>
        <w:br/>
      </w:r>
      <w:r w:rsidRPr="003D73E3">
        <w:rPr>
          <w:rFonts w:asciiTheme="minorHAnsi" w:hAnsiTheme="minorHAnsi"/>
        </w:rPr>
        <w:t>Titre</w:t>
      </w:r>
      <w:r w:rsidR="001575C5">
        <w:rPr>
          <w:rFonts w:asciiTheme="minorHAnsi" w:hAnsiTheme="minorHAnsi"/>
        </w:rPr>
        <w:t xml:space="preserve"> et résumés des projets</w:t>
      </w:r>
      <w:r w:rsidRPr="003D73E3">
        <w:rPr>
          <w:rFonts w:asciiTheme="minorHAnsi" w:hAnsiTheme="minorHAnsi"/>
        </w:rPr>
        <w:t xml:space="preserve"> de Recommandation</w:t>
      </w:r>
      <w:r w:rsidR="003F582C">
        <w:rPr>
          <w:rFonts w:asciiTheme="minorHAnsi" w:hAnsiTheme="minorHAnsi"/>
        </w:rPr>
        <w:t xml:space="preserve"> </w:t>
      </w:r>
      <w:r w:rsidR="001575C5">
        <w:rPr>
          <w:rFonts w:asciiTheme="minorHAnsi" w:hAnsiTheme="minorHAnsi"/>
        </w:rPr>
        <w:t>adopté</w:t>
      </w:r>
      <w:r w:rsidRPr="003D73E3">
        <w:rPr>
          <w:rFonts w:asciiTheme="minorHAnsi" w:hAnsiTheme="minorHAnsi"/>
        </w:rPr>
        <w:t>s</w:t>
      </w:r>
      <w:r w:rsidR="001575C5">
        <w:rPr>
          <w:rFonts w:asciiTheme="minorHAnsi" w:hAnsiTheme="minorHAnsi"/>
        </w:rPr>
        <w:t xml:space="preserve"> </w:t>
      </w:r>
      <w:r w:rsidR="003F582C">
        <w:rPr>
          <w:rFonts w:asciiTheme="minorHAnsi" w:hAnsiTheme="minorHAnsi"/>
        </w:rPr>
        <w:br/>
      </w:r>
      <w:r w:rsidR="001575C5">
        <w:rPr>
          <w:rFonts w:asciiTheme="minorHAnsi" w:hAnsiTheme="minorHAnsi"/>
        </w:rPr>
        <w:t>par la Commission d'études 3</w:t>
      </w:r>
      <w:r w:rsidRPr="003D73E3">
        <w:rPr>
          <w:rFonts w:asciiTheme="minorHAnsi" w:hAnsiTheme="minorHAnsi"/>
        </w:rPr>
        <w:t xml:space="preserve"> des radiocommunications</w:t>
      </w:r>
    </w:p>
    <w:p w:rsidR="00013DC4" w:rsidRPr="00411DDB" w:rsidRDefault="00013DC4" w:rsidP="00013DC4">
      <w:pPr>
        <w:tabs>
          <w:tab w:val="clear" w:pos="794"/>
          <w:tab w:val="clear" w:pos="1191"/>
          <w:tab w:val="clear" w:pos="1588"/>
          <w:tab w:val="clear" w:pos="1985"/>
          <w:tab w:val="right" w:pos="9639"/>
        </w:tabs>
        <w:spacing w:before="600" w:line="240" w:lineRule="auto"/>
        <w:rPr>
          <w:lang w:val="fr-CH"/>
        </w:rPr>
      </w:pPr>
      <w:r w:rsidRPr="00411DDB">
        <w:rPr>
          <w:u w:val="single"/>
          <w:lang w:val="fr-CH"/>
        </w:rPr>
        <w:t>Projet de révision de la Recommandation UIT-R P.533-13</w:t>
      </w:r>
      <w:r w:rsidRPr="00411DDB">
        <w:rPr>
          <w:lang w:val="fr-CH"/>
        </w:rPr>
        <w:tab/>
        <w:t>Doc. 3/93</w:t>
      </w:r>
    </w:p>
    <w:p w:rsidR="00013DC4" w:rsidRPr="00411DDB" w:rsidRDefault="00013DC4" w:rsidP="00013DC4">
      <w:pPr>
        <w:pStyle w:val="Rectitle"/>
        <w:rPr>
          <w:lang w:val="fr-CH"/>
        </w:rPr>
      </w:pPr>
      <w:r w:rsidRPr="00411DDB">
        <w:rPr>
          <w:lang w:val="fr-CH"/>
        </w:rPr>
        <w:t xml:space="preserve">Méthode de prévision de la qualité de fonctionnement </w:t>
      </w:r>
      <w:r>
        <w:rPr>
          <w:lang w:val="fr-CH"/>
        </w:rPr>
        <w:br/>
      </w:r>
      <w:r w:rsidRPr="00411DDB">
        <w:rPr>
          <w:lang w:val="fr-CH"/>
        </w:rPr>
        <w:t>des circuits en ondes décamétriques</w:t>
      </w:r>
    </w:p>
    <w:p w:rsidR="00013DC4" w:rsidRPr="00411DDB" w:rsidRDefault="00013DC4" w:rsidP="00013DC4">
      <w:pPr>
        <w:pStyle w:val="Normalaftertitle"/>
        <w:spacing w:line="240" w:lineRule="auto"/>
        <w:rPr>
          <w:lang w:val="fr-CH" w:eastAsia="zh-CN"/>
        </w:rPr>
      </w:pPr>
      <w:r w:rsidRPr="00411DDB">
        <w:rPr>
          <w:lang w:val="fr-CH" w:eastAsia="zh-CN"/>
        </w:rPr>
        <w:t>De légères modifications sont proposées pour améliorer la modélisation de l'affaiblissement au</w:t>
      </w:r>
      <w:r w:rsidRPr="00411DDB">
        <w:rPr>
          <w:lang w:val="fr-CH" w:eastAsia="zh-CN"/>
        </w:rPr>
        <w:noBreakHyphen/>
        <w:t>dessus de la MUF et pour corriger les équations relatives à la probabilité au cours d'un mois.</w:t>
      </w:r>
    </w:p>
    <w:p w:rsidR="00013DC4" w:rsidRPr="00411DDB" w:rsidRDefault="00013DC4" w:rsidP="00013DC4">
      <w:pPr>
        <w:tabs>
          <w:tab w:val="clear" w:pos="794"/>
          <w:tab w:val="clear" w:pos="1191"/>
          <w:tab w:val="clear" w:pos="1588"/>
          <w:tab w:val="clear" w:pos="1985"/>
          <w:tab w:val="right" w:pos="9639"/>
        </w:tabs>
        <w:spacing w:before="480" w:line="240" w:lineRule="auto"/>
        <w:rPr>
          <w:lang w:val="fr-CH"/>
        </w:rPr>
      </w:pPr>
      <w:r w:rsidRPr="00411DDB">
        <w:rPr>
          <w:u w:val="single"/>
          <w:lang w:val="fr-CH"/>
        </w:rPr>
        <w:t>Projet de révision de la Recommandation UIT-R P.372-13</w:t>
      </w:r>
      <w:r w:rsidRPr="00411DDB">
        <w:rPr>
          <w:lang w:val="fr-CH"/>
        </w:rPr>
        <w:tab/>
        <w:t>Doc. 3/94(Rév.1)</w:t>
      </w:r>
    </w:p>
    <w:p w:rsidR="00013DC4" w:rsidRPr="00411DDB" w:rsidRDefault="00013DC4" w:rsidP="00013DC4">
      <w:pPr>
        <w:pStyle w:val="Rectitle"/>
        <w:rPr>
          <w:lang w:val="fr-CH"/>
        </w:rPr>
      </w:pPr>
      <w:r w:rsidRPr="00411DDB">
        <w:rPr>
          <w:lang w:val="fr-CH"/>
        </w:rPr>
        <w:t>Bruit radioélectrique</w:t>
      </w:r>
    </w:p>
    <w:p w:rsidR="00013DC4" w:rsidRPr="00411DDB" w:rsidRDefault="00013DC4" w:rsidP="00013DC4">
      <w:pPr>
        <w:pStyle w:val="Normalaftertitle"/>
        <w:spacing w:line="240" w:lineRule="auto"/>
        <w:rPr>
          <w:lang w:val="fr-CH" w:eastAsia="zh-CN"/>
        </w:rPr>
      </w:pPr>
      <w:r w:rsidRPr="00411DDB">
        <w:rPr>
          <w:lang w:val="fr-CH" w:eastAsia="zh-CN"/>
        </w:rPr>
        <w:t>Ce projet de révision n'apporte pas de modification de fond aux informations contenues dans la Recommandation, mais propose de diviser le texte en plusieurs parties en vue de facili</w:t>
      </w:r>
      <w:r>
        <w:rPr>
          <w:lang w:val="fr-CH" w:eastAsia="zh-CN"/>
        </w:rPr>
        <w:t>ter son utilisation. La partie «</w:t>
      </w:r>
      <w:r w:rsidRPr="00411DDB">
        <w:rPr>
          <w:lang w:val="fr-CH" w:eastAsia="zh-CN"/>
        </w:rPr>
        <w:t>Généralités</w:t>
      </w:r>
      <w:r>
        <w:rPr>
          <w:lang w:val="fr-CH" w:eastAsia="zh-CN"/>
        </w:rPr>
        <w:t>»</w:t>
      </w:r>
      <w:r w:rsidRPr="00411DDB">
        <w:rPr>
          <w:lang w:val="fr-CH" w:eastAsia="zh-CN"/>
        </w:rPr>
        <w:t xml:space="preserve"> contient des précisions supplémentaires, proposées en vue de clarifier le texte et le domaine d'application de la Recommandation. Elle est suivie par des parties portant sur le bruit radioélectrique naturel, présentées à peu près par ordre décroissant des fréquences. Viennent ensuite une partie portant sur le bruit artificiel et, </w:t>
      </w:r>
      <w:r>
        <w:rPr>
          <w:lang w:val="fr-CH" w:eastAsia="zh-CN"/>
        </w:rPr>
        <w:t>enfin</w:t>
      </w:r>
      <w:r w:rsidRPr="00411DDB">
        <w:rPr>
          <w:lang w:val="fr-CH" w:eastAsia="zh-CN"/>
        </w:rPr>
        <w:t>, une partie décrivant la méthode appropriée pour combiner les résultats en cas de bruits provenant de plusieurs types de sources.</w:t>
      </w:r>
    </w:p>
    <w:p w:rsidR="00013DC4" w:rsidRPr="00411DDB" w:rsidRDefault="00013DC4" w:rsidP="00013DC4">
      <w:pPr>
        <w:tabs>
          <w:tab w:val="clear" w:pos="794"/>
          <w:tab w:val="clear" w:pos="1191"/>
          <w:tab w:val="clear" w:pos="1588"/>
          <w:tab w:val="clear" w:pos="1985"/>
          <w:tab w:val="right" w:pos="9639"/>
        </w:tabs>
        <w:spacing w:before="480" w:line="240" w:lineRule="auto"/>
        <w:rPr>
          <w:lang w:val="fr-CH"/>
        </w:rPr>
      </w:pPr>
      <w:r w:rsidRPr="00411DDB">
        <w:rPr>
          <w:u w:val="single"/>
          <w:lang w:val="fr-CH"/>
        </w:rPr>
        <w:t>Projet de révision de la Recommandation UIT-R P.341-6</w:t>
      </w:r>
      <w:r w:rsidRPr="00411DDB">
        <w:rPr>
          <w:lang w:val="fr-CH"/>
        </w:rPr>
        <w:tab/>
        <w:t>Doc. 3/95(Rév.1)</w:t>
      </w:r>
    </w:p>
    <w:p w:rsidR="00013DC4" w:rsidRPr="00B960E1" w:rsidRDefault="00013DC4" w:rsidP="00013DC4">
      <w:pPr>
        <w:pStyle w:val="Rectitle"/>
        <w:rPr>
          <w:lang w:val="fr-FR"/>
        </w:rPr>
      </w:pPr>
      <w:r w:rsidRPr="00B960E1">
        <w:rPr>
          <w:lang w:val="fr-FR"/>
        </w:rPr>
        <w:t>Notion d'affaiblissement de transmission pour les liaisons radioélectriques</w:t>
      </w:r>
    </w:p>
    <w:p w:rsidR="00013DC4" w:rsidRPr="00411DDB" w:rsidRDefault="00013DC4" w:rsidP="00013DC4">
      <w:pPr>
        <w:pStyle w:val="Normalaftertitle"/>
        <w:rPr>
          <w:lang w:val="fr-CH"/>
        </w:rPr>
      </w:pPr>
      <w:r w:rsidRPr="00411DDB">
        <w:rPr>
          <w:lang w:val="fr-CH"/>
        </w:rPr>
        <w:t>En résumé, les modifications qu'il est proposé d'apporter à cette Recommandation consistent:</w:t>
      </w:r>
    </w:p>
    <w:p w:rsidR="00013DC4" w:rsidRPr="00411DDB" w:rsidRDefault="00013DC4" w:rsidP="00013DC4">
      <w:pPr>
        <w:pStyle w:val="enumlev1"/>
        <w:rPr>
          <w:lang w:val="fr-CH"/>
        </w:rPr>
      </w:pPr>
      <w:r w:rsidRPr="00411DDB">
        <w:rPr>
          <w:lang w:val="fr-CH"/>
        </w:rPr>
        <w:t>•</w:t>
      </w:r>
      <w:r w:rsidRPr="00411DDB">
        <w:rPr>
          <w:lang w:val="fr-CH"/>
        </w:rPr>
        <w:tab/>
        <w:t>à modifier l'ordre dans lequel les termes et les définitions sont donnés. Il n'existe aucune intention d'apporter des modifications de fond dans le cadre de cette modification de l'ordre;</w:t>
      </w:r>
    </w:p>
    <w:p w:rsidR="00013DC4" w:rsidRPr="00411DDB" w:rsidRDefault="00013DC4" w:rsidP="00013DC4">
      <w:pPr>
        <w:pStyle w:val="enumlev1"/>
        <w:rPr>
          <w:lang w:val="fr-CH"/>
        </w:rPr>
      </w:pPr>
      <w:r w:rsidRPr="00411DDB">
        <w:rPr>
          <w:lang w:val="fr-CH"/>
        </w:rPr>
        <w:t>•</w:t>
      </w:r>
      <w:r w:rsidRPr="00411DDB">
        <w:rPr>
          <w:lang w:val="fr-CH"/>
        </w:rPr>
        <w:tab/>
        <w:t>à rendre conformes les symboles associés aux termes;</w:t>
      </w:r>
    </w:p>
    <w:p w:rsidR="00013DC4" w:rsidRPr="00411DDB" w:rsidRDefault="00013DC4" w:rsidP="00013DC4">
      <w:pPr>
        <w:pStyle w:val="enumlev1"/>
        <w:rPr>
          <w:lang w:val="fr-CH"/>
        </w:rPr>
      </w:pPr>
      <w:r w:rsidRPr="00411DDB">
        <w:rPr>
          <w:lang w:val="fr-CH"/>
        </w:rPr>
        <w:t>•</w:t>
      </w:r>
      <w:r w:rsidRPr="00411DDB">
        <w:rPr>
          <w:lang w:val="fr-CH"/>
        </w:rPr>
        <w:tab/>
        <w:t>à redéfinir les termes «affaiblissement total» et «affaiblissement de transmission de référence»;</w:t>
      </w:r>
    </w:p>
    <w:p w:rsidR="00013DC4" w:rsidRPr="00411DDB" w:rsidRDefault="00013DC4" w:rsidP="00013DC4">
      <w:pPr>
        <w:pStyle w:val="enumlev1"/>
        <w:rPr>
          <w:lang w:val="fr-CH"/>
        </w:rPr>
      </w:pPr>
      <w:r w:rsidRPr="00411DDB">
        <w:rPr>
          <w:lang w:val="fr-CH"/>
        </w:rPr>
        <w:t>•</w:t>
      </w:r>
      <w:r w:rsidRPr="00411DDB">
        <w:rPr>
          <w:lang w:val="fr-CH"/>
        </w:rPr>
        <w:tab/>
        <w:t>à ajouter une nouvelle Annexe à la Recommandation pour fournir une méthode permettant de déterminer la puissance surfacique et le champ;</w:t>
      </w:r>
    </w:p>
    <w:p w:rsidR="00013DC4" w:rsidRPr="00411DDB" w:rsidRDefault="00013DC4" w:rsidP="00013DC4">
      <w:pPr>
        <w:pStyle w:val="enumlev1"/>
        <w:rPr>
          <w:lang w:val="fr-CH"/>
        </w:rPr>
      </w:pPr>
      <w:r w:rsidRPr="00411DDB">
        <w:rPr>
          <w:lang w:val="fr-CH"/>
        </w:rPr>
        <w:t>•</w:t>
      </w:r>
      <w:r w:rsidRPr="00411DDB">
        <w:rPr>
          <w:lang w:val="fr-CH"/>
        </w:rPr>
        <w:tab/>
        <w:t>à renuméroter les annexes et les équations selon les besoins.</w:t>
      </w:r>
    </w:p>
    <w:p w:rsidR="00013DC4" w:rsidRPr="00411DDB" w:rsidRDefault="00013DC4" w:rsidP="00013DC4">
      <w:pPr>
        <w:tabs>
          <w:tab w:val="clear" w:pos="794"/>
          <w:tab w:val="clear" w:pos="1191"/>
          <w:tab w:val="clear" w:pos="1588"/>
          <w:tab w:val="clear" w:pos="1985"/>
        </w:tabs>
        <w:overflowPunct/>
        <w:autoSpaceDE/>
        <w:autoSpaceDN/>
        <w:adjustRightInd/>
        <w:spacing w:before="0" w:line="240" w:lineRule="auto"/>
        <w:jc w:val="left"/>
        <w:textAlignment w:val="auto"/>
        <w:rPr>
          <w:u w:val="single"/>
          <w:lang w:val="fr-CH"/>
        </w:rPr>
      </w:pPr>
      <w:r w:rsidRPr="00411DDB">
        <w:rPr>
          <w:u w:val="single"/>
          <w:lang w:val="fr-CH"/>
        </w:rPr>
        <w:br w:type="page"/>
      </w:r>
    </w:p>
    <w:p w:rsidR="00013DC4" w:rsidRPr="00411DDB" w:rsidRDefault="00013DC4" w:rsidP="00013DC4">
      <w:pPr>
        <w:tabs>
          <w:tab w:val="clear" w:pos="794"/>
          <w:tab w:val="clear" w:pos="1191"/>
          <w:tab w:val="clear" w:pos="1588"/>
          <w:tab w:val="clear" w:pos="1985"/>
          <w:tab w:val="right" w:pos="9639"/>
        </w:tabs>
        <w:spacing w:before="360" w:line="240" w:lineRule="auto"/>
        <w:rPr>
          <w:lang w:val="fr-CH"/>
        </w:rPr>
      </w:pPr>
      <w:r w:rsidRPr="00411DDB">
        <w:rPr>
          <w:u w:val="single"/>
          <w:lang w:val="fr-CH"/>
        </w:rPr>
        <w:lastRenderedPageBreak/>
        <w:t>Projet de révision de la Recommandation UIT-R P.525-3</w:t>
      </w:r>
      <w:r w:rsidRPr="00411DDB">
        <w:rPr>
          <w:lang w:val="fr-CH"/>
        </w:rPr>
        <w:tab/>
        <w:t>Doc. 3/97(Rév.1)</w:t>
      </w:r>
    </w:p>
    <w:p w:rsidR="00013DC4" w:rsidRPr="00411DDB" w:rsidRDefault="00013DC4" w:rsidP="00013DC4">
      <w:pPr>
        <w:pStyle w:val="Rectitle"/>
        <w:rPr>
          <w:lang w:val="fr-CH"/>
        </w:rPr>
      </w:pPr>
      <w:r w:rsidRPr="00411DDB">
        <w:rPr>
          <w:lang w:val="fr-CH"/>
        </w:rPr>
        <w:t xml:space="preserve">Calcul de </w:t>
      </w:r>
      <w:r>
        <w:rPr>
          <w:lang w:val="fr-CH"/>
        </w:rPr>
        <w:t>l'affaiblissement</w:t>
      </w:r>
      <w:r w:rsidRPr="00411DDB">
        <w:rPr>
          <w:lang w:val="fr-CH"/>
        </w:rPr>
        <w:t xml:space="preserve"> en espace libre</w:t>
      </w:r>
    </w:p>
    <w:p w:rsidR="00013DC4" w:rsidRPr="00411DDB" w:rsidRDefault="00013DC4" w:rsidP="00013DC4">
      <w:pPr>
        <w:spacing w:line="240" w:lineRule="auto"/>
        <w:rPr>
          <w:lang w:val="fr-CH"/>
        </w:rPr>
      </w:pPr>
      <w:r w:rsidRPr="00411DDB">
        <w:rPr>
          <w:lang w:val="fr-CH"/>
        </w:rPr>
        <w:t>Dans cette révision, on trouvera une définition des termes «espace libre» et «propagation en espace libre». En outre, les symboles utilisés dans la Recomma</w:t>
      </w:r>
      <w:r>
        <w:rPr>
          <w:lang w:val="fr-CH"/>
        </w:rPr>
        <w:t>ndation ont été harmonisés avec </w:t>
      </w:r>
      <w:r w:rsidRPr="00411DDB">
        <w:rPr>
          <w:lang w:val="fr-CH"/>
        </w:rPr>
        <w:t>ceux définis dans l'avant-projet de révision de la Recommandation</w:t>
      </w:r>
      <w:r>
        <w:rPr>
          <w:lang w:val="fr-CH"/>
        </w:rPr>
        <w:t xml:space="preserve"> </w:t>
      </w:r>
      <w:r w:rsidRPr="00515013">
        <w:rPr>
          <w:rStyle w:val="Hyperlink"/>
          <w:color w:val="auto"/>
          <w:u w:val="none"/>
          <w:lang w:val="fr-CH"/>
        </w:rPr>
        <w:t>UIT</w:t>
      </w:r>
      <w:r w:rsidRPr="00515013">
        <w:rPr>
          <w:rStyle w:val="Hyperlink"/>
          <w:color w:val="auto"/>
          <w:u w:val="none"/>
          <w:lang w:val="fr-CH"/>
        </w:rPr>
        <w:noBreakHyphen/>
        <w:t>R P.341-6</w:t>
      </w:r>
      <w:r w:rsidRPr="00515013">
        <w:rPr>
          <w:lang w:val="fr-CH"/>
        </w:rPr>
        <w:t xml:space="preserve"> </w:t>
      </w:r>
      <w:r w:rsidRPr="00411DDB">
        <w:rPr>
          <w:lang w:val="fr-CH"/>
        </w:rPr>
        <w:t>(Document </w:t>
      </w:r>
      <w:hyperlink r:id="rId11" w:history="1">
        <w:r w:rsidRPr="00411DDB">
          <w:rPr>
            <w:rStyle w:val="Hyperlink"/>
            <w:lang w:val="fr-CH"/>
          </w:rPr>
          <w:t>3/95</w:t>
        </w:r>
      </w:hyperlink>
      <w:r w:rsidRPr="00411DDB">
        <w:rPr>
          <w:lang w:val="fr-CH"/>
        </w:rPr>
        <w:t>). Au § 4, la définition de la puissance reçue a été révisée pour s'appliquer à une antenne à adaptation conjuguée plutôt qu'à une antenne isotrope.</w:t>
      </w:r>
    </w:p>
    <w:p w:rsidR="00013DC4" w:rsidRPr="00411DDB" w:rsidRDefault="00013DC4" w:rsidP="00013DC4">
      <w:pPr>
        <w:tabs>
          <w:tab w:val="clear" w:pos="794"/>
          <w:tab w:val="clear" w:pos="1191"/>
          <w:tab w:val="clear" w:pos="1588"/>
          <w:tab w:val="clear" w:pos="1985"/>
          <w:tab w:val="right" w:pos="9639"/>
        </w:tabs>
        <w:spacing w:before="360" w:line="240" w:lineRule="auto"/>
        <w:rPr>
          <w:lang w:val="fr-CH"/>
        </w:rPr>
      </w:pPr>
      <w:r w:rsidRPr="00411DDB">
        <w:rPr>
          <w:u w:val="single"/>
          <w:lang w:val="fr-CH"/>
        </w:rPr>
        <w:t>Projet de révision de la Recommandation UIT-R P.840-7</w:t>
      </w:r>
      <w:r w:rsidRPr="00411DDB">
        <w:rPr>
          <w:lang w:val="fr-CH"/>
        </w:rPr>
        <w:tab/>
        <w:t>Doc. 3/98(Rév.1)</w:t>
      </w:r>
    </w:p>
    <w:p w:rsidR="00013DC4" w:rsidRPr="00411DDB" w:rsidRDefault="00013DC4" w:rsidP="00013DC4">
      <w:pPr>
        <w:pStyle w:val="Rectitle"/>
        <w:rPr>
          <w:lang w:val="fr-CH"/>
        </w:rPr>
      </w:pPr>
      <w:r w:rsidRPr="00411DDB">
        <w:rPr>
          <w:lang w:val="fr-CH"/>
        </w:rPr>
        <w:t>Affaiblissement dû aux nuages et au brouillard</w:t>
      </w:r>
    </w:p>
    <w:p w:rsidR="00013DC4" w:rsidRPr="00411DDB" w:rsidRDefault="00013DC4" w:rsidP="00013DC4">
      <w:pPr>
        <w:pStyle w:val="Normalaftertitle"/>
        <w:spacing w:line="240" w:lineRule="auto"/>
        <w:rPr>
          <w:lang w:val="fr-CH"/>
        </w:rPr>
      </w:pPr>
      <w:r w:rsidRPr="00411DDB">
        <w:rPr>
          <w:lang w:val="fr-CH"/>
        </w:rPr>
        <w:t>Ce document a pour objet de proposer une révision de l'Anne</w:t>
      </w:r>
      <w:r>
        <w:rPr>
          <w:lang w:val="fr-CH"/>
        </w:rPr>
        <w:t>xe 3 de la Recommandation UIT</w:t>
      </w:r>
      <w:r>
        <w:rPr>
          <w:lang w:val="fr-CH"/>
        </w:rPr>
        <w:noBreakHyphen/>
        <w:t>R </w:t>
      </w:r>
      <w:r w:rsidRPr="00411DDB">
        <w:rPr>
          <w:lang w:val="fr-CH"/>
        </w:rPr>
        <w:t>P.840-7, consistant à:</w:t>
      </w:r>
    </w:p>
    <w:p w:rsidR="00013DC4" w:rsidRPr="00411DDB" w:rsidRDefault="00013DC4" w:rsidP="00013DC4">
      <w:pPr>
        <w:pStyle w:val="enumlev1"/>
        <w:rPr>
          <w:lang w:val="fr-CH"/>
        </w:rPr>
      </w:pPr>
      <w:r w:rsidRPr="00411DDB">
        <w:rPr>
          <w:lang w:val="fr-CH"/>
        </w:rPr>
        <w:t>–</w:t>
      </w:r>
      <w:r w:rsidRPr="00411DDB">
        <w:rPr>
          <w:lang w:val="fr-CH"/>
        </w:rPr>
        <w:tab/>
        <w:t>indiquer l'intervalle de probabilité approprié;</w:t>
      </w:r>
    </w:p>
    <w:p w:rsidR="00013DC4" w:rsidRPr="00411DDB" w:rsidRDefault="00013DC4" w:rsidP="00013DC4">
      <w:pPr>
        <w:pStyle w:val="enumlev1"/>
        <w:rPr>
          <w:lang w:val="fr-CH"/>
        </w:rPr>
      </w:pPr>
      <w:r w:rsidRPr="00411DDB">
        <w:rPr>
          <w:lang w:val="fr-CH"/>
        </w:rPr>
        <w:t>–</w:t>
      </w:r>
      <w:r w:rsidRPr="00411DDB">
        <w:rPr>
          <w:lang w:val="fr-CH"/>
        </w:rPr>
        <w:tab/>
        <w:t xml:space="preserve">vérifier si </w:t>
      </w:r>
      <w:r w:rsidRPr="00411DDB">
        <w:rPr>
          <w:i/>
          <w:lang w:val="fr-CH"/>
        </w:rPr>
        <w:t>P</w:t>
      </w:r>
      <w:r w:rsidRPr="00411DDB">
        <w:rPr>
          <w:lang w:val="fr-CH"/>
        </w:rPr>
        <w:t xml:space="preserve"> est supérieur à </w:t>
      </w:r>
      <m:oMath>
        <m:sSub>
          <m:sSubPr>
            <m:ctrlPr>
              <w:rPr>
                <w:rFonts w:ascii="Cambria Math" w:hAnsi="Cambria Math"/>
                <w:lang w:val="fr-CH"/>
              </w:rPr>
            </m:ctrlPr>
          </m:sSubPr>
          <m:e>
            <m:r>
              <w:rPr>
                <w:rFonts w:ascii="Cambria Math" w:hAnsi="Cambria Math"/>
                <w:lang w:val="fr-CH"/>
              </w:rPr>
              <m:t>P</m:t>
            </m:r>
          </m:e>
          <m:sub>
            <m:r>
              <w:rPr>
                <w:rFonts w:ascii="Cambria Math" w:hAnsi="Cambria Math"/>
                <w:lang w:val="fr-CH"/>
              </w:rPr>
              <m:t>CLW</m:t>
            </m:r>
          </m:sub>
        </m:sSub>
      </m:oMath>
      <w:r w:rsidRPr="00411DDB">
        <w:rPr>
          <w:lang w:val="fr-CH"/>
        </w:rPr>
        <w:t xml:space="preserve"> et, si tel est le cas, </w:t>
      </w:r>
      <w:r>
        <w:rPr>
          <w:lang w:val="fr-CH"/>
        </w:rPr>
        <w:t>poser</w:t>
      </w:r>
      <w:r w:rsidRPr="00411DDB">
        <w:rPr>
          <w:lang w:val="fr-CH"/>
        </w:rPr>
        <w:t xml:space="preserve"> </w:t>
      </w:r>
      <m:oMath>
        <m:sSub>
          <m:sSubPr>
            <m:ctrlPr>
              <w:rPr>
                <w:rFonts w:ascii="Cambria Math" w:hAnsi="Cambria Math"/>
                <w:lang w:val="fr-CH"/>
              </w:rPr>
            </m:ctrlPr>
          </m:sSubPr>
          <m:e>
            <m:r>
              <w:rPr>
                <w:rFonts w:ascii="Cambria Math" w:hAnsi="Cambria Math"/>
                <w:lang w:val="fr-CH"/>
              </w:rPr>
              <m:t>L</m:t>
            </m:r>
          </m:e>
          <m:sub>
            <m:r>
              <w:rPr>
                <w:rFonts w:ascii="Cambria Math" w:hAnsi="Cambria Math"/>
                <w:lang w:val="fr-CH"/>
              </w:rPr>
              <m:t>red</m:t>
            </m:r>
          </m:sub>
        </m:sSub>
        <m:r>
          <m:rPr>
            <m:sty m:val="p"/>
          </m:rPr>
          <w:rPr>
            <w:rFonts w:ascii="Cambria Math" w:hAnsi="Cambria Math"/>
            <w:lang w:val="fr-CH"/>
          </w:rPr>
          <m:t>=0</m:t>
        </m:r>
      </m:oMath>
      <w:r w:rsidRPr="00411DDB">
        <w:rPr>
          <w:lang w:val="fr-CH"/>
        </w:rPr>
        <w:t xml:space="preserve">; </w:t>
      </w:r>
    </w:p>
    <w:p w:rsidR="00013DC4" w:rsidRPr="00411DDB" w:rsidRDefault="00013DC4" w:rsidP="00013DC4">
      <w:pPr>
        <w:pStyle w:val="enumlev1"/>
        <w:rPr>
          <w:lang w:val="fr-CH"/>
        </w:rPr>
      </w:pPr>
      <w:r w:rsidRPr="00411DDB">
        <w:rPr>
          <w:lang w:val="fr-CH"/>
        </w:rPr>
        <w:t>–</w:t>
      </w:r>
      <w:r w:rsidRPr="00411DDB">
        <w:rPr>
          <w:lang w:val="fr-CH"/>
        </w:rPr>
        <w:tab/>
        <w:t>harmoniser le texte avec les sections précédentes de la Recommandation; et</w:t>
      </w:r>
    </w:p>
    <w:p w:rsidR="00013DC4" w:rsidRPr="00411DDB" w:rsidRDefault="00013DC4" w:rsidP="00013DC4">
      <w:pPr>
        <w:pStyle w:val="enumlev1"/>
        <w:rPr>
          <w:lang w:val="fr-CH"/>
        </w:rPr>
      </w:pPr>
      <w:r w:rsidRPr="00411DDB">
        <w:rPr>
          <w:lang w:val="fr-CH"/>
        </w:rPr>
        <w:t>–</w:t>
      </w:r>
      <w:r w:rsidRPr="00411DDB">
        <w:rPr>
          <w:lang w:val="fr-CH"/>
        </w:rPr>
        <w:tab/>
        <w:t>harmoniser la méthode d'interpolation avec la méthode de synthèse de série temporelle relative au contenu intégré en eau liquide des nuages définie dans la Recommandation UIT</w:t>
      </w:r>
      <w:r>
        <w:rPr>
          <w:lang w:val="fr-CH"/>
        </w:rPr>
        <w:noBreakHyphen/>
      </w:r>
      <w:r w:rsidRPr="00411DDB">
        <w:rPr>
          <w:lang w:val="fr-CH"/>
        </w:rPr>
        <w:t xml:space="preserve">R P.1853, qui nécessite les paramètres </w:t>
      </w:r>
      <m:oMath>
        <m:r>
          <w:rPr>
            <w:rFonts w:ascii="Cambria Math" w:hAnsi="Cambria Math"/>
            <w:lang w:val="fr-CH"/>
          </w:rPr>
          <m:t>m</m:t>
        </m:r>
      </m:oMath>
      <w:r w:rsidRPr="00411DDB">
        <w:rPr>
          <w:lang w:val="fr-CH"/>
        </w:rPr>
        <w:t xml:space="preserve">, </w:t>
      </w:r>
      <m:oMath>
        <m:r>
          <m:rPr>
            <m:sty m:val="p"/>
          </m:rPr>
          <w:rPr>
            <w:rFonts w:ascii="Cambria Math" w:hAnsi="Cambria Math"/>
            <w:lang w:val="fr-CH"/>
          </w:rPr>
          <m:t>σ</m:t>
        </m:r>
      </m:oMath>
      <w:r w:rsidRPr="00411DDB">
        <w:rPr>
          <w:lang w:val="fr-CH"/>
        </w:rPr>
        <w:t xml:space="preserve"> et </w:t>
      </w:r>
      <m:oMath>
        <m:sSub>
          <m:sSubPr>
            <m:ctrlPr>
              <w:rPr>
                <w:rFonts w:ascii="Cambria Math" w:hAnsi="Cambria Math"/>
                <w:i/>
                <w:lang w:val="fr-CH"/>
              </w:rPr>
            </m:ctrlPr>
          </m:sSubPr>
          <m:e>
            <m:r>
              <w:rPr>
                <w:rFonts w:ascii="Cambria Math" w:hAnsi="Cambria Math"/>
                <w:lang w:val="fr-CH"/>
              </w:rPr>
              <m:t>P</m:t>
            </m:r>
          </m:e>
          <m:sub>
            <m:r>
              <w:rPr>
                <w:rFonts w:ascii="Cambria Math" w:hAnsi="Cambria Math"/>
                <w:lang w:val="fr-CH"/>
              </w:rPr>
              <m:t>CLW</m:t>
            </m:r>
          </m:sub>
        </m:sSub>
      </m:oMath>
      <w:r w:rsidRPr="00411DDB">
        <w:rPr>
          <w:lang w:val="fr-CH"/>
        </w:rPr>
        <w:t xml:space="preserve"> à l'emplacement considéré (autrement dit par interpolation spatiale des valeurs de </w:t>
      </w:r>
      <m:oMath>
        <m:r>
          <w:rPr>
            <w:rFonts w:ascii="Cambria Math" w:hAnsi="Cambria Math"/>
            <w:lang w:val="fr-CH"/>
          </w:rPr>
          <m:t>m</m:t>
        </m:r>
      </m:oMath>
      <w:r w:rsidRPr="00411DDB">
        <w:rPr>
          <w:lang w:val="fr-CH"/>
        </w:rPr>
        <w:t xml:space="preserve">, </w:t>
      </w:r>
      <m:oMath>
        <m:r>
          <m:rPr>
            <m:sty m:val="p"/>
          </m:rPr>
          <w:rPr>
            <w:rFonts w:ascii="Cambria Math" w:hAnsi="Cambria Math"/>
            <w:lang w:val="fr-CH"/>
          </w:rPr>
          <m:t>σ</m:t>
        </m:r>
      </m:oMath>
      <w:r w:rsidRPr="00411DDB">
        <w:rPr>
          <w:lang w:val="fr-CH"/>
        </w:rPr>
        <w:t xml:space="preserve"> et </w:t>
      </w:r>
      <m:oMath>
        <m:sSub>
          <m:sSubPr>
            <m:ctrlPr>
              <w:rPr>
                <w:rFonts w:ascii="Cambria Math" w:hAnsi="Cambria Math"/>
                <w:i/>
                <w:lang w:val="fr-CH"/>
              </w:rPr>
            </m:ctrlPr>
          </m:sSubPr>
          <m:e>
            <m:r>
              <w:rPr>
                <w:rFonts w:ascii="Cambria Math" w:hAnsi="Cambria Math"/>
                <w:lang w:val="fr-CH"/>
              </w:rPr>
              <m:t>P</m:t>
            </m:r>
          </m:e>
          <m:sub>
            <m:r>
              <w:rPr>
                <w:rFonts w:ascii="Cambria Math" w:hAnsi="Cambria Math"/>
                <w:lang w:val="fr-CH"/>
              </w:rPr>
              <m:t>CLW</m:t>
            </m:r>
          </m:sub>
        </m:sSub>
      </m:oMath>
      <w:r w:rsidRPr="00411DDB">
        <w:rPr>
          <w:lang w:val="fr-CH"/>
        </w:rPr>
        <w:t xml:space="preserve"> à partir des quatre points de la grille les plus proches et en déterminant </w:t>
      </w:r>
      <m:oMath>
        <m:sSub>
          <m:sSubPr>
            <m:ctrlPr>
              <w:rPr>
                <w:rFonts w:ascii="Cambria Math" w:hAnsi="Cambria Math"/>
                <w:i/>
                <w:lang w:val="fr-CH"/>
              </w:rPr>
            </m:ctrlPr>
          </m:sSubPr>
          <m:e>
            <m:r>
              <w:rPr>
                <w:rFonts w:ascii="Cambria Math" w:hAnsi="Cambria Math"/>
                <w:lang w:val="fr-CH"/>
              </w:rPr>
              <m:t>L</m:t>
            </m:r>
          </m:e>
          <m:sub>
            <m:r>
              <w:rPr>
                <w:rFonts w:ascii="Cambria Math" w:hAnsi="Cambria Math"/>
                <w:lang w:val="fr-CH"/>
              </w:rPr>
              <m:t>red</m:t>
            </m:r>
          </m:sub>
        </m:sSub>
      </m:oMath>
      <w:r w:rsidRPr="00411DDB">
        <w:rPr>
          <w:lang w:val="fr-CH"/>
        </w:rPr>
        <w:t xml:space="preserve"> à l'emplacement considéré à partir des valeurs de </w:t>
      </w:r>
      <m:oMath>
        <m:r>
          <w:rPr>
            <w:rFonts w:ascii="Cambria Math" w:hAnsi="Cambria Math"/>
            <w:lang w:val="fr-CH"/>
          </w:rPr>
          <m:t>m</m:t>
        </m:r>
      </m:oMath>
      <w:r w:rsidRPr="00411DDB">
        <w:rPr>
          <w:lang w:val="fr-CH"/>
        </w:rPr>
        <w:t xml:space="preserve">, </w:t>
      </w:r>
      <m:oMath>
        <m:r>
          <m:rPr>
            <m:sty m:val="p"/>
          </m:rPr>
          <w:rPr>
            <w:rFonts w:ascii="Cambria Math" w:hAnsi="Cambria Math"/>
            <w:lang w:val="fr-CH"/>
          </w:rPr>
          <m:t>σ</m:t>
        </m:r>
      </m:oMath>
      <w:r w:rsidRPr="00411DDB">
        <w:rPr>
          <w:lang w:val="fr-CH"/>
        </w:rPr>
        <w:t xml:space="preserve"> et </w:t>
      </w:r>
      <m:oMath>
        <m:sSub>
          <m:sSubPr>
            <m:ctrlPr>
              <w:rPr>
                <w:rFonts w:ascii="Cambria Math" w:hAnsi="Cambria Math"/>
                <w:i/>
                <w:lang w:val="fr-CH"/>
              </w:rPr>
            </m:ctrlPr>
          </m:sSubPr>
          <m:e>
            <m:r>
              <w:rPr>
                <w:rFonts w:ascii="Cambria Math" w:hAnsi="Cambria Math"/>
                <w:lang w:val="fr-CH"/>
              </w:rPr>
              <m:t>P</m:t>
            </m:r>
          </m:e>
          <m:sub>
            <m:r>
              <w:rPr>
                <w:rFonts w:ascii="Cambria Math" w:hAnsi="Cambria Math"/>
                <w:lang w:val="fr-CH"/>
              </w:rPr>
              <m:t>CLW</m:t>
            </m:r>
          </m:sub>
        </m:sSub>
      </m:oMath>
      <w:r w:rsidRPr="00411DDB">
        <w:rPr>
          <w:lang w:val="fr-CH"/>
        </w:rPr>
        <w:t xml:space="preserve"> obtenues par interpolation spatiale, plutôt qu'en calculant </w:t>
      </w:r>
      <m:oMath>
        <m:sSub>
          <m:sSubPr>
            <m:ctrlPr>
              <w:rPr>
                <w:rFonts w:ascii="Cambria Math" w:hAnsi="Cambria Math"/>
                <w:i/>
                <w:lang w:val="fr-CH"/>
              </w:rPr>
            </m:ctrlPr>
          </m:sSubPr>
          <m:e>
            <m:r>
              <w:rPr>
                <w:rFonts w:ascii="Cambria Math" w:hAnsi="Cambria Math"/>
                <w:lang w:val="fr-CH"/>
              </w:rPr>
              <m:t>L</m:t>
            </m:r>
          </m:e>
          <m:sub>
            <m:r>
              <w:rPr>
                <w:rFonts w:ascii="Cambria Math" w:hAnsi="Cambria Math"/>
                <w:lang w:val="fr-CH"/>
              </w:rPr>
              <m:t>red</m:t>
            </m:r>
          </m:sub>
        </m:sSub>
      </m:oMath>
      <w:r w:rsidRPr="00411DDB">
        <w:rPr>
          <w:lang w:val="fr-CH"/>
        </w:rPr>
        <w:t xml:space="preserve"> à l'emplacement considéré par interpolation spatiale des valeurs de </w:t>
      </w:r>
      <m:oMath>
        <m:sSub>
          <m:sSubPr>
            <m:ctrlPr>
              <w:rPr>
                <w:rFonts w:ascii="Cambria Math" w:hAnsi="Cambria Math"/>
                <w:i/>
                <w:lang w:val="fr-CH"/>
              </w:rPr>
            </m:ctrlPr>
          </m:sSubPr>
          <m:e>
            <m:r>
              <w:rPr>
                <w:rFonts w:ascii="Cambria Math" w:hAnsi="Cambria Math"/>
                <w:lang w:val="fr-CH"/>
              </w:rPr>
              <m:t>L</m:t>
            </m:r>
          </m:e>
          <m:sub>
            <m:r>
              <w:rPr>
                <w:rFonts w:ascii="Cambria Math" w:hAnsi="Cambria Math"/>
                <w:lang w:val="fr-CH"/>
              </w:rPr>
              <m:t>red</m:t>
            </m:r>
          </m:sub>
        </m:sSub>
      </m:oMath>
      <w:r w:rsidRPr="00411DDB">
        <w:rPr>
          <w:lang w:val="fr-CH"/>
        </w:rPr>
        <w:t xml:space="preserve"> calculées au niveau des quatre points de la grille les plus proches).</w:t>
      </w:r>
    </w:p>
    <w:p w:rsidR="00013DC4" w:rsidRPr="00411DDB" w:rsidRDefault="00013DC4" w:rsidP="00C47ABE">
      <w:pPr>
        <w:rPr>
          <w:lang w:val="fr-CH"/>
        </w:rPr>
      </w:pPr>
      <w:r w:rsidRPr="00411DDB">
        <w:rPr>
          <w:lang w:val="fr-CH"/>
        </w:rPr>
        <w:t xml:space="preserve">La Section 4 de </w:t>
      </w:r>
      <w:r w:rsidR="00C47ABE">
        <w:rPr>
          <w:lang w:val="fr-CH"/>
        </w:rPr>
        <w:t>l'</w:t>
      </w:r>
      <w:r w:rsidRPr="00411DDB">
        <w:rPr>
          <w:lang w:val="fr-CH"/>
        </w:rPr>
        <w:t xml:space="preserve">UIT-R P.840-7 fournit les valeurs de </w:t>
      </w:r>
      <w:r w:rsidRPr="00411DDB">
        <w:rPr>
          <w:i/>
          <w:lang w:val="fr-CH"/>
        </w:rPr>
        <w:t>m,</w:t>
      </w:r>
      <w:r w:rsidRPr="005641B2">
        <w:rPr>
          <w:iCs/>
          <w:lang w:val="fr-CH"/>
        </w:rPr>
        <w:t> </w:t>
      </w:r>
      <m:oMath>
        <m:r>
          <m:rPr>
            <m:sty m:val="p"/>
          </m:rPr>
          <w:rPr>
            <w:rFonts w:ascii="Cambria Math" w:hAnsi="Cambria Math"/>
            <w:lang w:val="fr-CH"/>
          </w:rPr>
          <m:t>σ</m:t>
        </m:r>
      </m:oMath>
      <w:r w:rsidRPr="00411DDB">
        <w:rPr>
          <w:i/>
          <w:lang w:val="fr-CH"/>
        </w:rPr>
        <w:t xml:space="preserve"> </w:t>
      </w:r>
      <w:r w:rsidRPr="00411DDB">
        <w:rPr>
          <w:lang w:val="fr-CH"/>
        </w:rPr>
        <w:t xml:space="preserve">et </w:t>
      </w:r>
      <m:oMath>
        <m:sSub>
          <m:sSubPr>
            <m:ctrlPr>
              <w:rPr>
                <w:rFonts w:ascii="Cambria Math" w:hAnsi="Cambria Math"/>
                <w:i/>
                <w:lang w:val="fr-CH"/>
              </w:rPr>
            </m:ctrlPr>
          </m:sSubPr>
          <m:e>
            <m:r>
              <w:rPr>
                <w:rFonts w:ascii="Cambria Math" w:hAnsi="Cambria Math"/>
                <w:lang w:val="fr-CH"/>
              </w:rPr>
              <m:t>P</m:t>
            </m:r>
          </m:e>
          <m:sub>
            <m:r>
              <w:rPr>
                <w:rFonts w:ascii="Cambria Math" w:hAnsi="Cambria Math"/>
                <w:lang w:val="fr-CH"/>
              </w:rPr>
              <m:t>CLW</m:t>
            </m:r>
          </m:sub>
        </m:sSub>
      </m:oMath>
      <w:r w:rsidRPr="00411DDB">
        <w:rPr>
          <w:lang w:val="fr-CH"/>
        </w:rPr>
        <w:t xml:space="preserve"> à l'emplacement désiré, requises par le générateur de série temporelle relative à l'affaiblissement dû aux nuages de la Recommandation UIT-R P.1853. Les valeurs associées de </w:t>
      </w:r>
      <m:oMath>
        <m:sSub>
          <m:sSubPr>
            <m:ctrlPr>
              <w:rPr>
                <w:rFonts w:ascii="Cambria Math" w:hAnsi="Cambria Math"/>
                <w:i/>
                <w:lang w:val="fr-CH"/>
              </w:rPr>
            </m:ctrlPr>
          </m:sSubPr>
          <m:e>
            <m:r>
              <w:rPr>
                <w:rFonts w:ascii="Cambria Math" w:hAnsi="Cambria Math"/>
                <w:lang w:val="fr-CH"/>
              </w:rPr>
              <m:t>L</m:t>
            </m:r>
          </m:e>
          <m:sub>
            <m:r>
              <w:rPr>
                <w:rFonts w:ascii="Cambria Math" w:hAnsi="Cambria Math"/>
                <w:lang w:val="fr-CH"/>
              </w:rPr>
              <m:t>red</m:t>
            </m:r>
          </m:sub>
        </m:sSub>
      </m:oMath>
      <w:r w:rsidRPr="00411DDB">
        <w:rPr>
          <w:lang w:val="fr-CH"/>
        </w:rPr>
        <w:t xml:space="preserve"> sont indiquées uniquement à titre d'information. Dans tous les autres cas, pour le calcul de </w:t>
      </w:r>
      <m:oMath>
        <m:sSub>
          <m:sSubPr>
            <m:ctrlPr>
              <w:rPr>
                <w:rFonts w:ascii="Cambria Math" w:hAnsi="Cambria Math"/>
                <w:i/>
                <w:lang w:val="fr-CH"/>
              </w:rPr>
            </m:ctrlPr>
          </m:sSubPr>
          <m:e>
            <m:r>
              <w:rPr>
                <w:rFonts w:ascii="Cambria Math" w:hAnsi="Cambria Math"/>
                <w:lang w:val="fr-CH"/>
              </w:rPr>
              <m:t>L</m:t>
            </m:r>
          </m:e>
          <m:sub>
            <m:r>
              <w:rPr>
                <w:rFonts w:ascii="Cambria Math" w:hAnsi="Cambria Math"/>
                <w:lang w:val="fr-CH"/>
              </w:rPr>
              <m:t>red</m:t>
            </m:r>
          </m:sub>
        </m:sSub>
      </m:oMath>
      <w:r w:rsidRPr="00411DDB">
        <w:rPr>
          <w:lang w:val="fr-CH"/>
        </w:rPr>
        <w:t>, il convient d'utiliser la Section 3 plutôt que l'approximation calculée dans la Section 4.</w:t>
      </w:r>
    </w:p>
    <w:p w:rsidR="00013DC4" w:rsidRPr="00411DDB" w:rsidRDefault="00013DC4" w:rsidP="00013DC4">
      <w:pPr>
        <w:rPr>
          <w:szCs w:val="24"/>
          <w:lang w:val="fr-CH"/>
        </w:rPr>
      </w:pPr>
      <w:r w:rsidRPr="00411DDB">
        <w:rPr>
          <w:szCs w:val="24"/>
          <w:lang w:val="fr-CH"/>
        </w:rPr>
        <w:t>L'Annexe remplace la Section 4 dans sa totalité.</w:t>
      </w:r>
    </w:p>
    <w:p w:rsidR="00013DC4" w:rsidRPr="00411DDB" w:rsidRDefault="00013DC4" w:rsidP="00013DC4">
      <w:pPr>
        <w:tabs>
          <w:tab w:val="right" w:pos="9639"/>
        </w:tabs>
        <w:spacing w:line="240" w:lineRule="auto"/>
        <w:rPr>
          <w:szCs w:val="24"/>
          <w:lang w:val="fr-CH"/>
        </w:rPr>
      </w:pPr>
    </w:p>
    <w:p w:rsidR="00013DC4" w:rsidRPr="00411DDB" w:rsidRDefault="00013DC4" w:rsidP="00013DC4">
      <w:pPr>
        <w:tabs>
          <w:tab w:val="left" w:pos="7513"/>
        </w:tabs>
        <w:spacing w:line="240" w:lineRule="auto"/>
        <w:jc w:val="center"/>
        <w:rPr>
          <w:lang w:val="fr-CH"/>
        </w:rPr>
      </w:pPr>
      <w:r w:rsidRPr="00411DDB">
        <w:rPr>
          <w:lang w:val="fr-CH"/>
        </w:rPr>
        <w:t>____________</w:t>
      </w:r>
    </w:p>
    <w:sectPr w:rsidR="00013DC4" w:rsidRPr="00411DDB" w:rsidSect="006C529E">
      <w:headerReference w:type="even" r:id="rId12"/>
      <w:headerReference w:type="default" r:id="rId13"/>
      <w:footerReference w:type="even"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FE" w:rsidRDefault="00E049FE">
      <w:r>
        <w:separator/>
      </w:r>
    </w:p>
  </w:endnote>
  <w:endnote w:type="continuationSeparator" w:id="0">
    <w:p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DC4E73">
      <w:rPr>
        <w:noProof/>
        <w:sz w:val="16"/>
        <w:szCs w:val="16"/>
        <w:lang w:val="es-ES_tradnl"/>
      </w:rPr>
      <w:t>Y:\APP\BR\CIRCS_DMS\CACE\900\904\904f.DOCX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E14FB0">
      <w:rPr>
        <w:noProof/>
        <w:sz w:val="16"/>
        <w:szCs w:val="16"/>
      </w:rPr>
      <w:t>12.06.19</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DC4E73">
      <w:rPr>
        <w:noProof/>
        <w:sz w:val="16"/>
        <w:szCs w:val="16"/>
      </w:rPr>
      <w:t>12.06.19</w:t>
    </w:r>
    <w:r w:rsidRPr="004B621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DD1" w:rsidRPr="0012237B" w:rsidRDefault="00E73DD1" w:rsidP="00E73DD1">
    <w:pPr>
      <w:pStyle w:val="FirstFooter"/>
      <w:spacing w:line="240" w:lineRule="auto"/>
      <w:ind w:left="-397" w:right="-397"/>
      <w:jc w:val="center"/>
      <w:rPr>
        <w:sz w:val="18"/>
        <w:szCs w:val="18"/>
        <w:lang w:val="fr-FR"/>
      </w:rPr>
    </w:pPr>
    <w:r w:rsidRPr="0012237B">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12237B">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2237B">
      <w:rPr>
        <w:sz w:val="18"/>
        <w:szCs w:val="18"/>
        <w:lang w:val="fr-FR"/>
      </w:rPr>
      <w:t xml:space="preserve">• Courriel: </w:t>
    </w:r>
    <w:hyperlink r:id="rId1" w:history="1">
      <w:r w:rsidRPr="0012237B">
        <w:rPr>
          <w:rStyle w:val="Hyperlink"/>
          <w:sz w:val="18"/>
          <w:szCs w:val="18"/>
          <w:lang w:val="fr-FR"/>
        </w:rPr>
        <w:t>itumail@itu.int</w:t>
      </w:r>
    </w:hyperlink>
    <w:r w:rsidRPr="0012237B">
      <w:rPr>
        <w:sz w:val="18"/>
        <w:szCs w:val="18"/>
        <w:lang w:val="fr-FR"/>
      </w:rPr>
      <w:t xml:space="preserve"> • </w:t>
    </w:r>
    <w:hyperlink r:id="rId2" w:history="1">
      <w:r w:rsidRPr="0012237B">
        <w:rPr>
          <w:rStyle w:val="Hyperlink"/>
          <w:sz w:val="18"/>
          <w:szCs w:val="18"/>
          <w:lang w:val="fr-FR"/>
        </w:rPr>
        <w:t>www.itu.int</w:t>
      </w:r>
    </w:hyperlink>
    <w:r w:rsidRPr="0012237B">
      <w:rPr>
        <w:sz w:val="18"/>
        <w:szCs w:val="18"/>
        <w:lang w:val="fr-FR"/>
      </w:rPr>
      <w:t xml:space="preserve"> </w:t>
    </w:r>
    <w:r w:rsidR="00821904" w:rsidRPr="0012237B">
      <w:rPr>
        <w:sz w:val="18"/>
        <w:szCs w:val="18"/>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FE" w:rsidRDefault="00E049FE">
      <w:r>
        <w:t>____________________</w:t>
      </w:r>
    </w:p>
  </w:footnote>
  <w:footnote w:type="continuationSeparator" w:id="0">
    <w:p w:rsidR="00E049FE" w:rsidRDefault="00E04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30194"/>
      <w:docPartObj>
        <w:docPartGallery w:val="Page Numbers (Top of Page)"/>
        <w:docPartUnique/>
      </w:docPartObj>
    </w:sdtPr>
    <w:sdtEndPr>
      <w:rPr>
        <w:noProof/>
      </w:rPr>
    </w:sdtEndPr>
    <w:sdtContent>
      <w:p w:rsidR="00E915AF" w:rsidRPr="00AF3325" w:rsidRDefault="00D76916" w:rsidP="00821904">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515013">
          <w:rPr>
            <w:rStyle w:val="PageNumber"/>
            <w:noProof/>
            <w:sz w:val="18"/>
            <w:szCs w:val="16"/>
          </w:rPr>
          <w:t>4</w:t>
        </w:r>
        <w:r w:rsidRPr="002569F7">
          <w:rPr>
            <w:rStyle w:val="PageNumber"/>
            <w:sz w:val="18"/>
            <w:szCs w:val="16"/>
          </w:rPr>
          <w:fldChar w:fldCharType="end"/>
        </w:r>
        <w:r>
          <w:rPr>
            <w:rStyle w:val="PageNumber"/>
            <w:sz w:val="18"/>
            <w:szCs w:val="16"/>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502E20" w:rsidTr="001A74B5">
      <w:tc>
        <w:tcPr>
          <w:tcW w:w="4800" w:type="dxa"/>
          <w:noWrap/>
          <w:tcMar>
            <w:left w:w="0" w:type="dxa"/>
          </w:tcMar>
        </w:tcPr>
        <w:p w:rsidR="00502E20" w:rsidRDefault="00502E20" w:rsidP="00502E20">
          <w:pPr>
            <w:pStyle w:val="Header"/>
            <w:spacing w:before="120" w:line="360" w:lineRule="auto"/>
          </w:pPr>
          <w:r w:rsidRPr="008E52B1">
            <w:rPr>
              <w:noProof/>
              <w:color w:val="3399FF"/>
              <w:lang w:val="en-GB" w:eastAsia="zh-CN"/>
            </w:rPr>
            <w:drawing>
              <wp:inline distT="0" distB="0" distL="0" distR="0" wp14:anchorId="08D109D9" wp14:editId="5673778A">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502E20" w:rsidRDefault="00502E20" w:rsidP="00502E20">
          <w:pPr>
            <w:pStyle w:val="Header"/>
            <w:spacing w:before="240" w:line="360" w:lineRule="auto"/>
            <w:jc w:val="right"/>
          </w:pPr>
          <w:r>
            <w:rPr>
              <w:noProof/>
              <w:lang w:val="en-GB" w:eastAsia="zh-CN"/>
            </w:rPr>
            <w:drawing>
              <wp:inline distT="0" distB="0" distL="0" distR="0" wp14:anchorId="26BDBB55" wp14:editId="57C86952">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3DC4"/>
    <w:rsid w:val="00015C76"/>
    <w:rsid w:val="00026CF8"/>
    <w:rsid w:val="00030BD7"/>
    <w:rsid w:val="00031E64"/>
    <w:rsid w:val="00034340"/>
    <w:rsid w:val="00035CB3"/>
    <w:rsid w:val="00045A8D"/>
    <w:rsid w:val="0005167A"/>
    <w:rsid w:val="00054E5D"/>
    <w:rsid w:val="00070258"/>
    <w:rsid w:val="00071DF6"/>
    <w:rsid w:val="0007323C"/>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265F"/>
    <w:rsid w:val="00117282"/>
    <w:rsid w:val="00117389"/>
    <w:rsid w:val="00121C2D"/>
    <w:rsid w:val="00134404"/>
    <w:rsid w:val="00144DFB"/>
    <w:rsid w:val="001575C5"/>
    <w:rsid w:val="00187CA3"/>
    <w:rsid w:val="00196710"/>
    <w:rsid w:val="00196770"/>
    <w:rsid w:val="00197324"/>
    <w:rsid w:val="001B351B"/>
    <w:rsid w:val="001B42C9"/>
    <w:rsid w:val="001C06DB"/>
    <w:rsid w:val="001C6971"/>
    <w:rsid w:val="001D2785"/>
    <w:rsid w:val="001D5062"/>
    <w:rsid w:val="001D7070"/>
    <w:rsid w:val="001E5403"/>
    <w:rsid w:val="001F2170"/>
    <w:rsid w:val="001F3948"/>
    <w:rsid w:val="001F5A49"/>
    <w:rsid w:val="00201097"/>
    <w:rsid w:val="00201B6E"/>
    <w:rsid w:val="002236C8"/>
    <w:rsid w:val="002302B3"/>
    <w:rsid w:val="00230C66"/>
    <w:rsid w:val="00235A29"/>
    <w:rsid w:val="00240D9A"/>
    <w:rsid w:val="00241526"/>
    <w:rsid w:val="002443A2"/>
    <w:rsid w:val="002569F7"/>
    <w:rsid w:val="00266E74"/>
    <w:rsid w:val="00283C3B"/>
    <w:rsid w:val="002861E6"/>
    <w:rsid w:val="00287D18"/>
    <w:rsid w:val="002A2618"/>
    <w:rsid w:val="002A5DD7"/>
    <w:rsid w:val="002A695D"/>
    <w:rsid w:val="002B0CAC"/>
    <w:rsid w:val="002D00BF"/>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52CA8"/>
    <w:rsid w:val="003534B5"/>
    <w:rsid w:val="003666FF"/>
    <w:rsid w:val="0037309C"/>
    <w:rsid w:val="00380A6E"/>
    <w:rsid w:val="003836D4"/>
    <w:rsid w:val="00387AE4"/>
    <w:rsid w:val="003A1F49"/>
    <w:rsid w:val="003A55ED"/>
    <w:rsid w:val="003A5D52"/>
    <w:rsid w:val="003B2BDA"/>
    <w:rsid w:val="003B55EC"/>
    <w:rsid w:val="003C2EA7"/>
    <w:rsid w:val="003C4471"/>
    <w:rsid w:val="003C7D41"/>
    <w:rsid w:val="003D0676"/>
    <w:rsid w:val="003D4418"/>
    <w:rsid w:val="003D4A69"/>
    <w:rsid w:val="003D73E3"/>
    <w:rsid w:val="003E504F"/>
    <w:rsid w:val="003E78D6"/>
    <w:rsid w:val="003F582C"/>
    <w:rsid w:val="00400573"/>
    <w:rsid w:val="004007A3"/>
    <w:rsid w:val="00406D71"/>
    <w:rsid w:val="00411CB3"/>
    <w:rsid w:val="00416FE8"/>
    <w:rsid w:val="004228FA"/>
    <w:rsid w:val="004326DB"/>
    <w:rsid w:val="0043682E"/>
    <w:rsid w:val="00447ECB"/>
    <w:rsid w:val="00451F33"/>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2E20"/>
    <w:rsid w:val="00505309"/>
    <w:rsid w:val="0050789B"/>
    <w:rsid w:val="00515013"/>
    <w:rsid w:val="00515850"/>
    <w:rsid w:val="005224A1"/>
    <w:rsid w:val="00534372"/>
    <w:rsid w:val="00543DF8"/>
    <w:rsid w:val="00546101"/>
    <w:rsid w:val="00553DD7"/>
    <w:rsid w:val="005638CF"/>
    <w:rsid w:val="005641B2"/>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29E"/>
    <w:rsid w:val="006C53F8"/>
    <w:rsid w:val="006C7CDE"/>
    <w:rsid w:val="006E3B03"/>
    <w:rsid w:val="007234B1"/>
    <w:rsid w:val="00723D08"/>
    <w:rsid w:val="00725FDA"/>
    <w:rsid w:val="00727816"/>
    <w:rsid w:val="00730B9A"/>
    <w:rsid w:val="00750CFA"/>
    <w:rsid w:val="007553DA"/>
    <w:rsid w:val="00773F7E"/>
    <w:rsid w:val="00775DB8"/>
    <w:rsid w:val="00782354"/>
    <w:rsid w:val="00782B3D"/>
    <w:rsid w:val="007921A7"/>
    <w:rsid w:val="007B3DB1"/>
    <w:rsid w:val="007C2E1E"/>
    <w:rsid w:val="007D183E"/>
    <w:rsid w:val="007D43D0"/>
    <w:rsid w:val="007E177B"/>
    <w:rsid w:val="007E1833"/>
    <w:rsid w:val="007E3F13"/>
    <w:rsid w:val="007F751A"/>
    <w:rsid w:val="00800012"/>
    <w:rsid w:val="0080261F"/>
    <w:rsid w:val="00806160"/>
    <w:rsid w:val="008143A4"/>
    <w:rsid w:val="0081513E"/>
    <w:rsid w:val="00821904"/>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3D9D"/>
    <w:rsid w:val="00970468"/>
    <w:rsid w:val="0097645A"/>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1495A"/>
    <w:rsid w:val="00A20FBC"/>
    <w:rsid w:val="00A231BC"/>
    <w:rsid w:val="00A31370"/>
    <w:rsid w:val="00A33E9E"/>
    <w:rsid w:val="00A34D6F"/>
    <w:rsid w:val="00A41F91"/>
    <w:rsid w:val="00A63355"/>
    <w:rsid w:val="00A7596D"/>
    <w:rsid w:val="00A963DF"/>
    <w:rsid w:val="00AA211B"/>
    <w:rsid w:val="00AC0C22"/>
    <w:rsid w:val="00AC3896"/>
    <w:rsid w:val="00AD2CF2"/>
    <w:rsid w:val="00AE2D88"/>
    <w:rsid w:val="00AE4CBE"/>
    <w:rsid w:val="00AE6F6F"/>
    <w:rsid w:val="00AF05CC"/>
    <w:rsid w:val="00AF3325"/>
    <w:rsid w:val="00AF34D9"/>
    <w:rsid w:val="00AF70DA"/>
    <w:rsid w:val="00B019D3"/>
    <w:rsid w:val="00B34CF9"/>
    <w:rsid w:val="00B37559"/>
    <w:rsid w:val="00B4054B"/>
    <w:rsid w:val="00B44E23"/>
    <w:rsid w:val="00B579B0"/>
    <w:rsid w:val="00B57D11"/>
    <w:rsid w:val="00B649D7"/>
    <w:rsid w:val="00B76E35"/>
    <w:rsid w:val="00B81C2F"/>
    <w:rsid w:val="00B90743"/>
    <w:rsid w:val="00B90C45"/>
    <w:rsid w:val="00B933BE"/>
    <w:rsid w:val="00BA7FD4"/>
    <w:rsid w:val="00BD6738"/>
    <w:rsid w:val="00BD7E5E"/>
    <w:rsid w:val="00BE63DB"/>
    <w:rsid w:val="00BE6574"/>
    <w:rsid w:val="00C06DF4"/>
    <w:rsid w:val="00C07319"/>
    <w:rsid w:val="00C16FD2"/>
    <w:rsid w:val="00C236AF"/>
    <w:rsid w:val="00C3556B"/>
    <w:rsid w:val="00C4395E"/>
    <w:rsid w:val="00C47AB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2D8F"/>
    <w:rsid w:val="00D55560"/>
    <w:rsid w:val="00D61C5A"/>
    <w:rsid w:val="00D6790C"/>
    <w:rsid w:val="00D73277"/>
    <w:rsid w:val="00D76586"/>
    <w:rsid w:val="00D76916"/>
    <w:rsid w:val="00D82657"/>
    <w:rsid w:val="00D87E20"/>
    <w:rsid w:val="00DA4037"/>
    <w:rsid w:val="00DC4E73"/>
    <w:rsid w:val="00DE66A5"/>
    <w:rsid w:val="00DF2B50"/>
    <w:rsid w:val="00E01059"/>
    <w:rsid w:val="00E049FE"/>
    <w:rsid w:val="00E04C86"/>
    <w:rsid w:val="00E0743D"/>
    <w:rsid w:val="00E14FB0"/>
    <w:rsid w:val="00E17344"/>
    <w:rsid w:val="00E20F30"/>
    <w:rsid w:val="00E2189C"/>
    <w:rsid w:val="00E25BB1"/>
    <w:rsid w:val="00E27BBA"/>
    <w:rsid w:val="00E30E3F"/>
    <w:rsid w:val="00E35E8F"/>
    <w:rsid w:val="00E428AB"/>
    <w:rsid w:val="00E438E8"/>
    <w:rsid w:val="00E453A3"/>
    <w:rsid w:val="00E520E2"/>
    <w:rsid w:val="00E530C4"/>
    <w:rsid w:val="00E53DCE"/>
    <w:rsid w:val="00E54C8E"/>
    <w:rsid w:val="00E55996"/>
    <w:rsid w:val="00E5604C"/>
    <w:rsid w:val="00E64254"/>
    <w:rsid w:val="00E67928"/>
    <w:rsid w:val="00E70FB5"/>
    <w:rsid w:val="00E73DD1"/>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748BA"/>
    <w:rsid w:val="00F8310E"/>
    <w:rsid w:val="00F914DD"/>
    <w:rsid w:val="00FA2358"/>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paragraph" w:customStyle="1" w:styleId="enumlev19pt">
    <w:name w:val="enumlev1 + 9 pt"/>
    <w:aliases w:val="Left,Before:  0 cm,First line:  0 cm"/>
    <w:basedOn w:val="enumlev1"/>
    <w:rsid w:val="00970468"/>
    <w:pPr>
      <w:tabs>
        <w:tab w:val="clear" w:pos="794"/>
        <w:tab w:val="clear" w:pos="1191"/>
        <w:tab w:val="clear" w:pos="1588"/>
        <w:tab w:val="clear" w:pos="1985"/>
      </w:tabs>
      <w:ind w:left="0" w:firstLine="0"/>
      <w:jc w:val="left"/>
    </w:pPr>
    <w:rPr>
      <w:sz w:val="18"/>
      <w:szCs w:val="18"/>
      <w:lang w:val="fr-CH"/>
    </w:rPr>
  </w:style>
  <w:style w:type="paragraph" w:styleId="ListParagraph">
    <w:name w:val="List Paragraph"/>
    <w:basedOn w:val="Normal"/>
    <w:uiPriority w:val="34"/>
    <w:qFormat/>
    <w:rsid w:val="00E73DD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RectitleChar">
    <w:name w:val="Rec_title Char"/>
    <w:basedOn w:val="DefaultParagraphFont"/>
    <w:link w:val="Rectitle"/>
    <w:rsid w:val="00013DC4"/>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3-C-0095/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95"/>
    <w:rsid w:val="00490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CBD14-B288-44AD-A640-4AAF581E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43</TotalTime>
  <Pages>4</Pages>
  <Words>1036</Words>
  <Characters>6549</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7570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Limousin, Catherine</cp:lastModifiedBy>
  <cp:revision>14</cp:revision>
  <cp:lastPrinted>2019-06-12T13:59:00Z</cp:lastPrinted>
  <dcterms:created xsi:type="dcterms:W3CDTF">2019-06-10T09:01:00Z</dcterms:created>
  <dcterms:modified xsi:type="dcterms:W3CDTF">2019-06-12T14:43:00Z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