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336209">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5674D" w:rsidTr="00336209">
        <w:trPr>
          <w:jc w:val="center"/>
        </w:trPr>
        <w:tc>
          <w:tcPr>
            <w:tcW w:w="7054" w:type="dxa"/>
            <w:gridSpan w:val="2"/>
            <w:shd w:val="clear" w:color="auto" w:fill="auto"/>
          </w:tcPr>
          <w:p w:rsidR="00C76D7F" w:rsidRPr="0035674D" w:rsidRDefault="00D21694" w:rsidP="00E17344">
            <w:pPr>
              <w:spacing w:before="0"/>
              <w:jc w:val="left"/>
              <w:rPr>
                <w:szCs w:val="24"/>
                <w:lang w:val="fr-CH"/>
              </w:rPr>
            </w:pPr>
            <w:r w:rsidRPr="0035674D">
              <w:rPr>
                <w:szCs w:val="24"/>
                <w:lang w:val="fr-CH"/>
              </w:rPr>
              <w:t xml:space="preserve">Administrative </w:t>
            </w:r>
            <w:proofErr w:type="spellStart"/>
            <w:r w:rsidR="008B35A3" w:rsidRPr="0035674D">
              <w:rPr>
                <w:szCs w:val="24"/>
                <w:lang w:val="fr-CH"/>
              </w:rPr>
              <w:t>C</w:t>
            </w:r>
            <w:r w:rsidR="00C76D7F" w:rsidRPr="0035674D">
              <w:rPr>
                <w:szCs w:val="24"/>
                <w:lang w:val="fr-CH"/>
              </w:rPr>
              <w:t>ircular</w:t>
            </w:r>
            <w:proofErr w:type="spellEnd"/>
          </w:p>
          <w:p w:rsidR="00651777" w:rsidRPr="0035674D" w:rsidRDefault="00E17344" w:rsidP="00606BE0">
            <w:pPr>
              <w:spacing w:before="0"/>
              <w:jc w:val="left"/>
              <w:rPr>
                <w:b/>
                <w:bCs/>
                <w:szCs w:val="24"/>
                <w:lang w:val="fr-CH"/>
              </w:rPr>
            </w:pPr>
            <w:r w:rsidRPr="0035674D">
              <w:rPr>
                <w:b/>
                <w:bCs/>
                <w:szCs w:val="24"/>
                <w:lang w:val="fr-CH"/>
              </w:rPr>
              <w:t>CA</w:t>
            </w:r>
            <w:r w:rsidR="003151D0" w:rsidRPr="0035674D">
              <w:rPr>
                <w:b/>
                <w:bCs/>
                <w:szCs w:val="24"/>
                <w:lang w:val="fr-CH"/>
              </w:rPr>
              <w:t>CE</w:t>
            </w:r>
            <w:r w:rsidR="003836D4" w:rsidRPr="0035674D">
              <w:rPr>
                <w:b/>
                <w:bCs/>
                <w:szCs w:val="24"/>
                <w:lang w:val="fr-CH"/>
              </w:rPr>
              <w:t>/</w:t>
            </w:r>
            <w:r w:rsidR="00606BE0">
              <w:rPr>
                <w:b/>
                <w:bCs/>
                <w:szCs w:val="24"/>
                <w:lang w:val="fr-CH"/>
              </w:rPr>
              <w:t>904</w:t>
            </w:r>
          </w:p>
        </w:tc>
        <w:tc>
          <w:tcPr>
            <w:tcW w:w="2835" w:type="dxa"/>
            <w:shd w:val="clear" w:color="auto" w:fill="auto"/>
          </w:tcPr>
          <w:p w:rsidR="00651777" w:rsidRPr="0035674D" w:rsidRDefault="00606BE0" w:rsidP="00E51022">
            <w:pPr>
              <w:spacing w:before="0"/>
              <w:jc w:val="right"/>
              <w:rPr>
                <w:szCs w:val="24"/>
                <w:lang w:val="en-GB"/>
              </w:rPr>
            </w:pPr>
            <w:r>
              <w:rPr>
                <w:szCs w:val="24"/>
                <w:lang w:val="en-GB"/>
              </w:rPr>
              <w:t>14 June 2019</w:t>
            </w:r>
          </w:p>
        </w:tc>
      </w:tr>
      <w:tr w:rsidR="0037309C" w:rsidRPr="0035674D" w:rsidTr="00336209">
        <w:trPr>
          <w:jc w:val="center"/>
        </w:trPr>
        <w:tc>
          <w:tcPr>
            <w:tcW w:w="9889" w:type="dxa"/>
            <w:gridSpan w:val="3"/>
            <w:shd w:val="clear" w:color="auto" w:fill="auto"/>
          </w:tcPr>
          <w:p w:rsidR="0037309C" w:rsidRPr="0035674D" w:rsidRDefault="0037309C" w:rsidP="006047E5">
            <w:pPr>
              <w:spacing w:before="0"/>
              <w:jc w:val="left"/>
              <w:rPr>
                <w:rFonts w:cs="Arial"/>
                <w:szCs w:val="24"/>
                <w:lang w:val="en-GB"/>
              </w:rPr>
            </w:pPr>
          </w:p>
        </w:tc>
      </w:tr>
      <w:tr w:rsidR="0037309C" w:rsidRPr="0035674D" w:rsidTr="00336209">
        <w:trPr>
          <w:jc w:val="center"/>
        </w:trPr>
        <w:tc>
          <w:tcPr>
            <w:tcW w:w="9889" w:type="dxa"/>
            <w:gridSpan w:val="3"/>
            <w:shd w:val="clear" w:color="auto" w:fill="auto"/>
          </w:tcPr>
          <w:p w:rsidR="0037309C" w:rsidRPr="0035674D" w:rsidRDefault="0037309C" w:rsidP="00D374CD">
            <w:pPr>
              <w:spacing w:before="0"/>
              <w:jc w:val="left"/>
              <w:rPr>
                <w:szCs w:val="24"/>
              </w:rPr>
            </w:pPr>
          </w:p>
        </w:tc>
      </w:tr>
      <w:tr w:rsidR="0037309C" w:rsidRPr="0035674D" w:rsidTr="00336209">
        <w:trPr>
          <w:jc w:val="center"/>
        </w:trPr>
        <w:tc>
          <w:tcPr>
            <w:tcW w:w="9889" w:type="dxa"/>
            <w:gridSpan w:val="3"/>
            <w:shd w:val="clear" w:color="auto" w:fill="auto"/>
          </w:tcPr>
          <w:p w:rsidR="00D21694" w:rsidRPr="0035674D" w:rsidRDefault="0037309C" w:rsidP="00777094">
            <w:pPr>
              <w:spacing w:before="0"/>
              <w:jc w:val="left"/>
              <w:rPr>
                <w:b/>
                <w:bCs/>
                <w:szCs w:val="24"/>
              </w:rPr>
            </w:pPr>
            <w:r w:rsidRPr="0035674D">
              <w:rPr>
                <w:b/>
                <w:bCs/>
                <w:szCs w:val="24"/>
              </w:rPr>
              <w:t>To Administrations of Member States of the ITU,</w:t>
            </w:r>
            <w:r w:rsidR="003151D0" w:rsidRPr="0035674D">
              <w:rPr>
                <w:b/>
                <w:bCs/>
                <w:szCs w:val="24"/>
              </w:rPr>
              <w:t xml:space="preserve"> </w:t>
            </w:r>
            <w:proofErr w:type="spellStart"/>
            <w:r w:rsidR="003151D0" w:rsidRPr="0035674D">
              <w:rPr>
                <w:b/>
                <w:bCs/>
              </w:rPr>
              <w:t>Radiocommunication</w:t>
            </w:r>
            <w:proofErr w:type="spellEnd"/>
            <w:r w:rsidR="003151D0" w:rsidRPr="0035674D">
              <w:rPr>
                <w:b/>
                <w:bCs/>
              </w:rPr>
              <w:t xml:space="preserve"> Sector Members</w:t>
            </w:r>
            <w:r w:rsidR="00006210">
              <w:rPr>
                <w:b/>
                <w:bCs/>
              </w:rPr>
              <w:t>,</w:t>
            </w:r>
            <w:r w:rsidR="00C92C65" w:rsidRPr="0035674D">
              <w:rPr>
                <w:b/>
                <w:bCs/>
              </w:rPr>
              <w:t xml:space="preserve"> </w:t>
            </w:r>
            <w:r w:rsidR="003151D0" w:rsidRPr="0035674D">
              <w:rPr>
                <w:b/>
                <w:bCs/>
              </w:rPr>
              <w:t>ITU</w:t>
            </w:r>
            <w:r w:rsidR="004C6E10" w:rsidRPr="0035674D">
              <w:rPr>
                <w:b/>
                <w:bCs/>
              </w:rPr>
              <w:noBreakHyphen/>
            </w:r>
            <w:r w:rsidR="003151D0" w:rsidRPr="0035674D">
              <w:rPr>
                <w:b/>
                <w:bCs/>
              </w:rPr>
              <w:t xml:space="preserve">R Associates participating in the work of </w:t>
            </w:r>
            <w:proofErr w:type="spellStart"/>
            <w:r w:rsidR="003151D0" w:rsidRPr="0035674D">
              <w:rPr>
                <w:b/>
                <w:bCs/>
              </w:rPr>
              <w:t>Radiocommunication</w:t>
            </w:r>
            <w:proofErr w:type="spellEnd"/>
            <w:r w:rsidR="003151D0" w:rsidRPr="0035674D">
              <w:rPr>
                <w:b/>
                <w:bCs/>
              </w:rPr>
              <w:t xml:space="preserve"> Study Group </w:t>
            </w:r>
            <w:r w:rsidR="00FE3CBB">
              <w:rPr>
                <w:b/>
                <w:bCs/>
              </w:rPr>
              <w:t xml:space="preserve">3 </w:t>
            </w:r>
            <w:r w:rsidR="00006210">
              <w:rPr>
                <w:b/>
                <w:bCs/>
              </w:rPr>
              <w:t>and ITU Academia</w:t>
            </w:r>
          </w:p>
          <w:p w:rsidR="00D21694" w:rsidRPr="0035674D" w:rsidRDefault="00D21694" w:rsidP="006047E5">
            <w:pPr>
              <w:spacing w:before="0"/>
              <w:jc w:val="left"/>
              <w:rPr>
                <w:b/>
                <w:bCs/>
                <w:szCs w:val="24"/>
              </w:rPr>
            </w:pPr>
          </w:p>
        </w:tc>
      </w:tr>
      <w:tr w:rsidR="0037309C" w:rsidRPr="0035674D" w:rsidTr="00336209">
        <w:trPr>
          <w:jc w:val="center"/>
        </w:trPr>
        <w:tc>
          <w:tcPr>
            <w:tcW w:w="9889" w:type="dxa"/>
            <w:gridSpan w:val="3"/>
            <w:shd w:val="clear" w:color="auto" w:fill="auto"/>
          </w:tcPr>
          <w:p w:rsidR="0037309C" w:rsidRPr="0035674D" w:rsidRDefault="0037309C" w:rsidP="006047E5">
            <w:pPr>
              <w:spacing w:before="0"/>
              <w:jc w:val="left"/>
              <w:rPr>
                <w:szCs w:val="24"/>
              </w:rPr>
            </w:pPr>
          </w:p>
        </w:tc>
      </w:tr>
      <w:tr w:rsidR="0037309C" w:rsidRPr="0035674D" w:rsidTr="00336209">
        <w:trPr>
          <w:jc w:val="center"/>
        </w:trPr>
        <w:tc>
          <w:tcPr>
            <w:tcW w:w="9889" w:type="dxa"/>
            <w:gridSpan w:val="3"/>
            <w:shd w:val="clear" w:color="auto" w:fill="auto"/>
          </w:tcPr>
          <w:p w:rsidR="0037309C" w:rsidRPr="0035674D" w:rsidRDefault="0037309C" w:rsidP="006047E5">
            <w:pPr>
              <w:spacing w:before="0"/>
              <w:jc w:val="left"/>
              <w:rPr>
                <w:szCs w:val="24"/>
              </w:rPr>
            </w:pPr>
          </w:p>
        </w:tc>
      </w:tr>
      <w:tr w:rsidR="00B4054B" w:rsidRPr="00777094" w:rsidTr="00336209">
        <w:trPr>
          <w:jc w:val="center"/>
        </w:trPr>
        <w:tc>
          <w:tcPr>
            <w:tcW w:w="1526" w:type="dxa"/>
            <w:shd w:val="clear" w:color="auto" w:fill="auto"/>
          </w:tcPr>
          <w:p w:rsidR="00B4054B" w:rsidRPr="00777094" w:rsidRDefault="00B4054B" w:rsidP="006A0053">
            <w:pPr>
              <w:spacing w:before="0"/>
              <w:jc w:val="left"/>
              <w:rPr>
                <w:szCs w:val="24"/>
                <w:lang w:val="en-GB"/>
              </w:rPr>
            </w:pPr>
            <w:r w:rsidRPr="00777094">
              <w:rPr>
                <w:szCs w:val="24"/>
              </w:rPr>
              <w:t>Subject:</w:t>
            </w:r>
          </w:p>
        </w:tc>
        <w:tc>
          <w:tcPr>
            <w:tcW w:w="8363" w:type="dxa"/>
            <w:gridSpan w:val="2"/>
            <w:vMerge w:val="restart"/>
            <w:shd w:val="clear" w:color="auto" w:fill="auto"/>
          </w:tcPr>
          <w:p w:rsidR="00DF170E" w:rsidRPr="00777094" w:rsidRDefault="003151D0">
            <w:pPr>
              <w:tabs>
                <w:tab w:val="clear" w:pos="794"/>
                <w:tab w:val="clear" w:pos="1588"/>
                <w:tab w:val="clear" w:pos="1985"/>
                <w:tab w:val="left" w:pos="454"/>
                <w:tab w:val="left" w:pos="1418"/>
              </w:tabs>
              <w:spacing w:before="120"/>
              <w:ind w:left="459" w:hanging="459"/>
              <w:rPr>
                <w:b/>
                <w:bCs/>
              </w:rPr>
            </w:pPr>
            <w:proofErr w:type="spellStart"/>
            <w:r w:rsidRPr="00777094">
              <w:rPr>
                <w:b/>
                <w:bCs/>
              </w:rPr>
              <w:t>Radiocommunication</w:t>
            </w:r>
            <w:proofErr w:type="spellEnd"/>
            <w:r w:rsidRPr="00777094">
              <w:rPr>
                <w:b/>
                <w:bCs/>
              </w:rPr>
              <w:t xml:space="preserve"> Study Group </w:t>
            </w:r>
            <w:bookmarkStart w:id="0" w:name="OLE_LINK1"/>
            <w:bookmarkStart w:id="1" w:name="OLE_LINK2"/>
            <w:r w:rsidR="00606BE0" w:rsidRPr="00777094">
              <w:rPr>
                <w:b/>
                <w:bCs/>
              </w:rPr>
              <w:t xml:space="preserve">3 </w:t>
            </w:r>
            <w:r w:rsidR="00AF6DFE" w:rsidRPr="00777094">
              <w:rPr>
                <w:b/>
                <w:bCs/>
              </w:rPr>
              <w:t>(</w:t>
            </w:r>
            <w:proofErr w:type="spellStart"/>
            <w:r w:rsidR="00606BE0" w:rsidRPr="00777094">
              <w:rPr>
                <w:b/>
                <w:bCs/>
              </w:rPr>
              <w:t>Radiowave</w:t>
            </w:r>
            <w:proofErr w:type="spellEnd"/>
            <w:r w:rsidR="00606BE0" w:rsidRPr="00777094">
              <w:rPr>
                <w:b/>
                <w:bCs/>
              </w:rPr>
              <w:t xml:space="preserve"> propagation</w:t>
            </w:r>
            <w:r w:rsidR="00DF170E" w:rsidRPr="00777094">
              <w:rPr>
                <w:b/>
                <w:bCs/>
                <w:i/>
                <w:iCs/>
              </w:rPr>
              <w:t>)</w:t>
            </w:r>
          </w:p>
          <w:p w:rsidR="003151D0" w:rsidRPr="00777094" w:rsidRDefault="003151D0" w:rsidP="00777094">
            <w:pPr>
              <w:tabs>
                <w:tab w:val="clear" w:pos="794"/>
                <w:tab w:val="clear" w:pos="1588"/>
                <w:tab w:val="clear" w:pos="1985"/>
                <w:tab w:val="left" w:pos="454"/>
                <w:tab w:val="left" w:pos="1418"/>
              </w:tabs>
              <w:spacing w:before="120" w:after="120"/>
              <w:ind w:left="459" w:hanging="459"/>
              <w:jc w:val="left"/>
              <w:rPr>
                <w:b/>
                <w:bCs/>
                <w:szCs w:val="24"/>
                <w:lang w:val="en-GB"/>
              </w:rPr>
            </w:pPr>
            <w:r w:rsidRPr="00777094">
              <w:rPr>
                <w:b/>
              </w:rPr>
              <w:t>–</w:t>
            </w:r>
            <w:r w:rsidRPr="00777094">
              <w:rPr>
                <w:bCs/>
              </w:rPr>
              <w:tab/>
            </w:r>
            <w:r w:rsidRPr="00777094">
              <w:rPr>
                <w:b/>
              </w:rPr>
              <w:t xml:space="preserve">Proposed approval of </w:t>
            </w:r>
            <w:r w:rsidR="00606BE0" w:rsidRPr="00777094">
              <w:rPr>
                <w:b/>
              </w:rPr>
              <w:t xml:space="preserve">5 </w:t>
            </w:r>
            <w:r w:rsidRPr="00777094">
              <w:rPr>
                <w:b/>
              </w:rPr>
              <w:t>draft revised ITU-R Recommendations</w:t>
            </w:r>
            <w:bookmarkEnd w:id="0"/>
            <w:bookmarkEnd w:id="1"/>
          </w:p>
        </w:tc>
      </w:tr>
      <w:tr w:rsidR="00B4054B" w:rsidRPr="00777094" w:rsidTr="00336209">
        <w:trPr>
          <w:jc w:val="center"/>
        </w:trPr>
        <w:tc>
          <w:tcPr>
            <w:tcW w:w="1526" w:type="dxa"/>
            <w:shd w:val="clear" w:color="auto" w:fill="auto"/>
          </w:tcPr>
          <w:p w:rsidR="00B4054B" w:rsidRPr="00777094" w:rsidRDefault="00B4054B" w:rsidP="006A0053">
            <w:pPr>
              <w:spacing w:before="0"/>
              <w:jc w:val="left"/>
              <w:rPr>
                <w:b/>
                <w:bCs/>
                <w:szCs w:val="24"/>
                <w:lang w:val="en-GB"/>
              </w:rPr>
            </w:pPr>
          </w:p>
        </w:tc>
        <w:tc>
          <w:tcPr>
            <w:tcW w:w="8363" w:type="dxa"/>
            <w:gridSpan w:val="2"/>
            <w:vMerge/>
            <w:shd w:val="clear" w:color="auto" w:fill="auto"/>
          </w:tcPr>
          <w:p w:rsidR="00B4054B" w:rsidRPr="00777094" w:rsidRDefault="00B4054B" w:rsidP="006A0053">
            <w:pPr>
              <w:spacing w:before="0"/>
              <w:rPr>
                <w:b/>
                <w:bCs/>
                <w:szCs w:val="24"/>
                <w:lang w:val="en-GB"/>
              </w:rPr>
            </w:pPr>
          </w:p>
        </w:tc>
      </w:tr>
      <w:tr w:rsidR="00B4054B" w:rsidRPr="00777094" w:rsidTr="00336209">
        <w:trPr>
          <w:jc w:val="center"/>
        </w:trPr>
        <w:tc>
          <w:tcPr>
            <w:tcW w:w="1526" w:type="dxa"/>
            <w:shd w:val="clear" w:color="auto" w:fill="auto"/>
          </w:tcPr>
          <w:p w:rsidR="00B4054B" w:rsidRPr="00777094" w:rsidRDefault="00B4054B" w:rsidP="006A0053">
            <w:pPr>
              <w:spacing w:before="0"/>
              <w:jc w:val="left"/>
              <w:rPr>
                <w:b/>
                <w:bCs/>
                <w:szCs w:val="24"/>
                <w:lang w:val="en-GB"/>
              </w:rPr>
            </w:pPr>
          </w:p>
        </w:tc>
        <w:tc>
          <w:tcPr>
            <w:tcW w:w="8363" w:type="dxa"/>
            <w:gridSpan w:val="2"/>
            <w:vMerge/>
            <w:shd w:val="clear" w:color="auto" w:fill="auto"/>
          </w:tcPr>
          <w:p w:rsidR="00B4054B" w:rsidRPr="00777094" w:rsidRDefault="00B4054B" w:rsidP="006A0053">
            <w:pPr>
              <w:spacing w:before="0"/>
              <w:rPr>
                <w:b/>
                <w:bCs/>
                <w:szCs w:val="24"/>
                <w:lang w:val="en-GB"/>
              </w:rPr>
            </w:pPr>
          </w:p>
        </w:tc>
      </w:tr>
      <w:tr w:rsidR="00C51E92" w:rsidRPr="00777094" w:rsidTr="00336209">
        <w:trPr>
          <w:jc w:val="center"/>
        </w:trPr>
        <w:tc>
          <w:tcPr>
            <w:tcW w:w="9889" w:type="dxa"/>
            <w:gridSpan w:val="3"/>
            <w:shd w:val="clear" w:color="auto" w:fill="auto"/>
          </w:tcPr>
          <w:p w:rsidR="00C51E92" w:rsidRPr="00777094" w:rsidRDefault="00C51E92" w:rsidP="00F72DBF">
            <w:pPr>
              <w:spacing w:before="0"/>
              <w:jc w:val="left"/>
              <w:rPr>
                <w:b/>
                <w:bCs/>
                <w:szCs w:val="24"/>
              </w:rPr>
            </w:pPr>
          </w:p>
        </w:tc>
      </w:tr>
      <w:tr w:rsidR="00C51E92" w:rsidRPr="00777094" w:rsidTr="00336209">
        <w:trPr>
          <w:jc w:val="center"/>
        </w:trPr>
        <w:tc>
          <w:tcPr>
            <w:tcW w:w="9889" w:type="dxa"/>
            <w:gridSpan w:val="3"/>
            <w:shd w:val="clear" w:color="auto" w:fill="auto"/>
          </w:tcPr>
          <w:p w:rsidR="00C51E92" w:rsidRPr="00777094" w:rsidRDefault="00C51E92" w:rsidP="00F72DBF">
            <w:pPr>
              <w:spacing w:before="0"/>
              <w:jc w:val="left"/>
              <w:rPr>
                <w:b/>
                <w:bCs/>
                <w:szCs w:val="24"/>
              </w:rPr>
            </w:pPr>
          </w:p>
        </w:tc>
      </w:tr>
    </w:tbl>
    <w:p w:rsidR="00006210" w:rsidRPr="00777094" w:rsidRDefault="003151D0">
      <w:pPr>
        <w:ind w:right="-284"/>
      </w:pPr>
      <w:r w:rsidRPr="00777094">
        <w:t xml:space="preserve">At the meeting of </w:t>
      </w:r>
      <w:proofErr w:type="spellStart"/>
      <w:r w:rsidR="001743D1" w:rsidRPr="00777094">
        <w:t>Radiocommunication</w:t>
      </w:r>
      <w:proofErr w:type="spellEnd"/>
      <w:r w:rsidRPr="00777094">
        <w:t xml:space="preserve"> Study Group </w:t>
      </w:r>
      <w:r w:rsidR="00606BE0" w:rsidRPr="00777094">
        <w:t xml:space="preserve">3 </w:t>
      </w:r>
      <w:r w:rsidRPr="00777094">
        <w:t xml:space="preserve">held </w:t>
      </w:r>
      <w:r w:rsidR="00606BE0" w:rsidRPr="00777094">
        <w:t>on 24 May</w:t>
      </w:r>
      <w:r w:rsidR="00AF6DFE" w:rsidRPr="00777094">
        <w:t xml:space="preserve"> </w:t>
      </w:r>
      <w:r w:rsidR="0035674D" w:rsidRPr="00777094">
        <w:t>201</w:t>
      </w:r>
      <w:r w:rsidR="00606BE0" w:rsidRPr="00777094">
        <w:t>9</w:t>
      </w:r>
      <w:r w:rsidRPr="00777094">
        <w:t xml:space="preserve">, the Study Group adopted the texts of </w:t>
      </w:r>
      <w:r w:rsidR="00606BE0" w:rsidRPr="00777094">
        <w:t xml:space="preserve">5 </w:t>
      </w:r>
      <w:r w:rsidRPr="00777094">
        <w:t xml:space="preserve">draft revised </w:t>
      </w:r>
      <w:r w:rsidR="00606BE0" w:rsidRPr="00777094">
        <w:t>ITU</w:t>
      </w:r>
      <w:r w:rsidR="00606BE0" w:rsidRPr="00777094">
        <w:noBreakHyphen/>
      </w:r>
      <w:r w:rsidR="00E51022" w:rsidRPr="00777094">
        <w:t xml:space="preserve">R </w:t>
      </w:r>
      <w:r w:rsidRPr="00777094">
        <w:t>Recommendations and agreed to apply the procedure of Resolution ITU-R 1-</w:t>
      </w:r>
      <w:r w:rsidR="00282374" w:rsidRPr="00777094">
        <w:t xml:space="preserve">7 </w:t>
      </w:r>
      <w:r w:rsidRPr="00777094">
        <w:t>(see § </w:t>
      </w:r>
      <w:r w:rsidR="00282374" w:rsidRPr="00777094">
        <w:t>A2.6.2.</w:t>
      </w:r>
      <w:r w:rsidR="00AE72D6" w:rsidRPr="00777094">
        <w:t>3</w:t>
      </w:r>
      <w:r w:rsidRPr="00777094">
        <w:t xml:space="preserve">) for approval of Recommendations by consultation. The titles and summaries of the draft Recommendations are given in </w:t>
      </w:r>
      <w:r w:rsidR="00E51022" w:rsidRPr="00777094">
        <w:t>the Annex to this letter</w:t>
      </w:r>
      <w:r w:rsidRPr="00777094">
        <w:t xml:space="preserve">. </w:t>
      </w:r>
      <w:r w:rsidR="0022621E" w:rsidRPr="00777094">
        <w:t>Any Member State who objects to the approval of a draft Recommendation is requested to inform the Director and the Chairman of the Study Group of the reasons for the objection.</w:t>
      </w:r>
    </w:p>
    <w:p w:rsidR="003151D0" w:rsidRPr="00777094" w:rsidRDefault="003151D0">
      <w:r w:rsidRPr="00777094">
        <w:t xml:space="preserve">Having regard to the provisions of § </w:t>
      </w:r>
      <w:r w:rsidR="00E54AD0" w:rsidRPr="00777094">
        <w:t>A2.6.2.3</w:t>
      </w:r>
      <w:r w:rsidRPr="00777094">
        <w:t xml:space="preserve"> of Resolution ITU-R 1-</w:t>
      </w:r>
      <w:r w:rsidR="00031186" w:rsidRPr="00777094">
        <w:t>7</w:t>
      </w:r>
      <w:r w:rsidRPr="00777094">
        <w:t>, Member States are requested to inform the Secretariat (</w:t>
      </w:r>
      <w:hyperlink r:id="rId8" w:history="1">
        <w:r w:rsidRPr="00777094">
          <w:rPr>
            <w:rStyle w:val="Hyperlink"/>
          </w:rPr>
          <w:t>brsgd@itu.int</w:t>
        </w:r>
      </w:hyperlink>
      <w:r w:rsidRPr="00777094">
        <w:t>) by</w:t>
      </w:r>
      <w:r w:rsidR="00DF170E" w:rsidRPr="00777094">
        <w:rPr>
          <w:i/>
          <w:iCs/>
        </w:rPr>
        <w:t xml:space="preserve"> </w:t>
      </w:r>
      <w:r w:rsidR="00606BE0" w:rsidRPr="00777094">
        <w:rPr>
          <w:u w:val="single"/>
        </w:rPr>
        <w:t>14 August</w:t>
      </w:r>
      <w:r w:rsidR="00AF6DFE" w:rsidRPr="00777094">
        <w:rPr>
          <w:u w:val="single"/>
        </w:rPr>
        <w:t xml:space="preserve"> </w:t>
      </w:r>
      <w:r w:rsidR="00031186" w:rsidRPr="00777094">
        <w:rPr>
          <w:u w:val="single"/>
        </w:rPr>
        <w:t>201</w:t>
      </w:r>
      <w:r w:rsidR="00606BE0" w:rsidRPr="00777094">
        <w:rPr>
          <w:u w:val="single"/>
        </w:rPr>
        <w:t>9</w:t>
      </w:r>
      <w:r w:rsidRPr="00777094">
        <w:t>, whether they approve or do not approve the proposals above.</w:t>
      </w:r>
    </w:p>
    <w:p w:rsidR="003151D0" w:rsidRPr="0035674D" w:rsidRDefault="003151D0">
      <w:r w:rsidRPr="00777094">
        <w:t xml:space="preserve">After the above-mentioned deadline, the results of this consultation will be announced in an Administrative Circular and the approved Recommendations will be published as soon as practicable (see </w:t>
      </w:r>
      <w:hyperlink r:id="rId9" w:history="1">
        <w:r w:rsidRPr="00777094">
          <w:rPr>
            <w:rStyle w:val="Hyperlink"/>
          </w:rPr>
          <w:t>http://www.itu.int/pub/R-REC</w:t>
        </w:r>
      </w:hyperlink>
      <w:r w:rsidRPr="0035674D">
        <w:t>).</w:t>
      </w:r>
    </w:p>
    <w:p w:rsidR="003151D0" w:rsidRPr="0035674D" w:rsidRDefault="003151D0" w:rsidP="003151D0">
      <w:pPr>
        <w:tabs>
          <w:tab w:val="clear" w:pos="794"/>
          <w:tab w:val="clear" w:pos="1191"/>
          <w:tab w:val="clear" w:pos="1588"/>
          <w:tab w:val="clear" w:pos="1985"/>
        </w:tabs>
        <w:overflowPunct/>
        <w:autoSpaceDE/>
        <w:autoSpaceDN/>
        <w:adjustRightInd/>
        <w:spacing w:before="0"/>
        <w:textAlignment w:val="auto"/>
      </w:pPr>
      <w:r w:rsidRPr="0035674D">
        <w:br w:type="page"/>
      </w:r>
    </w:p>
    <w:p w:rsidR="003151D0" w:rsidRPr="0035674D" w:rsidRDefault="003151D0">
      <w:r w:rsidRPr="0035674D">
        <w:lastRenderedPageBreak/>
        <w:t xml:space="preserve">Any ITU member organization aware of a patent held by itself or others which may fully or partly </w:t>
      </w:r>
      <w:r w:rsidRPr="00777094">
        <w:t>cover elements of the draft Recommendations mentioned in this letter is requested to disclose such</w:t>
      </w:r>
      <w:r w:rsidRPr="0035674D">
        <w:t xml:space="preserve"> information to the Secretariat as soon as possible. The Common Patent Policy for </w:t>
      </w:r>
      <w:r w:rsidRPr="0035674D">
        <w:br/>
        <w:t xml:space="preserve">ITU-T/ITU-R/ISO/IEC is available at </w:t>
      </w:r>
      <w:hyperlink r:id="rId10" w:history="1">
        <w:r w:rsidRPr="0035674D">
          <w:rPr>
            <w:rStyle w:val="Hyperlink"/>
          </w:rPr>
          <w:t>http://www.itu.int/en/ITU-T/ipr/Pages/policy.aspx</w:t>
        </w:r>
      </w:hyperlink>
      <w:r w:rsidRPr="0035674D">
        <w:t>.</w:t>
      </w:r>
    </w:p>
    <w:p w:rsidR="00A364FB" w:rsidRPr="0035674D" w:rsidRDefault="001B51F7" w:rsidP="00A364FB">
      <w:pPr>
        <w:spacing w:before="1418" w:line="240" w:lineRule="auto"/>
        <w:jc w:val="left"/>
        <w:rPr>
          <w:rFonts w:asciiTheme="minorHAnsi" w:hAnsiTheme="minorHAnsi" w:cstheme="minorHAnsi"/>
          <w:szCs w:val="24"/>
        </w:rPr>
      </w:pPr>
      <w:r w:rsidRPr="00777094">
        <w:rPr>
          <w:szCs w:val="24"/>
        </w:rPr>
        <w:t xml:space="preserve">Mario </w:t>
      </w:r>
      <w:proofErr w:type="spellStart"/>
      <w:r w:rsidRPr="00777094">
        <w:rPr>
          <w:szCs w:val="24"/>
        </w:rPr>
        <w:t>Maniewicz</w:t>
      </w:r>
      <w:proofErr w:type="spellEnd"/>
    </w:p>
    <w:p w:rsidR="00A364FB" w:rsidRPr="0035674D" w:rsidRDefault="00A364FB" w:rsidP="00A364FB">
      <w:pPr>
        <w:spacing w:before="0" w:line="240" w:lineRule="auto"/>
        <w:jc w:val="left"/>
        <w:rPr>
          <w:rFonts w:asciiTheme="minorHAnsi" w:hAnsiTheme="minorHAnsi" w:cstheme="minorHAnsi"/>
          <w:szCs w:val="24"/>
        </w:rPr>
      </w:pPr>
      <w:r w:rsidRPr="0035674D">
        <w:rPr>
          <w:rFonts w:asciiTheme="minorHAnsi" w:hAnsiTheme="minorHAnsi" w:cstheme="minorHAnsi"/>
          <w:szCs w:val="24"/>
        </w:rPr>
        <w:t>Director</w:t>
      </w:r>
    </w:p>
    <w:p w:rsidR="003151D0" w:rsidRPr="0035674D" w:rsidRDefault="003151D0" w:rsidP="003151D0">
      <w:pPr>
        <w:tabs>
          <w:tab w:val="center" w:pos="7939"/>
          <w:tab w:val="right" w:pos="8505"/>
        </w:tabs>
        <w:rPr>
          <w:u w:val="single"/>
        </w:rPr>
      </w:pPr>
    </w:p>
    <w:p w:rsidR="003151D0" w:rsidRPr="0035674D" w:rsidRDefault="003151D0" w:rsidP="003151D0">
      <w:pPr>
        <w:tabs>
          <w:tab w:val="center" w:pos="7939"/>
          <w:tab w:val="right" w:pos="8505"/>
        </w:tabs>
        <w:rPr>
          <w:u w:val="single"/>
        </w:rPr>
      </w:pPr>
    </w:p>
    <w:p w:rsidR="003151D0" w:rsidRPr="0035674D" w:rsidRDefault="003151D0">
      <w:pPr>
        <w:tabs>
          <w:tab w:val="center" w:pos="7939"/>
          <w:tab w:val="right" w:pos="8505"/>
        </w:tabs>
      </w:pPr>
      <w:r w:rsidRPr="00777094">
        <w:rPr>
          <w:b/>
          <w:bCs/>
        </w:rPr>
        <w:t>Annex:</w:t>
      </w:r>
      <w:r w:rsidRPr="00777094">
        <w:tab/>
        <w:t>Titles and summaries of the draft Recommendations</w:t>
      </w:r>
    </w:p>
    <w:p w:rsidR="003151D0" w:rsidRPr="0035674D" w:rsidRDefault="003151D0" w:rsidP="003151D0">
      <w:pPr>
        <w:tabs>
          <w:tab w:val="center" w:pos="7939"/>
          <w:tab w:val="right" w:pos="8505"/>
        </w:tabs>
        <w:rPr>
          <w:u w:val="single"/>
        </w:rPr>
      </w:pPr>
    </w:p>
    <w:p w:rsidR="003151D0" w:rsidRPr="0035674D" w:rsidRDefault="003151D0" w:rsidP="00965BF4">
      <w:pPr>
        <w:tabs>
          <w:tab w:val="center" w:pos="7939"/>
          <w:tab w:val="right" w:pos="8505"/>
        </w:tabs>
        <w:rPr>
          <w:b/>
          <w:lang w:val="fr-CH"/>
        </w:rPr>
      </w:pPr>
      <w:r w:rsidRPr="0035674D">
        <w:rPr>
          <w:b/>
          <w:lang w:val="fr-CH"/>
        </w:rPr>
        <w:t xml:space="preserve">Documents: </w:t>
      </w:r>
      <w:r w:rsidR="000F6542">
        <w:rPr>
          <w:b/>
          <w:lang w:val="fr-CH"/>
        </w:rPr>
        <w:tab/>
      </w:r>
      <w:r w:rsidR="000F6542" w:rsidRPr="00B32178">
        <w:rPr>
          <w:rStyle w:val="Hyperlink"/>
          <w:color w:val="auto"/>
          <w:u w:val="none"/>
          <w:lang w:val="fr-CH"/>
        </w:rPr>
        <w:t>3/93</w:t>
      </w:r>
      <w:r w:rsidR="000F6542" w:rsidRPr="00B32178">
        <w:rPr>
          <w:lang w:val="fr-CH"/>
        </w:rPr>
        <w:t xml:space="preserve">, </w:t>
      </w:r>
      <w:r w:rsidR="000F6542" w:rsidRPr="00B32178">
        <w:rPr>
          <w:rStyle w:val="Hyperlink"/>
          <w:color w:val="auto"/>
          <w:u w:val="none"/>
          <w:lang w:val="fr-CH"/>
        </w:rPr>
        <w:t>3/94(Rev.1)</w:t>
      </w:r>
      <w:r w:rsidR="000F6542" w:rsidRPr="00B32178">
        <w:rPr>
          <w:lang w:val="fr-CH"/>
        </w:rPr>
        <w:t xml:space="preserve">, </w:t>
      </w:r>
      <w:r w:rsidR="000F6542" w:rsidRPr="00B32178">
        <w:rPr>
          <w:rStyle w:val="Hyperlink"/>
          <w:color w:val="auto"/>
          <w:u w:val="none"/>
          <w:lang w:val="fr-CH"/>
        </w:rPr>
        <w:t>3/95(Rev.1)</w:t>
      </w:r>
      <w:r w:rsidR="000F6542" w:rsidRPr="00B32178">
        <w:rPr>
          <w:lang w:val="fr-CH"/>
        </w:rPr>
        <w:t xml:space="preserve">, </w:t>
      </w:r>
      <w:r w:rsidR="000F6542" w:rsidRPr="00B32178">
        <w:rPr>
          <w:rStyle w:val="Hyperlink"/>
          <w:color w:val="auto"/>
          <w:u w:val="none"/>
          <w:lang w:val="fr-CH"/>
        </w:rPr>
        <w:t>3/97(Rev.1)</w:t>
      </w:r>
      <w:r w:rsidR="000F6542" w:rsidRPr="00B32178">
        <w:rPr>
          <w:lang w:val="fr-CH"/>
        </w:rPr>
        <w:t xml:space="preserve">, </w:t>
      </w:r>
      <w:r w:rsidR="000F6542" w:rsidRPr="00B32178">
        <w:rPr>
          <w:rStyle w:val="Hyperlink"/>
          <w:color w:val="auto"/>
          <w:u w:val="none"/>
          <w:lang w:val="fr-CH"/>
        </w:rPr>
        <w:t>3/98(Rev.1)</w:t>
      </w:r>
    </w:p>
    <w:p w:rsidR="003151D0" w:rsidRPr="0035674D" w:rsidRDefault="003151D0" w:rsidP="00AF4039">
      <w:pPr>
        <w:tabs>
          <w:tab w:val="clear" w:pos="1588"/>
          <w:tab w:val="left" w:pos="2552"/>
        </w:tabs>
        <w:spacing w:before="480"/>
        <w:jc w:val="left"/>
        <w:rPr>
          <w:i/>
          <w:iCs/>
        </w:rPr>
      </w:pPr>
      <w:r w:rsidRPr="0035674D">
        <w:t>These documents are available in electronic format at</w:t>
      </w:r>
      <w:proofErr w:type="gramStart"/>
      <w:r w:rsidRPr="0035674D">
        <w:t>:</w:t>
      </w:r>
      <w:proofErr w:type="gramEnd"/>
      <w:r w:rsidR="00AF4039">
        <w:br/>
      </w:r>
      <w:hyperlink r:id="rId11" w:history="1">
        <w:r w:rsidR="00606BE0" w:rsidRPr="002112A4">
          <w:rPr>
            <w:rStyle w:val="Hyperlink"/>
          </w:rPr>
          <w:t>https://www.itu.int/md/R15-SG03-C/en</w:t>
        </w:r>
      </w:hyperlink>
    </w:p>
    <w:p w:rsidR="003151D0" w:rsidRPr="0035674D" w:rsidRDefault="003151D0" w:rsidP="00777094">
      <w:pPr>
        <w:tabs>
          <w:tab w:val="left" w:pos="284"/>
          <w:tab w:val="left" w:pos="568"/>
        </w:tabs>
        <w:spacing w:before="6000" w:after="60"/>
        <w:rPr>
          <w:b/>
          <w:bCs/>
          <w:sz w:val="18"/>
          <w:szCs w:val="18"/>
        </w:rPr>
      </w:pPr>
      <w:r w:rsidRPr="0035674D">
        <w:rPr>
          <w:b/>
          <w:bCs/>
          <w:sz w:val="18"/>
          <w:szCs w:val="18"/>
        </w:rPr>
        <w:t>Distribution:</w:t>
      </w:r>
    </w:p>
    <w:p w:rsidR="003151D0" w:rsidRPr="0035674D" w:rsidRDefault="003151D0">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Administrations of Member States of the ITU and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Sector Members participating in the work of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Study Group </w:t>
      </w:r>
      <w:r w:rsidR="00606BE0">
        <w:rPr>
          <w:rFonts w:asciiTheme="minorHAnsi" w:hAnsiTheme="minorHAnsi" w:cstheme="minorHAnsi"/>
          <w:sz w:val="18"/>
          <w:szCs w:val="18"/>
        </w:rPr>
        <w:t>3</w:t>
      </w:r>
    </w:p>
    <w:p w:rsidR="003151D0" w:rsidRPr="0035674D" w:rsidRDefault="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ITU-R Associates participating in the work of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Study Group </w:t>
      </w:r>
      <w:r w:rsidR="00606BE0">
        <w:rPr>
          <w:rFonts w:asciiTheme="minorHAnsi" w:hAnsiTheme="minorHAnsi" w:cstheme="minorHAnsi"/>
          <w:sz w:val="18"/>
          <w:szCs w:val="18"/>
        </w:rPr>
        <w:t>3</w:t>
      </w:r>
    </w:p>
    <w:p w:rsidR="0022621E" w:rsidRDefault="0022621E" w:rsidP="003151D0">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r>
      <w:r>
        <w:rPr>
          <w:rFonts w:asciiTheme="minorHAnsi" w:hAnsiTheme="minorHAnsi" w:cstheme="minorHAnsi"/>
          <w:sz w:val="18"/>
          <w:szCs w:val="18"/>
        </w:rPr>
        <w:t>ITU Academia</w:t>
      </w:r>
    </w:p>
    <w:p w:rsidR="003151D0" w:rsidRPr="0035674D" w:rsidRDefault="003151D0" w:rsidP="009608DD">
      <w:pPr>
        <w:tabs>
          <w:tab w:val="left" w:pos="567"/>
          <w:tab w:val="left" w:pos="6237"/>
        </w:tabs>
        <w:spacing w:before="0" w:line="240" w:lineRule="auto"/>
        <w:ind w:left="567" w:hanging="567"/>
        <w:rPr>
          <w:rFonts w:asciiTheme="minorHAnsi" w:hAnsiTheme="minorHAnsi" w:cstheme="minorHAnsi"/>
          <w:sz w:val="18"/>
          <w:szCs w:val="18"/>
        </w:rPr>
      </w:pPr>
      <w:r w:rsidRPr="00777094">
        <w:rPr>
          <w:rFonts w:asciiTheme="minorHAnsi" w:hAnsiTheme="minorHAnsi" w:cstheme="minorHAnsi"/>
          <w:sz w:val="18"/>
          <w:szCs w:val="18"/>
        </w:rPr>
        <w:t>–</w:t>
      </w:r>
      <w:r w:rsidRPr="00777094">
        <w:rPr>
          <w:rFonts w:asciiTheme="minorHAnsi" w:hAnsiTheme="minorHAnsi" w:cstheme="minorHAnsi"/>
          <w:sz w:val="18"/>
          <w:szCs w:val="18"/>
        </w:rPr>
        <w:tab/>
        <w:t xml:space="preserve">Chairmen and Vice-Chairmen of </w:t>
      </w:r>
      <w:proofErr w:type="spellStart"/>
      <w:r w:rsidRPr="00777094">
        <w:rPr>
          <w:rFonts w:asciiTheme="minorHAnsi" w:hAnsiTheme="minorHAnsi" w:cstheme="minorHAnsi"/>
          <w:sz w:val="18"/>
          <w:szCs w:val="18"/>
        </w:rPr>
        <w:t>Radiocommunication</w:t>
      </w:r>
      <w:proofErr w:type="spellEnd"/>
      <w:r w:rsidRPr="00777094">
        <w:rPr>
          <w:rFonts w:asciiTheme="minorHAnsi" w:hAnsiTheme="minorHAnsi" w:cstheme="minorHAnsi"/>
          <w:sz w:val="18"/>
          <w:szCs w:val="18"/>
        </w:rPr>
        <w:t xml:space="preserve"> Study Group</w:t>
      </w:r>
      <w:r w:rsidR="009608DD" w:rsidRPr="00777094">
        <w:rPr>
          <w:rFonts w:asciiTheme="minorHAnsi" w:hAnsiTheme="minorHAnsi" w:cstheme="minorHAnsi"/>
          <w:sz w:val="18"/>
          <w:szCs w:val="18"/>
        </w:rPr>
        <w:t>s</w:t>
      </w:r>
    </w:p>
    <w:p w:rsidR="003151D0" w:rsidRPr="0035674D" w:rsidRDefault="003151D0" w:rsidP="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Chairman and Vice-Chairmen of the Conference Preparatory Meeting</w:t>
      </w:r>
    </w:p>
    <w:p w:rsidR="003151D0" w:rsidRPr="0035674D" w:rsidRDefault="003151D0" w:rsidP="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Members of the Radio Regulations Board</w:t>
      </w:r>
    </w:p>
    <w:p w:rsidR="003151D0" w:rsidRPr="0035674D" w:rsidRDefault="003151D0" w:rsidP="003151D0">
      <w:pPr>
        <w:pStyle w:val="BodyTextIndent"/>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35674D" w:rsidRDefault="003151D0" w:rsidP="00777094">
      <w:pPr>
        <w:pStyle w:val="AnnexNotitle0"/>
        <w:spacing w:before="120"/>
        <w:rPr>
          <w:rFonts w:asciiTheme="minorHAnsi" w:hAnsiTheme="minorHAnsi" w:cstheme="minorHAnsi"/>
        </w:rPr>
      </w:pPr>
      <w:r w:rsidRPr="0035674D">
        <w:rPr>
          <w:sz w:val="16"/>
        </w:rPr>
        <w:br w:type="page"/>
      </w:r>
      <w:r w:rsidRPr="0035674D">
        <w:rPr>
          <w:rFonts w:asciiTheme="minorHAnsi" w:hAnsiTheme="minorHAnsi" w:cstheme="minorHAnsi"/>
        </w:rPr>
        <w:lastRenderedPageBreak/>
        <w:t xml:space="preserve">Annex </w:t>
      </w:r>
      <w:r w:rsidRPr="0035674D">
        <w:rPr>
          <w:rFonts w:asciiTheme="minorHAnsi" w:hAnsiTheme="minorHAnsi" w:cstheme="minorHAnsi"/>
        </w:rPr>
        <w:br/>
      </w:r>
      <w:r w:rsidRPr="0035674D">
        <w:rPr>
          <w:rFonts w:asciiTheme="minorHAnsi" w:hAnsiTheme="minorHAnsi" w:cstheme="minorHAnsi"/>
        </w:rPr>
        <w:br/>
      </w:r>
      <w:r w:rsidRPr="00777094">
        <w:rPr>
          <w:rFonts w:asciiTheme="minorHAnsi" w:hAnsiTheme="minorHAnsi" w:cstheme="minorHAnsi"/>
        </w:rPr>
        <w:t>Titles and summaries of the draft Recommendations</w:t>
      </w:r>
      <w:r w:rsidRPr="0035674D">
        <w:rPr>
          <w:rFonts w:asciiTheme="minorHAnsi" w:hAnsiTheme="minorHAnsi" w:cstheme="minorHAnsi"/>
        </w:rPr>
        <w:br/>
        <w:t xml:space="preserve">adopted by </w:t>
      </w:r>
      <w:proofErr w:type="spellStart"/>
      <w:r w:rsidRPr="0035674D">
        <w:rPr>
          <w:rFonts w:asciiTheme="minorHAnsi" w:hAnsiTheme="minorHAnsi" w:cstheme="minorHAnsi"/>
        </w:rPr>
        <w:t>Radiocommunication</w:t>
      </w:r>
      <w:proofErr w:type="spellEnd"/>
      <w:r w:rsidRPr="0035674D">
        <w:rPr>
          <w:rFonts w:asciiTheme="minorHAnsi" w:hAnsiTheme="minorHAnsi" w:cstheme="minorHAnsi"/>
        </w:rPr>
        <w:t xml:space="preserve"> Study Group </w:t>
      </w:r>
      <w:r w:rsidR="006A4D97">
        <w:rPr>
          <w:rFonts w:asciiTheme="minorHAnsi" w:hAnsiTheme="minorHAnsi" w:cstheme="minorHAnsi"/>
        </w:rPr>
        <w:t>3</w:t>
      </w:r>
    </w:p>
    <w:p w:rsidR="003151D0" w:rsidRPr="0035674D" w:rsidRDefault="003151D0" w:rsidP="00611339">
      <w:pPr>
        <w:tabs>
          <w:tab w:val="clear" w:pos="794"/>
          <w:tab w:val="clear" w:pos="1191"/>
          <w:tab w:val="clear" w:pos="1588"/>
          <w:tab w:val="clear" w:pos="1985"/>
          <w:tab w:val="right" w:pos="9639"/>
        </w:tabs>
        <w:spacing w:before="600"/>
      </w:pPr>
      <w:r w:rsidRPr="0035674D">
        <w:rPr>
          <w:u w:val="single"/>
        </w:rPr>
        <w:t xml:space="preserve">Draft </w:t>
      </w:r>
      <w:r w:rsidR="006A4D97">
        <w:rPr>
          <w:u w:val="single"/>
        </w:rPr>
        <w:t>revision of</w:t>
      </w:r>
      <w:r w:rsidRPr="0035674D">
        <w:rPr>
          <w:u w:val="single"/>
        </w:rPr>
        <w:t xml:space="preserve"> Recommendation ITU-R</w:t>
      </w:r>
      <w:r w:rsidR="006A4D97">
        <w:rPr>
          <w:u w:val="single"/>
        </w:rPr>
        <w:t xml:space="preserve"> P.533-13</w:t>
      </w:r>
      <w:r w:rsidRPr="0035674D">
        <w:tab/>
        <w:t xml:space="preserve">Doc. </w:t>
      </w:r>
      <w:r w:rsidR="006A4D97">
        <w:t>3/93</w:t>
      </w:r>
    </w:p>
    <w:p w:rsidR="006A4D97" w:rsidRDefault="006A4D97" w:rsidP="006A4D97">
      <w:pPr>
        <w:pStyle w:val="Rectitle"/>
        <w:rPr>
          <w:rFonts w:ascii="Times New Roman" w:hAnsi="Times New Roman" w:cs="Times New Roman"/>
          <w:szCs w:val="20"/>
          <w:lang w:val="en-GB"/>
        </w:rPr>
      </w:pPr>
      <w:r w:rsidRPr="004819F1">
        <w:t>Method for the prediction of the performance of HF circuits</w:t>
      </w:r>
      <w:r w:rsidRPr="006A4D97">
        <w:rPr>
          <w:rFonts w:ascii="Times New Roman" w:hAnsi="Times New Roman" w:cs="Times New Roman"/>
          <w:szCs w:val="20"/>
          <w:lang w:val="en-GB"/>
        </w:rPr>
        <w:t xml:space="preserve"> </w:t>
      </w:r>
    </w:p>
    <w:p w:rsidR="006A4D97" w:rsidRPr="006A4D97" w:rsidRDefault="006A4D97" w:rsidP="00611339">
      <w:pPr>
        <w:pStyle w:val="Normalaftertitle"/>
        <w:rPr>
          <w:b/>
          <w:lang w:val="en-GB"/>
        </w:rPr>
      </w:pPr>
      <w:r w:rsidRPr="006A4D97">
        <w:rPr>
          <w:lang w:val="en-GB"/>
        </w:rPr>
        <w:t>Minor revisions are proposed to improve the modelling of above the MUF loss and to correct the equations for within the month probability.</w:t>
      </w:r>
    </w:p>
    <w:p w:rsidR="006A4D97" w:rsidRPr="0035674D" w:rsidRDefault="006A4D97" w:rsidP="00611339">
      <w:pPr>
        <w:tabs>
          <w:tab w:val="clear" w:pos="794"/>
          <w:tab w:val="clear" w:pos="1191"/>
          <w:tab w:val="clear" w:pos="1588"/>
          <w:tab w:val="clear" w:pos="1985"/>
          <w:tab w:val="right" w:pos="9639"/>
        </w:tabs>
        <w:spacing w:before="480"/>
      </w:pPr>
      <w:r w:rsidRPr="0035674D">
        <w:rPr>
          <w:u w:val="single"/>
        </w:rPr>
        <w:t xml:space="preserve">Draft </w:t>
      </w:r>
      <w:r>
        <w:rPr>
          <w:u w:val="single"/>
        </w:rPr>
        <w:t>revision of</w:t>
      </w:r>
      <w:r w:rsidRPr="0035674D">
        <w:rPr>
          <w:u w:val="single"/>
        </w:rPr>
        <w:t xml:space="preserve"> Recommendation ITU-R</w:t>
      </w:r>
      <w:r w:rsidR="00611339">
        <w:rPr>
          <w:u w:val="single"/>
        </w:rPr>
        <w:t xml:space="preserve"> P.372-13</w:t>
      </w:r>
      <w:r w:rsidRPr="0035674D">
        <w:tab/>
        <w:t xml:space="preserve">Doc. </w:t>
      </w:r>
      <w:r>
        <w:t>3/94(Rev.1)</w:t>
      </w:r>
    </w:p>
    <w:p w:rsidR="006A4D97" w:rsidRPr="0035674D" w:rsidRDefault="00611339" w:rsidP="006A4D97">
      <w:pPr>
        <w:pStyle w:val="Rectitle"/>
        <w:rPr>
          <w:szCs w:val="24"/>
        </w:rPr>
      </w:pPr>
      <w:r w:rsidRPr="00584CFE">
        <w:t>Radio noise</w:t>
      </w:r>
    </w:p>
    <w:p w:rsidR="00611339" w:rsidRPr="00611339" w:rsidRDefault="00611339" w:rsidP="00611339">
      <w:pPr>
        <w:pStyle w:val="Normalaftertitle"/>
        <w:rPr>
          <w:lang w:val="en-GB" w:eastAsia="zh-CN"/>
        </w:rPr>
      </w:pPr>
      <w:r w:rsidRPr="00611339">
        <w:rPr>
          <w:lang w:val="en-GB" w:eastAsia="zh-CN"/>
        </w:rPr>
        <w:t xml:space="preserve">This draft revision does not make substantive changes to the recommended information but it proposes that the text should be split into several distinct parts for ease of use. After a general part where some additional wording is proposed to clarify the content and extent of the recommendation, the parts deal with natural radio noise, roughly in descending frequency order, then with man-made noise, and finally with the appropriate method for combining the result where noise is present from several kinds of sources. </w:t>
      </w:r>
    </w:p>
    <w:p w:rsidR="006A4D97" w:rsidRPr="0035674D" w:rsidRDefault="006A4D97" w:rsidP="00611339">
      <w:pPr>
        <w:tabs>
          <w:tab w:val="clear" w:pos="794"/>
          <w:tab w:val="clear" w:pos="1191"/>
          <w:tab w:val="clear" w:pos="1588"/>
          <w:tab w:val="clear" w:pos="1985"/>
          <w:tab w:val="right" w:pos="9639"/>
        </w:tabs>
        <w:spacing w:before="480"/>
      </w:pPr>
      <w:r w:rsidRPr="0035674D">
        <w:rPr>
          <w:u w:val="single"/>
        </w:rPr>
        <w:t xml:space="preserve">Draft </w:t>
      </w:r>
      <w:r>
        <w:rPr>
          <w:u w:val="single"/>
        </w:rPr>
        <w:t>revision of</w:t>
      </w:r>
      <w:r w:rsidRPr="0035674D">
        <w:rPr>
          <w:u w:val="single"/>
        </w:rPr>
        <w:t xml:space="preserve"> Recommendation ITU-R</w:t>
      </w:r>
      <w:r>
        <w:rPr>
          <w:u w:val="single"/>
        </w:rPr>
        <w:t xml:space="preserve"> P.341-6</w:t>
      </w:r>
      <w:r w:rsidRPr="0035674D">
        <w:tab/>
        <w:t xml:space="preserve">Doc. </w:t>
      </w:r>
      <w:r>
        <w:t>3/95(Rev.1)</w:t>
      </w:r>
    </w:p>
    <w:p w:rsidR="006A4D97" w:rsidRDefault="006A4D97" w:rsidP="006A4D97">
      <w:pPr>
        <w:pStyle w:val="Reptitle"/>
      </w:pPr>
      <w:r w:rsidRPr="00EC1047">
        <w:t>The concept of transmission loss for radio links</w:t>
      </w:r>
      <w:r w:rsidRPr="0035674D">
        <w:t xml:space="preserve"> </w:t>
      </w:r>
    </w:p>
    <w:p w:rsidR="00611339" w:rsidRPr="00611339" w:rsidRDefault="00611339" w:rsidP="00802F5B">
      <w:pPr>
        <w:pStyle w:val="Normalaftertitle"/>
        <w:rPr>
          <w:lang w:val="en-GB"/>
        </w:rPr>
      </w:pPr>
      <w:r w:rsidRPr="00611339">
        <w:rPr>
          <w:lang w:val="en-GB"/>
        </w:rPr>
        <w:t xml:space="preserve">In summary, the revisions </w:t>
      </w:r>
      <w:r w:rsidR="00802F5B">
        <w:rPr>
          <w:lang w:val="en-GB"/>
        </w:rPr>
        <w:t xml:space="preserve">to this </w:t>
      </w:r>
      <w:r w:rsidR="00802F5B" w:rsidRPr="00611339">
        <w:rPr>
          <w:lang w:val="en-GB"/>
        </w:rPr>
        <w:t xml:space="preserve">Recommendation </w:t>
      </w:r>
      <w:r w:rsidRPr="00611339">
        <w:rPr>
          <w:lang w:val="en-GB"/>
        </w:rPr>
        <w:t>are:</w:t>
      </w:r>
    </w:p>
    <w:p w:rsidR="00611339" w:rsidRPr="00611339" w:rsidRDefault="00611339" w:rsidP="009E13A9">
      <w:pPr>
        <w:pStyle w:val="enumlev1"/>
        <w:rPr>
          <w:lang w:val="en-GB"/>
        </w:rPr>
      </w:pPr>
      <w:r w:rsidRPr="00611339">
        <w:rPr>
          <w:lang w:val="en-GB"/>
        </w:rPr>
        <w:t>•</w:t>
      </w:r>
      <w:r w:rsidRPr="00611339">
        <w:rPr>
          <w:lang w:val="en-GB"/>
        </w:rPr>
        <w:tab/>
      </w:r>
      <w:proofErr w:type="gramStart"/>
      <w:r w:rsidRPr="00611339">
        <w:rPr>
          <w:lang w:val="en-GB"/>
        </w:rPr>
        <w:t>to</w:t>
      </w:r>
      <w:proofErr w:type="gramEnd"/>
      <w:r w:rsidRPr="00611339">
        <w:rPr>
          <w:lang w:val="en-GB"/>
        </w:rPr>
        <w:t xml:space="preserve"> re-arrange the order in which the terms and definitions are given. There is no intention to make substantive changes in this re-ordering;</w:t>
      </w:r>
    </w:p>
    <w:p w:rsidR="00611339" w:rsidRPr="00611339" w:rsidRDefault="00611339" w:rsidP="009E13A9">
      <w:pPr>
        <w:pStyle w:val="enumlev1"/>
        <w:rPr>
          <w:lang w:val="en-GB"/>
        </w:rPr>
      </w:pPr>
      <w:r w:rsidRPr="00611339">
        <w:rPr>
          <w:lang w:val="en-GB"/>
        </w:rPr>
        <w:t>•</w:t>
      </w:r>
      <w:r w:rsidRPr="00611339">
        <w:rPr>
          <w:lang w:val="en-GB"/>
        </w:rPr>
        <w:tab/>
      </w:r>
      <w:proofErr w:type="gramStart"/>
      <w:r w:rsidRPr="00611339">
        <w:rPr>
          <w:lang w:val="en-GB"/>
        </w:rPr>
        <w:t>to</w:t>
      </w:r>
      <w:proofErr w:type="gramEnd"/>
      <w:r w:rsidRPr="00611339">
        <w:rPr>
          <w:lang w:val="en-GB"/>
        </w:rPr>
        <w:t xml:space="preserve"> bring the symbols associated with the terms into conformity;</w:t>
      </w:r>
    </w:p>
    <w:p w:rsidR="00611339" w:rsidRPr="00611339" w:rsidRDefault="00611339" w:rsidP="009E13A9">
      <w:pPr>
        <w:pStyle w:val="enumlev1"/>
        <w:rPr>
          <w:lang w:val="en-GB"/>
        </w:rPr>
      </w:pPr>
      <w:r w:rsidRPr="00611339">
        <w:rPr>
          <w:lang w:val="en-GB"/>
        </w:rPr>
        <w:t>•</w:t>
      </w:r>
      <w:r w:rsidRPr="00611339">
        <w:rPr>
          <w:lang w:val="en-GB"/>
        </w:rPr>
        <w:tab/>
      </w:r>
      <w:proofErr w:type="gramStart"/>
      <w:r w:rsidRPr="00611339">
        <w:rPr>
          <w:lang w:val="en-GB"/>
        </w:rPr>
        <w:t>to</w:t>
      </w:r>
      <w:proofErr w:type="gramEnd"/>
      <w:r w:rsidRPr="00611339">
        <w:rPr>
          <w:lang w:val="en-GB"/>
        </w:rPr>
        <w:t xml:space="preserve"> redefine the term “total loss” and “basic transmission loss”;</w:t>
      </w:r>
    </w:p>
    <w:p w:rsidR="00611339" w:rsidRPr="00611339" w:rsidRDefault="00611339" w:rsidP="009E13A9">
      <w:pPr>
        <w:pStyle w:val="enumlev1"/>
        <w:rPr>
          <w:lang w:val="en-GB"/>
        </w:rPr>
      </w:pPr>
      <w:r w:rsidRPr="00611339">
        <w:rPr>
          <w:lang w:val="en-GB"/>
        </w:rPr>
        <w:t>•</w:t>
      </w:r>
      <w:r w:rsidRPr="00611339">
        <w:rPr>
          <w:lang w:val="en-GB"/>
        </w:rPr>
        <w:tab/>
        <w:t>to add a new annex to the Recommendation to provide a way of determining power flux density and field strength;</w:t>
      </w:r>
    </w:p>
    <w:p w:rsidR="00611339" w:rsidRPr="00611339" w:rsidRDefault="00611339" w:rsidP="009E13A9">
      <w:pPr>
        <w:pStyle w:val="enumlev1"/>
        <w:rPr>
          <w:lang w:val="en-GB"/>
        </w:rPr>
      </w:pPr>
      <w:r w:rsidRPr="00611339">
        <w:rPr>
          <w:lang w:val="en-GB"/>
        </w:rPr>
        <w:t>•</w:t>
      </w:r>
      <w:r w:rsidRPr="00611339">
        <w:rPr>
          <w:lang w:val="en-GB"/>
        </w:rPr>
        <w:tab/>
      </w:r>
      <w:proofErr w:type="gramStart"/>
      <w:r w:rsidRPr="00611339">
        <w:rPr>
          <w:lang w:val="en-GB"/>
        </w:rPr>
        <w:t>to</w:t>
      </w:r>
      <w:proofErr w:type="gramEnd"/>
      <w:r w:rsidRPr="00611339">
        <w:rPr>
          <w:lang w:val="en-GB"/>
        </w:rPr>
        <w:t xml:space="preserve"> re-number the annexes and equations as necessary.</w:t>
      </w:r>
    </w:p>
    <w:p w:rsidR="00611339" w:rsidRDefault="00611339">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6A4D97" w:rsidRPr="0035674D" w:rsidRDefault="006A4D97" w:rsidP="00611339">
      <w:pPr>
        <w:tabs>
          <w:tab w:val="clear" w:pos="794"/>
          <w:tab w:val="clear" w:pos="1191"/>
          <w:tab w:val="clear" w:pos="1588"/>
          <w:tab w:val="clear" w:pos="1985"/>
          <w:tab w:val="right" w:pos="9639"/>
        </w:tabs>
        <w:spacing w:before="360"/>
      </w:pPr>
      <w:r w:rsidRPr="0035674D">
        <w:rPr>
          <w:u w:val="single"/>
        </w:rPr>
        <w:lastRenderedPageBreak/>
        <w:t xml:space="preserve">Draft </w:t>
      </w:r>
      <w:r>
        <w:rPr>
          <w:u w:val="single"/>
        </w:rPr>
        <w:t>revision of</w:t>
      </w:r>
      <w:r w:rsidRPr="0035674D">
        <w:rPr>
          <w:u w:val="single"/>
        </w:rPr>
        <w:t xml:space="preserve"> Recommendation ITU-R</w:t>
      </w:r>
      <w:r w:rsidR="00611339">
        <w:rPr>
          <w:u w:val="single"/>
        </w:rPr>
        <w:t xml:space="preserve"> P.525-3</w:t>
      </w:r>
      <w:r w:rsidRPr="0035674D">
        <w:tab/>
        <w:t xml:space="preserve">Doc. </w:t>
      </w:r>
      <w:r>
        <w:t>3/97(Rev.1)</w:t>
      </w:r>
    </w:p>
    <w:p w:rsidR="006A4D97" w:rsidRPr="0035674D" w:rsidRDefault="00611339" w:rsidP="006A4D97">
      <w:pPr>
        <w:pStyle w:val="Rectitle"/>
        <w:rPr>
          <w:szCs w:val="24"/>
        </w:rPr>
      </w:pPr>
      <w:r w:rsidRPr="002248C8">
        <w:t>Calculation of free-space attenuation</w:t>
      </w:r>
    </w:p>
    <w:p w:rsidR="00611339" w:rsidRPr="00611339" w:rsidRDefault="00611339" w:rsidP="00764025">
      <w:pPr>
        <w:pStyle w:val="Normalaftertitle"/>
        <w:rPr>
          <w:lang w:val="en-GB"/>
        </w:rPr>
      </w:pPr>
      <w:r w:rsidRPr="00611339">
        <w:rPr>
          <w:lang w:val="en-GB"/>
        </w:rPr>
        <w:t>This revision provides a definition of the t</w:t>
      </w:r>
      <w:bookmarkStart w:id="2" w:name="_GoBack"/>
      <w:bookmarkEnd w:id="2"/>
      <w:r w:rsidRPr="00611339">
        <w:rPr>
          <w:lang w:val="en-GB"/>
        </w:rPr>
        <w:t xml:space="preserve">erms “free-space” and “free-space propagation”. It also aligns the symbols used within the Recommendation with those defined in the preliminary draft revision of Recommendation </w:t>
      </w:r>
      <w:r w:rsidR="00764025" w:rsidRPr="00B32178">
        <w:rPr>
          <w:rStyle w:val="Hyperlink"/>
          <w:color w:val="auto"/>
          <w:u w:val="none"/>
          <w:lang w:val="en-GB"/>
        </w:rPr>
        <w:t>ITU-R P.341-6</w:t>
      </w:r>
      <w:r w:rsidRPr="00611339">
        <w:rPr>
          <w:lang w:val="en-GB"/>
        </w:rPr>
        <w:t xml:space="preserve"> (Document </w:t>
      </w:r>
      <w:hyperlink r:id="rId12" w:history="1">
        <w:r w:rsidRPr="00611339">
          <w:rPr>
            <w:color w:val="0000FF"/>
            <w:u w:val="single"/>
            <w:lang w:val="en-GB"/>
          </w:rPr>
          <w:t>3/95</w:t>
        </w:r>
      </w:hyperlink>
      <w:r w:rsidRPr="00611339">
        <w:rPr>
          <w:lang w:val="en-GB"/>
        </w:rPr>
        <w:t xml:space="preserve">). In Section 4 the received power definition has been revised to apply to a </w:t>
      </w:r>
      <w:proofErr w:type="spellStart"/>
      <w:r w:rsidRPr="00611339">
        <w:rPr>
          <w:lang w:val="en-GB"/>
        </w:rPr>
        <w:t>conjugately</w:t>
      </w:r>
      <w:proofErr w:type="spellEnd"/>
      <w:r w:rsidRPr="00611339">
        <w:rPr>
          <w:lang w:val="en-GB"/>
        </w:rPr>
        <w:t xml:space="preserve"> matched antenna rather than an isotropic antenna.</w:t>
      </w:r>
    </w:p>
    <w:p w:rsidR="006A4D97" w:rsidRPr="0035674D" w:rsidRDefault="006A4D97" w:rsidP="00611339">
      <w:pPr>
        <w:tabs>
          <w:tab w:val="clear" w:pos="794"/>
          <w:tab w:val="clear" w:pos="1191"/>
          <w:tab w:val="clear" w:pos="1588"/>
          <w:tab w:val="clear" w:pos="1985"/>
          <w:tab w:val="right" w:pos="9639"/>
        </w:tabs>
        <w:spacing w:before="360"/>
      </w:pPr>
      <w:r w:rsidRPr="0035674D">
        <w:rPr>
          <w:u w:val="single"/>
        </w:rPr>
        <w:t xml:space="preserve">Draft </w:t>
      </w:r>
      <w:r>
        <w:rPr>
          <w:u w:val="single"/>
        </w:rPr>
        <w:t>revision of</w:t>
      </w:r>
      <w:r w:rsidRPr="0035674D">
        <w:rPr>
          <w:u w:val="single"/>
        </w:rPr>
        <w:t xml:space="preserve"> Recommendation ITU-R</w:t>
      </w:r>
      <w:r w:rsidR="00611339">
        <w:rPr>
          <w:u w:val="single"/>
        </w:rPr>
        <w:t xml:space="preserve"> P.840-7</w:t>
      </w:r>
      <w:r w:rsidRPr="0035674D">
        <w:tab/>
        <w:t xml:space="preserve">Doc. </w:t>
      </w:r>
      <w:r>
        <w:t>3/98(Rev.1)</w:t>
      </w:r>
    </w:p>
    <w:p w:rsidR="00611339" w:rsidRDefault="00611339" w:rsidP="00611339">
      <w:pPr>
        <w:pStyle w:val="Rectitle"/>
        <w:rPr>
          <w:rFonts w:ascii="Times New Roman" w:hAnsi="Times New Roman" w:cs="Times New Roman"/>
          <w:szCs w:val="24"/>
          <w:lang w:val="en-GB"/>
        </w:rPr>
      </w:pPr>
      <w:r>
        <w:t>Attenuation due to clouds and fog</w:t>
      </w:r>
      <w:r w:rsidRPr="00611339">
        <w:rPr>
          <w:rFonts w:ascii="Times New Roman" w:hAnsi="Times New Roman" w:cs="Times New Roman"/>
          <w:szCs w:val="24"/>
          <w:lang w:val="en-GB"/>
        </w:rPr>
        <w:t xml:space="preserve"> </w:t>
      </w:r>
    </w:p>
    <w:p w:rsidR="00611339" w:rsidRPr="00611339" w:rsidRDefault="00611339" w:rsidP="00611339">
      <w:pPr>
        <w:pStyle w:val="Normalaftertitle"/>
        <w:rPr>
          <w:lang w:val="en-GB"/>
        </w:rPr>
      </w:pPr>
      <w:r w:rsidRPr="00611339">
        <w:rPr>
          <w:lang w:val="en-GB"/>
        </w:rPr>
        <w:t xml:space="preserve">The purpose of this document is to propose a revision to Annex </w:t>
      </w:r>
      <w:r w:rsidR="00FE3CBB">
        <w:rPr>
          <w:lang w:val="en-GB"/>
        </w:rPr>
        <w:t>3 of Recommendation ITU-R P.840</w:t>
      </w:r>
      <w:r w:rsidR="00FE3CBB">
        <w:rPr>
          <w:lang w:val="en-GB"/>
        </w:rPr>
        <w:noBreakHyphen/>
      </w:r>
      <w:r w:rsidRPr="00611339">
        <w:rPr>
          <w:lang w:val="en-GB"/>
        </w:rPr>
        <w:t>7 that:</w:t>
      </w:r>
    </w:p>
    <w:p w:rsidR="00611339" w:rsidRPr="00611339" w:rsidRDefault="00611339" w:rsidP="00764025">
      <w:pPr>
        <w:pStyle w:val="enumlev1"/>
        <w:rPr>
          <w:lang w:val="en-GB"/>
        </w:rPr>
      </w:pPr>
      <w:r w:rsidRPr="00611339">
        <w:rPr>
          <w:lang w:val="en-GB"/>
        </w:rPr>
        <w:t>–</w:t>
      </w:r>
      <w:r w:rsidRPr="00611339">
        <w:rPr>
          <w:lang w:val="en-GB"/>
        </w:rPr>
        <w:tab/>
        <w:t>specifies the applicable probability range;</w:t>
      </w:r>
    </w:p>
    <w:p w:rsidR="00611339" w:rsidRPr="00611339" w:rsidRDefault="00611339" w:rsidP="00764025">
      <w:pPr>
        <w:pStyle w:val="enumlev1"/>
        <w:rPr>
          <w:lang w:val="en-GB"/>
        </w:rPr>
      </w:pPr>
      <w:r w:rsidRPr="00611339">
        <w:rPr>
          <w:lang w:val="en-GB"/>
        </w:rPr>
        <w:t>–</w:t>
      </w:r>
      <w:r w:rsidRPr="00611339">
        <w:rPr>
          <w:lang w:val="en-GB"/>
        </w:rPr>
        <w:tab/>
      </w:r>
      <w:proofErr w:type="gramStart"/>
      <w:r w:rsidRPr="00611339">
        <w:rPr>
          <w:lang w:val="en-GB"/>
        </w:rPr>
        <w:t>tests</w:t>
      </w:r>
      <w:proofErr w:type="gramEnd"/>
      <w:r w:rsidRPr="00611339">
        <w:rPr>
          <w:lang w:val="en-GB"/>
        </w:rPr>
        <w:t xml:space="preserve"> if </w:t>
      </w:r>
      <w:r w:rsidRPr="00611339">
        <w:rPr>
          <w:i/>
          <w:lang w:val="en-GB"/>
        </w:rPr>
        <w:t>P</w:t>
      </w:r>
      <w:r w:rsidRPr="00611339">
        <w:rPr>
          <w:lang w:val="en-GB"/>
        </w:rPr>
        <w:t xml:space="preserve"> is greater than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CLW</m:t>
            </m:r>
          </m:sub>
        </m:sSub>
      </m:oMath>
      <w:r w:rsidRPr="00611339">
        <w:rPr>
          <w:lang w:val="en-GB"/>
        </w:rPr>
        <w:t xml:space="preserve"> and, if so, sets </w:t>
      </w:r>
      <m:oMath>
        <m:sSub>
          <m:sSubPr>
            <m:ctrlPr>
              <w:rPr>
                <w:rFonts w:ascii="Cambria Math" w:hAnsi="Cambria Math"/>
                <w:lang w:val="en-GB"/>
              </w:rPr>
            </m:ctrlPr>
          </m:sSubPr>
          <m:e>
            <m:r>
              <w:rPr>
                <w:rFonts w:ascii="Cambria Math" w:hAnsi="Cambria Math"/>
                <w:lang w:val="en-GB"/>
              </w:rPr>
              <m:t>L</m:t>
            </m:r>
          </m:e>
          <m:sub>
            <m:r>
              <w:rPr>
                <w:rFonts w:ascii="Cambria Math" w:hAnsi="Cambria Math"/>
                <w:lang w:val="en-GB"/>
              </w:rPr>
              <m:t>red</m:t>
            </m:r>
          </m:sub>
        </m:sSub>
        <m:r>
          <m:rPr>
            <m:sty m:val="p"/>
          </m:rPr>
          <w:rPr>
            <w:rFonts w:ascii="Cambria Math" w:hAnsi="Cambria Math"/>
            <w:lang w:val="en-GB"/>
          </w:rPr>
          <m:t>=0</m:t>
        </m:r>
      </m:oMath>
      <w:r w:rsidRPr="00611339">
        <w:rPr>
          <w:lang w:val="en-GB"/>
        </w:rPr>
        <w:t xml:space="preserve">; </w:t>
      </w:r>
    </w:p>
    <w:p w:rsidR="00611339" w:rsidRPr="00611339" w:rsidRDefault="00611339" w:rsidP="00764025">
      <w:pPr>
        <w:pStyle w:val="enumlev1"/>
        <w:rPr>
          <w:lang w:val="en-GB"/>
        </w:rPr>
      </w:pPr>
      <w:r w:rsidRPr="00611339">
        <w:rPr>
          <w:lang w:val="en-GB"/>
        </w:rPr>
        <w:t>–</w:t>
      </w:r>
      <w:r w:rsidRPr="00611339">
        <w:rPr>
          <w:lang w:val="en-GB"/>
        </w:rPr>
        <w:tab/>
        <w:t>harmonizes the text with preceding sections in the recommendation; and</w:t>
      </w:r>
    </w:p>
    <w:p w:rsidR="00611339" w:rsidRPr="00611339" w:rsidRDefault="00611339" w:rsidP="00764025">
      <w:pPr>
        <w:pStyle w:val="enumlev1"/>
        <w:rPr>
          <w:lang w:val="en-GB"/>
        </w:rPr>
      </w:pPr>
      <w:r w:rsidRPr="00611339">
        <w:rPr>
          <w:lang w:val="en-GB"/>
        </w:rPr>
        <w:t>–</w:t>
      </w:r>
      <w:r w:rsidRPr="00611339">
        <w:rPr>
          <w:lang w:val="en-GB"/>
        </w:rPr>
        <w:tab/>
        <w:t xml:space="preserve">harmonizes the interpolation method with the integrated cloud liquid water content time series synthesis method in Recommendation ITU-R P.1853 which requires </w:t>
      </w:r>
      <m:oMath>
        <m:r>
          <w:rPr>
            <w:rFonts w:ascii="Cambria Math" w:hAnsi="Cambria Math"/>
            <w:lang w:val="en-GB"/>
          </w:rPr>
          <m:t>m</m:t>
        </m:r>
      </m:oMath>
      <w:r w:rsidRPr="00611339">
        <w:rPr>
          <w:lang w:val="en-GB"/>
        </w:rPr>
        <w:t xml:space="preserve">, </w:t>
      </w:r>
      <m:oMath>
        <m:r>
          <m:rPr>
            <m:sty m:val="p"/>
          </m:rPr>
          <w:rPr>
            <w:rFonts w:ascii="Cambria Math" w:hAnsi="Cambria Math"/>
            <w:lang w:val="en-GB"/>
          </w:rPr>
          <m:t>σ</m:t>
        </m:r>
      </m:oMath>
      <w:r w:rsidRPr="00611339">
        <w:rPr>
          <w:lang w:val="en-GB"/>
        </w:rPr>
        <w:t xml:space="preserve">, and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CLW</m:t>
            </m:r>
          </m:sub>
        </m:sSub>
      </m:oMath>
      <w:r w:rsidRPr="00611339">
        <w:rPr>
          <w:lang w:val="en-GB"/>
        </w:rPr>
        <w:t xml:space="preserve"> at the location of interest (i.e. by spatially interpolating the values of </w:t>
      </w:r>
      <m:oMath>
        <m:r>
          <w:rPr>
            <w:rFonts w:ascii="Cambria Math" w:hAnsi="Cambria Math"/>
            <w:lang w:val="en-GB"/>
          </w:rPr>
          <m:t>m</m:t>
        </m:r>
      </m:oMath>
      <w:r w:rsidRPr="00611339">
        <w:rPr>
          <w:lang w:val="en-GB"/>
        </w:rPr>
        <w:t xml:space="preserve">, </w:t>
      </w:r>
      <m:oMath>
        <m:r>
          <m:rPr>
            <m:sty m:val="p"/>
          </m:rPr>
          <w:rPr>
            <w:rFonts w:ascii="Cambria Math" w:hAnsi="Cambria Math"/>
            <w:lang w:val="en-GB"/>
          </w:rPr>
          <m:t>σ</m:t>
        </m:r>
      </m:oMath>
      <w:r w:rsidRPr="00611339">
        <w:rPr>
          <w:lang w:val="en-GB"/>
        </w:rPr>
        <w:t xml:space="preserve">, and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CLW</m:t>
            </m:r>
          </m:sub>
        </m:sSub>
      </m:oMath>
      <w:r w:rsidRPr="00611339">
        <w:rPr>
          <w:lang w:val="en-GB"/>
        </w:rPr>
        <w:t xml:space="preserve"> at the four surrounding gridpoints and determining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red</m:t>
            </m:r>
          </m:sub>
        </m:sSub>
      </m:oMath>
      <w:r w:rsidRPr="00611339">
        <w:rPr>
          <w:lang w:val="en-GB"/>
        </w:rPr>
        <w:t xml:space="preserve"> at the location of interest from the spatially interpolated values of </w:t>
      </w:r>
      <m:oMath>
        <m:r>
          <w:rPr>
            <w:rFonts w:ascii="Cambria Math" w:hAnsi="Cambria Math"/>
            <w:lang w:val="en-GB"/>
          </w:rPr>
          <m:t>m</m:t>
        </m:r>
      </m:oMath>
      <w:r w:rsidRPr="00611339">
        <w:rPr>
          <w:lang w:val="en-GB"/>
        </w:rPr>
        <w:t>,</w:t>
      </w:r>
      <w:r w:rsidRPr="00764025">
        <w:rPr>
          <w:iCs/>
          <w:lang w:val="en-GB"/>
        </w:rPr>
        <w:t xml:space="preserve"> </w:t>
      </w:r>
      <m:oMath>
        <m:r>
          <m:rPr>
            <m:sty m:val="p"/>
          </m:rPr>
          <w:rPr>
            <w:rFonts w:ascii="Cambria Math" w:hAnsi="Cambria Math"/>
            <w:lang w:val="en-GB"/>
          </w:rPr>
          <m:t>σ</m:t>
        </m:r>
      </m:oMath>
      <w:r w:rsidRPr="00611339">
        <w:rPr>
          <w:lang w:val="en-GB"/>
        </w:rPr>
        <w:t xml:space="preserve">, and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CLW</m:t>
            </m:r>
          </m:sub>
        </m:sSub>
      </m:oMath>
      <w:r w:rsidRPr="00611339">
        <w:rPr>
          <w:lang w:val="en-GB"/>
        </w:rPr>
        <w:t xml:space="preserve"> rather than determining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red</m:t>
            </m:r>
          </m:sub>
        </m:sSub>
      </m:oMath>
      <w:r w:rsidRPr="00611339">
        <w:rPr>
          <w:lang w:val="en-GB"/>
        </w:rPr>
        <w:t xml:space="preserve"> at the location of interest by spatially interpolating the calculated values of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red</m:t>
            </m:r>
          </m:sub>
        </m:sSub>
      </m:oMath>
      <w:r w:rsidRPr="00611339">
        <w:rPr>
          <w:lang w:val="en-GB"/>
        </w:rPr>
        <w:t xml:space="preserve"> at the four surrounding gridpoints).</w:t>
      </w:r>
    </w:p>
    <w:p w:rsidR="00611339" w:rsidRPr="00611339" w:rsidRDefault="00611339" w:rsidP="00764025">
      <w:pPr>
        <w:rPr>
          <w:lang w:val="en-GB"/>
        </w:rPr>
      </w:pPr>
      <w:r w:rsidRPr="00611339">
        <w:rPr>
          <w:lang w:val="en-GB"/>
        </w:rPr>
        <w:t xml:space="preserve">Section 4 of </w:t>
      </w:r>
      <w:r w:rsidRPr="00611339">
        <w:rPr>
          <w:szCs w:val="24"/>
          <w:lang w:val="en-GB"/>
        </w:rPr>
        <w:t xml:space="preserve">ITU-R P.840-7 </w:t>
      </w:r>
      <w:r w:rsidRPr="00611339">
        <w:rPr>
          <w:lang w:val="en-GB"/>
        </w:rPr>
        <w:t xml:space="preserve">provides the values of </w:t>
      </w:r>
      <w:r w:rsidRPr="00611339">
        <w:rPr>
          <w:i/>
          <w:lang w:val="en-GB"/>
        </w:rPr>
        <w:t>m</w:t>
      </w:r>
      <w:proofErr w:type="gramStart"/>
      <w:r w:rsidRPr="00611339">
        <w:rPr>
          <w:i/>
          <w:lang w:val="en-GB"/>
        </w:rPr>
        <w:t>, </w:t>
      </w:r>
      <w:proofErr w:type="gramEnd"/>
      <w:r w:rsidRPr="00764025">
        <w:rPr>
          <w:lang w:val="en-GB"/>
        </w:rPr>
        <w:sym w:font="Symbol" w:char="F073"/>
      </w:r>
      <w:r w:rsidRPr="00611339">
        <w:rPr>
          <w:i/>
          <w:lang w:val="en-GB"/>
        </w:rPr>
        <w:t xml:space="preserve">, </w:t>
      </w:r>
      <w:r w:rsidRPr="00611339">
        <w:rPr>
          <w:lang w:val="en-GB"/>
        </w:rPr>
        <w:t>and</w:t>
      </w:r>
      <w:r w:rsidRPr="00611339">
        <w:rPr>
          <w:i/>
          <w:lang w:val="en-GB"/>
        </w:rPr>
        <w:t xml:space="preserve"> P</w:t>
      </w:r>
      <w:r w:rsidRPr="00611339">
        <w:rPr>
          <w:i/>
          <w:vertAlign w:val="subscript"/>
          <w:lang w:val="en-GB"/>
        </w:rPr>
        <w:t xml:space="preserve">CLW  </w:t>
      </w:r>
      <w:r w:rsidRPr="00611339">
        <w:rPr>
          <w:lang w:val="en-GB"/>
        </w:rPr>
        <w:t xml:space="preserve">at a desired location required by the cloud attenuation time-series generator in Recommendation ITU-R P.1853; and the associated value of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red</m:t>
            </m:r>
          </m:sub>
        </m:sSub>
      </m:oMath>
      <w:r w:rsidRPr="00611339">
        <w:rPr>
          <w:lang w:val="en-GB"/>
        </w:rPr>
        <w:t xml:space="preserve"> is provided for reference only. Section 3 rather than the approximation calculated by Section 4 should be used to calculate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red</m:t>
            </m:r>
          </m:sub>
        </m:sSub>
      </m:oMath>
      <w:r w:rsidRPr="00611339">
        <w:rPr>
          <w:lang w:val="en-GB"/>
        </w:rPr>
        <w:t xml:space="preserve"> in all other cases.</w:t>
      </w:r>
    </w:p>
    <w:p w:rsidR="00611339" w:rsidRPr="00611339" w:rsidRDefault="00611339" w:rsidP="00764025">
      <w:pPr>
        <w:rPr>
          <w:lang w:val="en-GB"/>
        </w:rPr>
      </w:pPr>
      <w:r w:rsidRPr="00611339">
        <w:rPr>
          <w:lang w:val="en-GB"/>
        </w:rPr>
        <w:t>The Annex replaces Section 4 in its entirety.</w:t>
      </w:r>
    </w:p>
    <w:p w:rsidR="0003043E" w:rsidRPr="00611339" w:rsidRDefault="0003043E" w:rsidP="0003043E">
      <w:pPr>
        <w:tabs>
          <w:tab w:val="right" w:pos="9639"/>
        </w:tabs>
        <w:rPr>
          <w:szCs w:val="24"/>
          <w:lang w:val="en-GB"/>
        </w:rPr>
      </w:pPr>
    </w:p>
    <w:p w:rsidR="003151D0" w:rsidRDefault="003151D0" w:rsidP="003151D0">
      <w:pPr>
        <w:tabs>
          <w:tab w:val="left" w:pos="7513"/>
        </w:tabs>
        <w:jc w:val="center"/>
      </w:pPr>
      <w:r w:rsidRPr="0035674D">
        <w:t>____________</w:t>
      </w:r>
      <w:bookmarkStart w:id="3" w:name="ddistribution"/>
      <w:bookmarkEnd w:id="3"/>
    </w:p>
    <w:sectPr w:rsidR="003151D0"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DB" w:rsidRPr="005E5EB3" w:rsidRDefault="00DB6CDB" w:rsidP="00DB6CD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B32178">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B32178">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606BE0" w:rsidTr="001C1BFD">
      <w:tc>
        <w:tcPr>
          <w:tcW w:w="4800" w:type="dxa"/>
          <w:noWrap/>
          <w:tcMar>
            <w:left w:w="0" w:type="dxa"/>
          </w:tcMar>
        </w:tcPr>
        <w:p w:rsidR="00606BE0" w:rsidRDefault="00606BE0" w:rsidP="00606BE0">
          <w:pPr>
            <w:pStyle w:val="Header"/>
            <w:spacing w:before="120" w:line="360" w:lineRule="auto"/>
          </w:pPr>
          <w:r w:rsidRPr="008E52B1">
            <w:rPr>
              <w:noProof/>
              <w:color w:val="3399FF"/>
              <w:lang w:val="en-GB" w:eastAsia="zh-CN"/>
            </w:rPr>
            <w:drawing>
              <wp:inline distT="0" distB="0" distL="0" distR="0" wp14:anchorId="39A9D6BA" wp14:editId="439F66C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606BE0" w:rsidRDefault="00606BE0" w:rsidP="00606BE0">
          <w:pPr>
            <w:pStyle w:val="Header"/>
            <w:spacing w:before="240" w:line="360" w:lineRule="auto"/>
            <w:jc w:val="right"/>
          </w:pPr>
          <w:r>
            <w:rPr>
              <w:noProof/>
              <w:lang w:val="en-GB" w:eastAsia="zh-CN"/>
            </w:rPr>
            <w:drawing>
              <wp:inline distT="0" distB="0" distL="0" distR="0" wp14:anchorId="5536A587" wp14:editId="2C78FF9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B6CDB" w:rsidRPr="00606BE0" w:rsidRDefault="00DB6CDB" w:rsidP="00606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6542"/>
    <w:rsid w:val="00100058"/>
    <w:rsid w:val="00100B72"/>
    <w:rsid w:val="00101F7D"/>
    <w:rsid w:val="00103C76"/>
    <w:rsid w:val="00104C35"/>
    <w:rsid w:val="0011265F"/>
    <w:rsid w:val="00117282"/>
    <w:rsid w:val="00117389"/>
    <w:rsid w:val="00121C2D"/>
    <w:rsid w:val="00134404"/>
    <w:rsid w:val="00144DFB"/>
    <w:rsid w:val="00146E40"/>
    <w:rsid w:val="001743D1"/>
    <w:rsid w:val="00187CA3"/>
    <w:rsid w:val="00196710"/>
    <w:rsid w:val="00197324"/>
    <w:rsid w:val="001A477F"/>
    <w:rsid w:val="001B351B"/>
    <w:rsid w:val="001B51F7"/>
    <w:rsid w:val="001C06DB"/>
    <w:rsid w:val="001C6971"/>
    <w:rsid w:val="001D2785"/>
    <w:rsid w:val="001D7070"/>
    <w:rsid w:val="001F2170"/>
    <w:rsid w:val="001F3948"/>
    <w:rsid w:val="001F5A49"/>
    <w:rsid w:val="00201097"/>
    <w:rsid w:val="00201B6E"/>
    <w:rsid w:val="0022621E"/>
    <w:rsid w:val="002302B3"/>
    <w:rsid w:val="00230C66"/>
    <w:rsid w:val="00235A29"/>
    <w:rsid w:val="00241526"/>
    <w:rsid w:val="002443A2"/>
    <w:rsid w:val="00266E74"/>
    <w:rsid w:val="00282374"/>
    <w:rsid w:val="00283C3B"/>
    <w:rsid w:val="002861E6"/>
    <w:rsid w:val="00287D18"/>
    <w:rsid w:val="002A2618"/>
    <w:rsid w:val="002A5DD7"/>
    <w:rsid w:val="002B0CAC"/>
    <w:rsid w:val="002D5A15"/>
    <w:rsid w:val="002D5BDD"/>
    <w:rsid w:val="002E3D27"/>
    <w:rsid w:val="002F0890"/>
    <w:rsid w:val="002F2531"/>
    <w:rsid w:val="002F4967"/>
    <w:rsid w:val="003151D0"/>
    <w:rsid w:val="00316935"/>
    <w:rsid w:val="003266ED"/>
    <w:rsid w:val="00336209"/>
    <w:rsid w:val="003370B8"/>
    <w:rsid w:val="00345D38"/>
    <w:rsid w:val="00352097"/>
    <w:rsid w:val="0035674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951"/>
    <w:rsid w:val="00553DD7"/>
    <w:rsid w:val="005638CF"/>
    <w:rsid w:val="0056741E"/>
    <w:rsid w:val="0057325A"/>
    <w:rsid w:val="0057469A"/>
    <w:rsid w:val="0058043F"/>
    <w:rsid w:val="00580814"/>
    <w:rsid w:val="00583A0B"/>
    <w:rsid w:val="005A03A3"/>
    <w:rsid w:val="005A2B92"/>
    <w:rsid w:val="005A79E9"/>
    <w:rsid w:val="005B214C"/>
    <w:rsid w:val="005D3669"/>
    <w:rsid w:val="005E5EB3"/>
    <w:rsid w:val="005F3CB6"/>
    <w:rsid w:val="005F657C"/>
    <w:rsid w:val="00602D53"/>
    <w:rsid w:val="006047E5"/>
    <w:rsid w:val="00606BE0"/>
    <w:rsid w:val="00611339"/>
    <w:rsid w:val="00635DDE"/>
    <w:rsid w:val="0064371D"/>
    <w:rsid w:val="00650B2A"/>
    <w:rsid w:val="00651777"/>
    <w:rsid w:val="006550F8"/>
    <w:rsid w:val="00656226"/>
    <w:rsid w:val="006829F3"/>
    <w:rsid w:val="006A4D97"/>
    <w:rsid w:val="006A518B"/>
    <w:rsid w:val="006B0590"/>
    <w:rsid w:val="006B49DA"/>
    <w:rsid w:val="006C53F8"/>
    <w:rsid w:val="006C7CDE"/>
    <w:rsid w:val="007234B1"/>
    <w:rsid w:val="00723D08"/>
    <w:rsid w:val="00725FDA"/>
    <w:rsid w:val="00727816"/>
    <w:rsid w:val="00730B9A"/>
    <w:rsid w:val="00750CFA"/>
    <w:rsid w:val="007553DA"/>
    <w:rsid w:val="00764025"/>
    <w:rsid w:val="00773138"/>
    <w:rsid w:val="00777094"/>
    <w:rsid w:val="00782354"/>
    <w:rsid w:val="007921A7"/>
    <w:rsid w:val="007B3DB1"/>
    <w:rsid w:val="007C2B08"/>
    <w:rsid w:val="007C4AB2"/>
    <w:rsid w:val="007D183E"/>
    <w:rsid w:val="007D43D0"/>
    <w:rsid w:val="007E1833"/>
    <w:rsid w:val="007E3F13"/>
    <w:rsid w:val="007F751A"/>
    <w:rsid w:val="00800012"/>
    <w:rsid w:val="0080261F"/>
    <w:rsid w:val="00802F5B"/>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32D9"/>
    <w:rsid w:val="009151BA"/>
    <w:rsid w:val="00925023"/>
    <w:rsid w:val="009277BC"/>
    <w:rsid w:val="00927D57"/>
    <w:rsid w:val="00931A51"/>
    <w:rsid w:val="00947185"/>
    <w:rsid w:val="009518B3"/>
    <w:rsid w:val="009608DD"/>
    <w:rsid w:val="00963D9D"/>
    <w:rsid w:val="00965BF4"/>
    <w:rsid w:val="0098013E"/>
    <w:rsid w:val="00981B54"/>
    <w:rsid w:val="009842C3"/>
    <w:rsid w:val="009A009A"/>
    <w:rsid w:val="009A6BB6"/>
    <w:rsid w:val="009B3F43"/>
    <w:rsid w:val="009B5CFA"/>
    <w:rsid w:val="009C161F"/>
    <w:rsid w:val="009C56B4"/>
    <w:rsid w:val="009D51A2"/>
    <w:rsid w:val="009E04A8"/>
    <w:rsid w:val="009E13A9"/>
    <w:rsid w:val="009E4AEC"/>
    <w:rsid w:val="009E5BD8"/>
    <w:rsid w:val="009E681E"/>
    <w:rsid w:val="00A119E6"/>
    <w:rsid w:val="00A20FBC"/>
    <w:rsid w:val="00A31370"/>
    <w:rsid w:val="00A34D6F"/>
    <w:rsid w:val="00A364FB"/>
    <w:rsid w:val="00A41F91"/>
    <w:rsid w:val="00A56187"/>
    <w:rsid w:val="00A63355"/>
    <w:rsid w:val="00A7596D"/>
    <w:rsid w:val="00A963DF"/>
    <w:rsid w:val="00AC0C22"/>
    <w:rsid w:val="00AC3896"/>
    <w:rsid w:val="00AD2CF2"/>
    <w:rsid w:val="00AE2D88"/>
    <w:rsid w:val="00AE6F6F"/>
    <w:rsid w:val="00AE72D6"/>
    <w:rsid w:val="00AE750E"/>
    <w:rsid w:val="00AF3325"/>
    <w:rsid w:val="00AF34D9"/>
    <w:rsid w:val="00AF4039"/>
    <w:rsid w:val="00AF6DFE"/>
    <w:rsid w:val="00AF70DA"/>
    <w:rsid w:val="00B019D3"/>
    <w:rsid w:val="00B310FD"/>
    <w:rsid w:val="00B32178"/>
    <w:rsid w:val="00B34CF9"/>
    <w:rsid w:val="00B37559"/>
    <w:rsid w:val="00B4054B"/>
    <w:rsid w:val="00B579B0"/>
    <w:rsid w:val="00B57D11"/>
    <w:rsid w:val="00B649D7"/>
    <w:rsid w:val="00B81C2F"/>
    <w:rsid w:val="00B90743"/>
    <w:rsid w:val="00B90C45"/>
    <w:rsid w:val="00B933BE"/>
    <w:rsid w:val="00BA2C27"/>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5C88"/>
    <w:rsid w:val="00D6790C"/>
    <w:rsid w:val="00D73277"/>
    <w:rsid w:val="00D76586"/>
    <w:rsid w:val="00D82657"/>
    <w:rsid w:val="00D8330F"/>
    <w:rsid w:val="00D87E20"/>
    <w:rsid w:val="00DA4037"/>
    <w:rsid w:val="00DB6CDB"/>
    <w:rsid w:val="00DE66A5"/>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061F"/>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92824"/>
    <w:rsid w:val="00FA2358"/>
    <w:rsid w:val="00FB2592"/>
    <w:rsid w:val="00FB2810"/>
    <w:rsid w:val="00FB7A2C"/>
    <w:rsid w:val="00FC2947"/>
    <w:rsid w:val="00FE0818"/>
    <w:rsid w:val="00FE3CB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3-C-009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A41A-22E3-4885-AD6D-006C20A2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877</Words>
  <Characters>5456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Limousin, Catherine</cp:lastModifiedBy>
  <cp:revision>10</cp:revision>
  <cp:lastPrinted>2019-06-07T15:42:00Z</cp:lastPrinted>
  <dcterms:created xsi:type="dcterms:W3CDTF">2019-06-10T07:30:00Z</dcterms:created>
  <dcterms:modified xsi:type="dcterms:W3CDTF">2019-06-12T14:47:00Z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