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2B7B63">
        <w:trPr>
          <w:jc w:val="center"/>
        </w:trPr>
        <w:tc>
          <w:tcPr>
            <w:tcW w:w="9889" w:type="dxa"/>
            <w:gridSpan w:val="3"/>
            <w:shd w:val="clear" w:color="auto" w:fill="auto"/>
          </w:tcPr>
          <w:p w:rsidR="00F703E2" w:rsidRPr="00F703E2" w:rsidRDefault="00F703E2" w:rsidP="00F703E2">
            <w:pPr>
              <w:keepNext/>
              <w:keepLines/>
              <w:spacing w:before="0" w:line="240" w:lineRule="auto"/>
              <w:jc w:val="left"/>
              <w:rPr>
                <w:rFonts w:eastAsiaTheme="minorEastAsia"/>
                <w:b/>
                <w:sz w:val="28"/>
                <w:szCs w:val="28"/>
                <w:lang w:val="en-GB"/>
              </w:rPr>
            </w:pPr>
            <w:r w:rsidRPr="00F703E2">
              <w:rPr>
                <w:rFonts w:eastAsiaTheme="minorEastAsia"/>
                <w:b/>
                <w:sz w:val="28"/>
                <w:lang w:val="en-GB" w:eastAsia="zh-CN"/>
              </w:rPr>
              <w:t>无线电通信局</w:t>
            </w:r>
            <w:r w:rsidRPr="00F703E2">
              <w:rPr>
                <w:rFonts w:asciiTheme="minorHAnsi" w:eastAsiaTheme="minorEastAsia" w:hAnsiTheme="minorHAnsi"/>
                <w:b/>
                <w:sz w:val="28"/>
                <w:lang w:val="en-GB" w:eastAsia="zh-CN"/>
              </w:rPr>
              <w:t>（</w:t>
            </w:r>
            <w:r w:rsidRPr="00F703E2">
              <w:rPr>
                <w:rFonts w:asciiTheme="minorHAnsi" w:eastAsiaTheme="minorEastAsia" w:hAnsiTheme="minorHAnsi"/>
                <w:b/>
                <w:sz w:val="28"/>
                <w:lang w:val="en-GB" w:eastAsia="zh-CN"/>
              </w:rPr>
              <w:t>BR</w:t>
            </w:r>
            <w:r w:rsidRPr="00F703E2">
              <w:rPr>
                <w:rFonts w:asciiTheme="minorHAnsi" w:eastAsiaTheme="minorEastAsia" w:hAnsiTheme="minorHAnsi"/>
                <w:b/>
                <w:sz w:val="28"/>
                <w:lang w:val="en-GB" w:eastAsia="zh-CN"/>
              </w:rPr>
              <w:t>）</w:t>
            </w:r>
          </w:p>
          <w:p w:rsidR="008E38B4" w:rsidRPr="00AF70DA" w:rsidRDefault="008E38B4" w:rsidP="00F703E2">
            <w:pPr>
              <w:spacing w:before="0"/>
              <w:jc w:val="left"/>
              <w:rPr>
                <w:rFonts w:cs="Times New Roman Bold"/>
                <w:b/>
                <w:bCs/>
                <w:color w:val="808080"/>
                <w:sz w:val="28"/>
                <w:szCs w:val="28"/>
                <w:lang w:val="en-GB"/>
              </w:rPr>
            </w:pPr>
          </w:p>
        </w:tc>
      </w:tr>
      <w:tr w:rsidR="00651777" w:rsidRPr="0035674D" w:rsidTr="002B7B63">
        <w:trPr>
          <w:jc w:val="center"/>
        </w:trPr>
        <w:tc>
          <w:tcPr>
            <w:tcW w:w="7054" w:type="dxa"/>
            <w:gridSpan w:val="2"/>
            <w:shd w:val="clear" w:color="auto" w:fill="auto"/>
          </w:tcPr>
          <w:p w:rsidR="00F703E2" w:rsidRPr="00F703E2" w:rsidRDefault="00F703E2" w:rsidP="00F703E2">
            <w:pPr>
              <w:spacing w:before="0"/>
              <w:jc w:val="left"/>
              <w:rPr>
                <w:szCs w:val="24"/>
                <w:lang w:val="fr-CH"/>
              </w:rPr>
            </w:pPr>
            <w:proofErr w:type="spellStart"/>
            <w:r w:rsidRPr="00F703E2">
              <w:rPr>
                <w:rFonts w:hint="eastAsia"/>
                <w:szCs w:val="24"/>
              </w:rPr>
              <w:t>行政通函</w:t>
            </w:r>
            <w:proofErr w:type="spellEnd"/>
          </w:p>
          <w:p w:rsidR="00651777" w:rsidRPr="0035674D" w:rsidRDefault="00E17344" w:rsidP="00606BE0">
            <w:pPr>
              <w:spacing w:before="0"/>
              <w:jc w:val="left"/>
              <w:rPr>
                <w:b/>
                <w:bCs/>
                <w:szCs w:val="24"/>
                <w:lang w:val="fr-CH"/>
              </w:rPr>
            </w:pPr>
            <w:r w:rsidRPr="0035674D">
              <w:rPr>
                <w:b/>
                <w:bCs/>
                <w:szCs w:val="24"/>
                <w:lang w:val="fr-CH"/>
              </w:rPr>
              <w:t>CA</w:t>
            </w:r>
            <w:r w:rsidR="003151D0" w:rsidRPr="0035674D">
              <w:rPr>
                <w:b/>
                <w:bCs/>
                <w:szCs w:val="24"/>
                <w:lang w:val="fr-CH"/>
              </w:rPr>
              <w:t>CE</w:t>
            </w:r>
            <w:r w:rsidR="003836D4" w:rsidRPr="0035674D">
              <w:rPr>
                <w:b/>
                <w:bCs/>
                <w:szCs w:val="24"/>
                <w:lang w:val="fr-CH"/>
              </w:rPr>
              <w:t>/</w:t>
            </w:r>
            <w:r w:rsidR="00606BE0">
              <w:rPr>
                <w:b/>
                <w:bCs/>
                <w:szCs w:val="24"/>
                <w:lang w:val="fr-CH"/>
              </w:rPr>
              <w:t>904</w:t>
            </w:r>
          </w:p>
        </w:tc>
        <w:tc>
          <w:tcPr>
            <w:tcW w:w="2835" w:type="dxa"/>
            <w:shd w:val="clear" w:color="auto" w:fill="auto"/>
          </w:tcPr>
          <w:p w:rsidR="00651777" w:rsidRPr="00F703E2" w:rsidRDefault="00F703E2" w:rsidP="00F703E2">
            <w:pPr>
              <w:spacing w:before="0"/>
              <w:jc w:val="right"/>
              <w:rPr>
                <w:rFonts w:eastAsiaTheme="minorEastAsia"/>
                <w:szCs w:val="24"/>
                <w:lang w:eastAsia="zh-CN"/>
              </w:rPr>
            </w:pPr>
            <w:r w:rsidRPr="00F703E2">
              <w:rPr>
                <w:rFonts w:eastAsiaTheme="minorEastAsia" w:hint="eastAsia"/>
                <w:szCs w:val="24"/>
                <w:lang w:eastAsia="zh-CN"/>
              </w:rPr>
              <w:t>2019</w:t>
            </w:r>
            <w:r w:rsidRPr="00F703E2">
              <w:rPr>
                <w:rFonts w:eastAsiaTheme="minorEastAsia" w:hint="eastAsia"/>
                <w:szCs w:val="24"/>
                <w:lang w:eastAsia="zh-CN"/>
              </w:rPr>
              <w:t>年</w:t>
            </w:r>
            <w:r w:rsidRPr="00F703E2">
              <w:rPr>
                <w:rFonts w:eastAsiaTheme="minorEastAsia" w:hint="eastAsia"/>
                <w:szCs w:val="24"/>
                <w:lang w:eastAsia="zh-CN"/>
              </w:rPr>
              <w:t>6</w:t>
            </w:r>
            <w:r w:rsidRPr="00F703E2">
              <w:rPr>
                <w:rFonts w:eastAsiaTheme="minorEastAsia" w:hint="eastAsia"/>
                <w:szCs w:val="24"/>
                <w:lang w:eastAsia="zh-CN"/>
              </w:rPr>
              <w:t>月</w:t>
            </w:r>
            <w:r w:rsidRPr="00F703E2">
              <w:rPr>
                <w:rFonts w:eastAsiaTheme="minorEastAsia" w:hint="eastAsia"/>
                <w:szCs w:val="24"/>
                <w:lang w:eastAsia="zh-CN"/>
              </w:rPr>
              <w:t>14</w:t>
            </w:r>
            <w:r w:rsidRPr="00F703E2">
              <w:rPr>
                <w:rFonts w:eastAsiaTheme="minorEastAsia" w:hint="eastAsia"/>
                <w:szCs w:val="24"/>
                <w:lang w:eastAsia="zh-CN"/>
              </w:rPr>
              <w:t>日</w:t>
            </w:r>
          </w:p>
        </w:tc>
      </w:tr>
      <w:tr w:rsidR="0037309C" w:rsidRPr="0035674D" w:rsidTr="002B7B63">
        <w:trPr>
          <w:jc w:val="center"/>
        </w:trPr>
        <w:tc>
          <w:tcPr>
            <w:tcW w:w="9889" w:type="dxa"/>
            <w:gridSpan w:val="3"/>
            <w:shd w:val="clear" w:color="auto" w:fill="auto"/>
          </w:tcPr>
          <w:p w:rsidR="0037309C" w:rsidRPr="0035674D" w:rsidRDefault="0037309C" w:rsidP="006047E5">
            <w:pPr>
              <w:spacing w:before="0"/>
              <w:jc w:val="left"/>
              <w:rPr>
                <w:rFonts w:cs="Arial"/>
                <w:szCs w:val="24"/>
                <w:lang w:val="en-GB"/>
              </w:rPr>
            </w:pPr>
          </w:p>
        </w:tc>
      </w:tr>
      <w:tr w:rsidR="0037309C" w:rsidRPr="0035674D" w:rsidTr="002B7B63">
        <w:trPr>
          <w:jc w:val="center"/>
        </w:trPr>
        <w:tc>
          <w:tcPr>
            <w:tcW w:w="9889" w:type="dxa"/>
            <w:gridSpan w:val="3"/>
            <w:shd w:val="clear" w:color="auto" w:fill="auto"/>
          </w:tcPr>
          <w:p w:rsidR="0037309C" w:rsidRPr="0035674D" w:rsidRDefault="0037309C" w:rsidP="00D374CD">
            <w:pPr>
              <w:spacing w:before="0"/>
              <w:jc w:val="left"/>
              <w:rPr>
                <w:szCs w:val="24"/>
              </w:rPr>
            </w:pPr>
          </w:p>
        </w:tc>
      </w:tr>
      <w:tr w:rsidR="0037309C" w:rsidRPr="0035674D" w:rsidTr="002B7B63">
        <w:trPr>
          <w:jc w:val="center"/>
        </w:trPr>
        <w:tc>
          <w:tcPr>
            <w:tcW w:w="9889" w:type="dxa"/>
            <w:gridSpan w:val="3"/>
            <w:shd w:val="clear" w:color="auto" w:fill="auto"/>
          </w:tcPr>
          <w:p w:rsidR="00F703E2" w:rsidRPr="00F703E2" w:rsidRDefault="00F703E2" w:rsidP="00F703E2">
            <w:pPr>
              <w:spacing w:before="0"/>
              <w:jc w:val="left"/>
              <w:rPr>
                <w:b/>
                <w:bCs/>
                <w:szCs w:val="24"/>
                <w:lang w:eastAsia="zh-CN"/>
              </w:rPr>
            </w:pPr>
            <w:r w:rsidRPr="00F703E2">
              <w:rPr>
                <w:rFonts w:hint="eastAsia"/>
                <w:b/>
                <w:bCs/>
                <w:szCs w:val="24"/>
                <w:lang w:eastAsia="zh-CN"/>
              </w:rPr>
              <w:t>致国际电联各成员国主管部门、无线电通信部门成员、参加无线电通信第</w:t>
            </w:r>
            <w:r>
              <w:rPr>
                <w:rFonts w:hint="eastAsia"/>
                <w:b/>
                <w:bCs/>
                <w:szCs w:val="24"/>
                <w:lang w:eastAsia="zh-CN"/>
              </w:rPr>
              <w:t>3</w:t>
            </w:r>
            <w:r w:rsidRPr="00F703E2">
              <w:rPr>
                <w:rFonts w:hint="eastAsia"/>
                <w:b/>
                <w:bCs/>
                <w:szCs w:val="24"/>
                <w:lang w:eastAsia="zh-CN"/>
              </w:rPr>
              <w:t>研究组工作的</w:t>
            </w:r>
            <w:r w:rsidRPr="00F703E2">
              <w:rPr>
                <w:rFonts w:hint="eastAsia"/>
                <w:b/>
                <w:bCs/>
                <w:szCs w:val="24"/>
                <w:lang w:eastAsia="zh-CN"/>
              </w:rPr>
              <w:t>ITU-R</w:t>
            </w:r>
            <w:r w:rsidRPr="00F703E2">
              <w:rPr>
                <w:rFonts w:hint="eastAsia"/>
                <w:b/>
                <w:bCs/>
                <w:szCs w:val="24"/>
                <w:lang w:eastAsia="zh-CN"/>
              </w:rPr>
              <w:t>部门准成员以及国际电联学术成员</w:t>
            </w:r>
          </w:p>
          <w:p w:rsidR="00D21694" w:rsidRPr="0035674D" w:rsidRDefault="00D21694" w:rsidP="002D334E">
            <w:pPr>
              <w:spacing w:before="0"/>
              <w:jc w:val="left"/>
              <w:rPr>
                <w:b/>
                <w:bCs/>
                <w:szCs w:val="24"/>
                <w:lang w:eastAsia="zh-CN"/>
              </w:rPr>
            </w:pPr>
          </w:p>
        </w:tc>
      </w:tr>
      <w:tr w:rsidR="0037309C" w:rsidRPr="0035674D" w:rsidTr="002B7B63">
        <w:trPr>
          <w:jc w:val="center"/>
        </w:trPr>
        <w:tc>
          <w:tcPr>
            <w:tcW w:w="9889" w:type="dxa"/>
            <w:gridSpan w:val="3"/>
            <w:shd w:val="clear" w:color="auto" w:fill="auto"/>
          </w:tcPr>
          <w:p w:rsidR="0037309C" w:rsidRPr="0035674D" w:rsidRDefault="0037309C" w:rsidP="006047E5">
            <w:pPr>
              <w:spacing w:before="0"/>
              <w:jc w:val="left"/>
              <w:rPr>
                <w:szCs w:val="24"/>
                <w:lang w:eastAsia="zh-CN"/>
              </w:rPr>
            </w:pPr>
          </w:p>
        </w:tc>
      </w:tr>
      <w:tr w:rsidR="0037309C" w:rsidRPr="0035674D" w:rsidTr="002B7B63">
        <w:trPr>
          <w:jc w:val="center"/>
        </w:trPr>
        <w:tc>
          <w:tcPr>
            <w:tcW w:w="9889" w:type="dxa"/>
            <w:gridSpan w:val="3"/>
            <w:shd w:val="clear" w:color="auto" w:fill="auto"/>
          </w:tcPr>
          <w:p w:rsidR="0037309C" w:rsidRPr="0035674D" w:rsidRDefault="0037309C" w:rsidP="006047E5">
            <w:pPr>
              <w:spacing w:before="0"/>
              <w:jc w:val="left"/>
              <w:rPr>
                <w:szCs w:val="24"/>
                <w:lang w:eastAsia="zh-CN"/>
              </w:rPr>
            </w:pPr>
          </w:p>
        </w:tc>
      </w:tr>
      <w:tr w:rsidR="002D334E" w:rsidRPr="00334544" w:rsidTr="002B7B63">
        <w:trPr>
          <w:jc w:val="center"/>
        </w:trPr>
        <w:tc>
          <w:tcPr>
            <w:tcW w:w="1526" w:type="dxa"/>
            <w:shd w:val="clear" w:color="auto" w:fill="auto"/>
          </w:tcPr>
          <w:p w:rsidR="002D334E" w:rsidRPr="00334544" w:rsidRDefault="002D334E" w:rsidP="0051310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2D334E" w:rsidRPr="00245A95" w:rsidRDefault="002D334E" w:rsidP="0051310C">
            <w:pPr>
              <w:tabs>
                <w:tab w:val="clear" w:pos="1588"/>
                <w:tab w:val="left" w:pos="1560"/>
              </w:tabs>
              <w:spacing w:before="0"/>
              <w:rPr>
                <w:rFonts w:asciiTheme="minorHAnsi" w:hAnsiTheme="minorHAnsi"/>
                <w:b/>
                <w:bCs/>
                <w:szCs w:val="24"/>
                <w:lang w:eastAsia="zh-CN"/>
              </w:rPr>
            </w:pPr>
            <w:r w:rsidRPr="00245A95">
              <w:rPr>
                <w:rFonts w:asciiTheme="minorHAnsi" w:hAnsiTheme="minorHAnsi"/>
                <w:b/>
                <w:bCs/>
                <w:szCs w:val="24"/>
                <w:lang w:eastAsia="zh-CN"/>
              </w:rPr>
              <w:t>无线电通信第</w:t>
            </w:r>
            <w:r>
              <w:rPr>
                <w:rFonts w:asciiTheme="minorHAnsi" w:hAnsiTheme="minorHAnsi" w:hint="eastAsia"/>
                <w:b/>
                <w:bCs/>
                <w:szCs w:val="24"/>
                <w:lang w:eastAsia="zh-CN"/>
              </w:rPr>
              <w:t>3</w:t>
            </w:r>
            <w:r w:rsidRPr="00245A95">
              <w:rPr>
                <w:rFonts w:asciiTheme="minorHAnsi" w:hAnsiTheme="minorHAnsi"/>
                <w:b/>
                <w:bCs/>
                <w:szCs w:val="24"/>
                <w:lang w:eastAsia="zh-CN"/>
              </w:rPr>
              <w:t>研究组（</w:t>
            </w:r>
            <w:r>
              <w:rPr>
                <w:rFonts w:asciiTheme="minorHAnsi" w:hAnsiTheme="minorHAnsi" w:hint="eastAsia"/>
                <w:b/>
                <w:bCs/>
                <w:szCs w:val="24"/>
                <w:lang w:eastAsia="zh-CN"/>
              </w:rPr>
              <w:t>无线电波传播</w:t>
            </w:r>
            <w:r w:rsidRPr="00245A95">
              <w:rPr>
                <w:rFonts w:asciiTheme="minorHAnsi" w:hAnsiTheme="minorHAnsi"/>
                <w:b/>
                <w:bCs/>
                <w:szCs w:val="24"/>
                <w:lang w:eastAsia="zh-CN"/>
              </w:rPr>
              <w:t>）</w:t>
            </w:r>
          </w:p>
          <w:p w:rsidR="002D334E" w:rsidRPr="00334544" w:rsidRDefault="002D334E" w:rsidP="002B7B63">
            <w:pPr>
              <w:tabs>
                <w:tab w:val="clear" w:pos="794"/>
                <w:tab w:val="clear" w:pos="1191"/>
                <w:tab w:val="clear" w:pos="1588"/>
                <w:tab w:val="left" w:pos="493"/>
                <w:tab w:val="left" w:pos="1843"/>
              </w:tabs>
              <w:rPr>
                <w:b/>
                <w:bCs/>
                <w:szCs w:val="24"/>
                <w:lang w:eastAsia="zh-CN"/>
              </w:rPr>
            </w:pPr>
            <w:r w:rsidRPr="00245A95">
              <w:rPr>
                <w:rFonts w:asciiTheme="minorHAnsi" w:hAnsiTheme="minorHAnsi" w:cstheme="majorBidi"/>
                <w:b/>
                <w:bCs/>
                <w:lang w:eastAsia="zh-CN"/>
              </w:rPr>
              <w:t>–</w:t>
            </w:r>
            <w:r w:rsidRPr="00245A95">
              <w:rPr>
                <w:rFonts w:asciiTheme="minorHAnsi" w:hAnsiTheme="minorHAnsi" w:cstheme="majorBidi"/>
                <w:b/>
                <w:bCs/>
                <w:lang w:eastAsia="zh-CN"/>
              </w:rPr>
              <w:tab/>
            </w:r>
            <w:r w:rsidRPr="00AD029D">
              <w:rPr>
                <w:rFonts w:hint="eastAsia"/>
                <w:b/>
                <w:bCs/>
                <w:szCs w:val="24"/>
                <w:lang w:eastAsia="zh-CN"/>
              </w:rPr>
              <w:t>建议</w:t>
            </w:r>
            <w:r>
              <w:rPr>
                <w:rFonts w:hint="eastAsia"/>
                <w:b/>
                <w:bCs/>
                <w:szCs w:val="24"/>
                <w:lang w:eastAsia="zh-CN"/>
              </w:rPr>
              <w:t>批准</w:t>
            </w:r>
            <w:r w:rsidR="00B86212">
              <w:rPr>
                <w:rFonts w:hint="eastAsia"/>
                <w:b/>
                <w:bCs/>
                <w:szCs w:val="24"/>
                <w:lang w:eastAsia="zh-CN"/>
              </w:rPr>
              <w:t>5</w:t>
            </w:r>
            <w:r w:rsidRPr="00AD029D">
              <w:rPr>
                <w:rFonts w:hint="eastAsia"/>
                <w:b/>
                <w:bCs/>
                <w:szCs w:val="24"/>
                <w:lang w:eastAsia="zh-CN"/>
              </w:rPr>
              <w:t>份</w:t>
            </w:r>
            <w:r>
              <w:rPr>
                <w:rFonts w:hint="eastAsia"/>
                <w:b/>
                <w:bCs/>
                <w:szCs w:val="24"/>
                <w:lang w:eastAsia="zh-CN"/>
              </w:rPr>
              <w:t>经</w:t>
            </w:r>
            <w:r w:rsidRPr="00AD029D">
              <w:rPr>
                <w:rFonts w:hint="eastAsia"/>
                <w:b/>
                <w:bCs/>
                <w:szCs w:val="24"/>
                <w:lang w:eastAsia="zh-CN"/>
              </w:rPr>
              <w:t>修订</w:t>
            </w:r>
            <w:r>
              <w:rPr>
                <w:rFonts w:hint="eastAsia"/>
                <w:b/>
                <w:bCs/>
                <w:szCs w:val="24"/>
                <w:lang w:eastAsia="zh-CN"/>
              </w:rPr>
              <w:t>的</w:t>
            </w:r>
            <w:r w:rsidRPr="00AD029D">
              <w:rPr>
                <w:rFonts w:hint="eastAsia"/>
                <w:b/>
                <w:bCs/>
                <w:szCs w:val="24"/>
                <w:lang w:eastAsia="zh-CN"/>
              </w:rPr>
              <w:t>ITU-R</w:t>
            </w:r>
            <w:r w:rsidRPr="00AD029D">
              <w:rPr>
                <w:rFonts w:hint="eastAsia"/>
                <w:b/>
                <w:bCs/>
                <w:szCs w:val="24"/>
                <w:lang w:eastAsia="zh-CN"/>
              </w:rPr>
              <w:t>建议书草案</w:t>
            </w:r>
          </w:p>
        </w:tc>
      </w:tr>
      <w:tr w:rsidR="002D334E" w:rsidRPr="00334544" w:rsidTr="002B7B63">
        <w:trPr>
          <w:jc w:val="center"/>
        </w:trPr>
        <w:tc>
          <w:tcPr>
            <w:tcW w:w="1526" w:type="dxa"/>
            <w:shd w:val="clear" w:color="auto" w:fill="auto"/>
          </w:tcPr>
          <w:p w:rsidR="002D334E" w:rsidRPr="00334544" w:rsidRDefault="002D334E" w:rsidP="0051310C">
            <w:pPr>
              <w:tabs>
                <w:tab w:val="clear" w:pos="1588"/>
                <w:tab w:val="left" w:pos="1560"/>
              </w:tabs>
              <w:spacing w:before="0"/>
              <w:jc w:val="left"/>
              <w:rPr>
                <w:b/>
                <w:bCs/>
                <w:szCs w:val="24"/>
                <w:lang w:val="en-GB" w:eastAsia="zh-CN"/>
              </w:rPr>
            </w:pPr>
          </w:p>
        </w:tc>
        <w:tc>
          <w:tcPr>
            <w:tcW w:w="8363" w:type="dxa"/>
            <w:gridSpan w:val="2"/>
            <w:vMerge/>
            <w:shd w:val="clear" w:color="auto" w:fill="auto"/>
          </w:tcPr>
          <w:p w:rsidR="002D334E" w:rsidRPr="00334544" w:rsidRDefault="002D334E" w:rsidP="0051310C">
            <w:pPr>
              <w:tabs>
                <w:tab w:val="clear" w:pos="1588"/>
                <w:tab w:val="left" w:pos="1560"/>
              </w:tabs>
              <w:spacing w:before="0"/>
              <w:rPr>
                <w:b/>
                <w:bCs/>
                <w:szCs w:val="24"/>
                <w:lang w:val="en-GB" w:eastAsia="zh-CN"/>
              </w:rPr>
            </w:pPr>
          </w:p>
        </w:tc>
      </w:tr>
      <w:tr w:rsidR="002D334E" w:rsidRPr="00334544" w:rsidTr="002B7B63">
        <w:trPr>
          <w:jc w:val="center"/>
        </w:trPr>
        <w:tc>
          <w:tcPr>
            <w:tcW w:w="1526" w:type="dxa"/>
            <w:shd w:val="clear" w:color="auto" w:fill="auto"/>
          </w:tcPr>
          <w:p w:rsidR="002D334E" w:rsidRPr="00334544" w:rsidRDefault="002D334E" w:rsidP="0051310C">
            <w:pPr>
              <w:tabs>
                <w:tab w:val="clear" w:pos="1588"/>
                <w:tab w:val="left" w:pos="1560"/>
              </w:tabs>
              <w:spacing w:before="0"/>
              <w:jc w:val="left"/>
              <w:rPr>
                <w:b/>
                <w:bCs/>
                <w:szCs w:val="24"/>
                <w:lang w:val="en-GB" w:eastAsia="zh-CN"/>
              </w:rPr>
            </w:pPr>
          </w:p>
        </w:tc>
        <w:tc>
          <w:tcPr>
            <w:tcW w:w="8363" w:type="dxa"/>
            <w:gridSpan w:val="2"/>
            <w:vMerge/>
            <w:shd w:val="clear" w:color="auto" w:fill="auto"/>
          </w:tcPr>
          <w:p w:rsidR="002D334E" w:rsidRPr="00334544" w:rsidRDefault="002D334E" w:rsidP="0051310C">
            <w:pPr>
              <w:tabs>
                <w:tab w:val="clear" w:pos="1588"/>
                <w:tab w:val="left" w:pos="1560"/>
              </w:tabs>
              <w:spacing w:before="0"/>
              <w:rPr>
                <w:b/>
                <w:bCs/>
                <w:szCs w:val="24"/>
                <w:lang w:val="en-GB" w:eastAsia="zh-CN"/>
              </w:rPr>
            </w:pPr>
          </w:p>
        </w:tc>
      </w:tr>
      <w:tr w:rsidR="00C51E92" w:rsidRPr="0035674D" w:rsidTr="002B7B63">
        <w:trPr>
          <w:jc w:val="center"/>
        </w:trPr>
        <w:tc>
          <w:tcPr>
            <w:tcW w:w="9889" w:type="dxa"/>
            <w:gridSpan w:val="3"/>
            <w:shd w:val="clear" w:color="auto" w:fill="auto"/>
          </w:tcPr>
          <w:p w:rsidR="00C51E92" w:rsidRPr="0035674D" w:rsidRDefault="00C51E92" w:rsidP="00F72DBF">
            <w:pPr>
              <w:spacing w:before="0"/>
              <w:jc w:val="left"/>
              <w:rPr>
                <w:b/>
                <w:bCs/>
                <w:szCs w:val="24"/>
                <w:lang w:eastAsia="zh-CN"/>
              </w:rPr>
            </w:pPr>
          </w:p>
        </w:tc>
      </w:tr>
      <w:tr w:rsidR="00C51E92" w:rsidRPr="0035674D" w:rsidTr="002B7B63">
        <w:trPr>
          <w:jc w:val="center"/>
        </w:trPr>
        <w:tc>
          <w:tcPr>
            <w:tcW w:w="9889" w:type="dxa"/>
            <w:gridSpan w:val="3"/>
            <w:shd w:val="clear" w:color="auto" w:fill="auto"/>
          </w:tcPr>
          <w:p w:rsidR="00C51E92" w:rsidRPr="0035674D" w:rsidRDefault="00C51E92" w:rsidP="00F72DBF">
            <w:pPr>
              <w:spacing w:before="0"/>
              <w:jc w:val="left"/>
              <w:rPr>
                <w:b/>
                <w:bCs/>
                <w:szCs w:val="24"/>
                <w:lang w:eastAsia="zh-CN"/>
              </w:rPr>
            </w:pPr>
          </w:p>
        </w:tc>
      </w:tr>
    </w:tbl>
    <w:p w:rsidR="00B86212" w:rsidRPr="00B86212" w:rsidRDefault="00B86212" w:rsidP="00B86212">
      <w:pPr>
        <w:spacing w:before="720"/>
        <w:ind w:firstLineChars="200" w:firstLine="480"/>
        <w:rPr>
          <w:rFonts w:eastAsiaTheme="minorEastAsia"/>
          <w:lang w:eastAsia="zh-CN"/>
        </w:rPr>
      </w:pPr>
      <w:r w:rsidRPr="00B86212">
        <w:rPr>
          <w:rFonts w:eastAsiaTheme="minorEastAsia" w:hint="eastAsia"/>
          <w:lang w:eastAsia="zh-CN"/>
        </w:rPr>
        <w:t>在</w:t>
      </w:r>
      <w:r w:rsidRPr="00B86212">
        <w:rPr>
          <w:rFonts w:eastAsiaTheme="minorEastAsia"/>
          <w:lang w:eastAsia="zh-CN"/>
        </w:rPr>
        <w:t>201</w:t>
      </w:r>
      <w:r>
        <w:rPr>
          <w:rFonts w:eastAsiaTheme="minorEastAsia" w:hint="eastAsia"/>
          <w:lang w:eastAsia="zh-CN"/>
        </w:rPr>
        <w:t>9</w:t>
      </w:r>
      <w:r w:rsidRPr="00B86212">
        <w:rPr>
          <w:rFonts w:eastAsiaTheme="minorEastAsia" w:hint="eastAsia"/>
          <w:lang w:eastAsia="zh-CN"/>
        </w:rPr>
        <w:t>年</w:t>
      </w:r>
      <w:r>
        <w:rPr>
          <w:rFonts w:eastAsiaTheme="minorEastAsia" w:hint="eastAsia"/>
          <w:lang w:eastAsia="zh-CN"/>
        </w:rPr>
        <w:t>5</w:t>
      </w:r>
      <w:r w:rsidRPr="00B86212">
        <w:rPr>
          <w:rFonts w:eastAsiaTheme="minorEastAsia" w:hint="eastAsia"/>
          <w:lang w:eastAsia="zh-CN"/>
        </w:rPr>
        <w:t>月</w:t>
      </w:r>
      <w:r>
        <w:rPr>
          <w:rFonts w:eastAsiaTheme="minorEastAsia" w:hint="eastAsia"/>
          <w:lang w:eastAsia="zh-CN"/>
        </w:rPr>
        <w:t>24</w:t>
      </w:r>
      <w:r w:rsidRPr="00B86212">
        <w:rPr>
          <w:rFonts w:eastAsiaTheme="minorEastAsia" w:hint="eastAsia"/>
          <w:lang w:eastAsia="zh-CN"/>
        </w:rPr>
        <w:t>日召开的无线电通信第</w:t>
      </w:r>
      <w:r>
        <w:rPr>
          <w:rFonts w:eastAsiaTheme="minorEastAsia" w:hint="eastAsia"/>
          <w:lang w:eastAsia="zh-CN"/>
        </w:rPr>
        <w:t>3</w:t>
      </w:r>
      <w:r w:rsidRPr="00B86212">
        <w:rPr>
          <w:rFonts w:eastAsiaTheme="minorEastAsia" w:hint="eastAsia"/>
          <w:lang w:eastAsia="zh-CN"/>
        </w:rPr>
        <w:t>研究组会议上，该研究组通过了</w:t>
      </w:r>
      <w:r>
        <w:rPr>
          <w:rFonts w:eastAsiaTheme="minorEastAsia" w:hint="eastAsia"/>
          <w:lang w:eastAsia="zh-CN"/>
        </w:rPr>
        <w:t>5</w:t>
      </w:r>
      <w:r w:rsidRPr="00B86212">
        <w:rPr>
          <w:rFonts w:eastAsiaTheme="minorEastAsia" w:hint="eastAsia"/>
          <w:lang w:eastAsia="zh-CN"/>
        </w:rPr>
        <w:t>份经修订的</w:t>
      </w:r>
      <w:r w:rsidRPr="00B86212">
        <w:rPr>
          <w:rFonts w:eastAsiaTheme="minorEastAsia"/>
          <w:lang w:eastAsia="zh-CN"/>
        </w:rPr>
        <w:t>ITU-R</w:t>
      </w:r>
      <w:r w:rsidRPr="00B86212">
        <w:rPr>
          <w:rFonts w:eastAsiaTheme="minorEastAsia" w:hint="eastAsia"/>
          <w:lang w:eastAsia="zh-CN"/>
        </w:rPr>
        <w:t>建议书草案，并同意应用</w:t>
      </w:r>
      <w:r w:rsidRPr="00B86212">
        <w:rPr>
          <w:rFonts w:eastAsiaTheme="minorEastAsia"/>
          <w:lang w:eastAsia="zh-CN"/>
        </w:rPr>
        <w:t>ITU-R</w:t>
      </w:r>
      <w:r w:rsidRPr="00B86212">
        <w:rPr>
          <w:rFonts w:eastAsiaTheme="minorEastAsia" w:hint="eastAsia"/>
          <w:lang w:eastAsia="zh-CN"/>
        </w:rPr>
        <w:t>第</w:t>
      </w:r>
      <w:r w:rsidRPr="00B86212">
        <w:rPr>
          <w:rFonts w:eastAsiaTheme="minorEastAsia"/>
          <w:lang w:eastAsia="zh-CN"/>
        </w:rPr>
        <w:t>1-</w:t>
      </w:r>
      <w:r w:rsidRPr="00B86212">
        <w:rPr>
          <w:rFonts w:eastAsiaTheme="minorEastAsia" w:hint="eastAsia"/>
          <w:lang w:eastAsia="zh-CN"/>
        </w:rPr>
        <w:t>7</w:t>
      </w:r>
      <w:r w:rsidRPr="00B86212">
        <w:rPr>
          <w:rFonts w:eastAsiaTheme="minorEastAsia" w:hint="eastAsia"/>
          <w:lang w:eastAsia="zh-CN"/>
        </w:rPr>
        <w:t>号决议（见</w:t>
      </w:r>
      <w:r w:rsidRPr="00B86212">
        <w:rPr>
          <w:rFonts w:eastAsiaTheme="minorEastAsia" w:cstheme="minorHAnsi"/>
          <w:lang w:eastAsia="zh-CN"/>
        </w:rPr>
        <w:t>A.2.6.2.3</w:t>
      </w:r>
      <w:r w:rsidRPr="00B86212">
        <w:rPr>
          <w:rFonts w:eastAsiaTheme="minorEastAsia" w:hint="eastAsia"/>
          <w:lang w:eastAsia="zh-CN"/>
        </w:rPr>
        <w:t>段）的程序，通过磋商批准建议书。建议书草案的标题和摘要见本函。任何反对批准建议书草案的成员国，请将反对理由通知主任和研究组主席。</w:t>
      </w:r>
    </w:p>
    <w:p w:rsidR="00B86212" w:rsidRPr="00B86212" w:rsidRDefault="00B86212" w:rsidP="00B02D10">
      <w:pPr>
        <w:spacing w:before="136"/>
        <w:ind w:firstLineChars="200" w:firstLine="480"/>
        <w:rPr>
          <w:rFonts w:eastAsia="Times New Roman"/>
          <w:lang w:eastAsia="zh-CN"/>
        </w:rPr>
      </w:pPr>
      <w:r w:rsidRPr="00B86212">
        <w:rPr>
          <w:rFonts w:eastAsiaTheme="minorEastAsia" w:hint="eastAsia"/>
          <w:lang w:eastAsia="zh-CN"/>
        </w:rPr>
        <w:t>根据</w:t>
      </w:r>
      <w:r w:rsidRPr="00B86212">
        <w:rPr>
          <w:rFonts w:eastAsiaTheme="minorEastAsia"/>
          <w:lang w:eastAsia="zh-CN"/>
        </w:rPr>
        <w:t>ITU-R</w:t>
      </w:r>
      <w:r w:rsidRPr="00B86212">
        <w:rPr>
          <w:rFonts w:eastAsiaTheme="minorEastAsia" w:hint="eastAsia"/>
          <w:lang w:eastAsia="zh-CN"/>
        </w:rPr>
        <w:t>第</w:t>
      </w:r>
      <w:r w:rsidRPr="00B86212">
        <w:rPr>
          <w:rFonts w:eastAsiaTheme="minorEastAsia"/>
          <w:lang w:eastAsia="zh-CN"/>
        </w:rPr>
        <w:t>1-7</w:t>
      </w:r>
      <w:r w:rsidRPr="00B86212">
        <w:rPr>
          <w:rFonts w:eastAsiaTheme="minorEastAsia" w:hint="eastAsia"/>
          <w:lang w:eastAsia="zh-CN"/>
        </w:rPr>
        <w:t>号决议</w:t>
      </w:r>
      <w:r w:rsidRPr="00B86212">
        <w:rPr>
          <w:rFonts w:eastAsiaTheme="minorEastAsia"/>
          <w:lang w:eastAsia="zh-CN"/>
        </w:rPr>
        <w:t>A.2.6.2.3</w:t>
      </w:r>
      <w:r w:rsidRPr="00B86212">
        <w:rPr>
          <w:rFonts w:eastAsiaTheme="minorEastAsia" w:hint="eastAsia"/>
          <w:lang w:eastAsia="zh-CN"/>
        </w:rPr>
        <w:t>段的规定，请各成员国在</w:t>
      </w:r>
      <w:r w:rsidRPr="00B86212">
        <w:rPr>
          <w:rFonts w:eastAsiaTheme="minorEastAsia"/>
          <w:u w:val="single"/>
          <w:lang w:eastAsia="zh-CN"/>
        </w:rPr>
        <w:t>201</w:t>
      </w:r>
      <w:r w:rsidRPr="00B86212">
        <w:rPr>
          <w:rFonts w:eastAsiaTheme="minorEastAsia" w:hint="eastAsia"/>
          <w:u w:val="single"/>
          <w:lang w:eastAsia="zh-CN"/>
        </w:rPr>
        <w:t>9</w:t>
      </w:r>
      <w:r w:rsidRPr="00B86212">
        <w:rPr>
          <w:rFonts w:eastAsiaTheme="minorEastAsia" w:hint="eastAsia"/>
          <w:u w:val="single"/>
          <w:lang w:eastAsia="zh-CN"/>
        </w:rPr>
        <w:t>年</w:t>
      </w:r>
      <w:r w:rsidR="00B02D10">
        <w:rPr>
          <w:rFonts w:eastAsiaTheme="minorEastAsia"/>
          <w:u w:val="single"/>
          <w:lang w:eastAsia="zh-CN"/>
        </w:rPr>
        <w:t>8</w:t>
      </w:r>
      <w:r w:rsidRPr="00B86212">
        <w:rPr>
          <w:rFonts w:eastAsiaTheme="minorEastAsia" w:hint="eastAsia"/>
          <w:u w:val="single"/>
          <w:lang w:eastAsia="zh-CN"/>
        </w:rPr>
        <w:t>月</w:t>
      </w:r>
      <w:r w:rsidRPr="00B86212">
        <w:rPr>
          <w:rFonts w:eastAsiaTheme="minorEastAsia" w:hint="eastAsia"/>
          <w:u w:val="single"/>
          <w:lang w:eastAsia="zh-CN"/>
        </w:rPr>
        <w:t>1</w:t>
      </w:r>
      <w:r w:rsidR="00B02D10">
        <w:rPr>
          <w:rFonts w:eastAsiaTheme="minorEastAsia"/>
          <w:u w:val="single"/>
          <w:lang w:eastAsia="zh-CN"/>
        </w:rPr>
        <w:t>4</w:t>
      </w:r>
      <w:r w:rsidRPr="00B86212">
        <w:rPr>
          <w:rFonts w:eastAsiaTheme="minorEastAsia" w:hint="eastAsia"/>
          <w:u w:val="single"/>
          <w:lang w:eastAsia="zh-CN"/>
        </w:rPr>
        <w:t>日</w:t>
      </w:r>
      <w:r w:rsidRPr="00B86212">
        <w:rPr>
          <w:rFonts w:eastAsiaTheme="minorEastAsia" w:hint="eastAsia"/>
          <w:lang w:eastAsia="zh-CN"/>
        </w:rPr>
        <w:t>之前通知秘书处</w:t>
      </w:r>
      <w:r w:rsidRPr="00B86212">
        <w:rPr>
          <w:rFonts w:eastAsia="Times New Roman"/>
          <w:lang w:eastAsia="zh-CN"/>
        </w:rPr>
        <w:t xml:space="preserve"> (</w:t>
      </w:r>
      <w:hyperlink r:id="rId8" w:history="1">
        <w:r w:rsidRPr="00B86212">
          <w:rPr>
            <w:rFonts w:eastAsia="Times New Roman"/>
            <w:color w:val="0000FF"/>
            <w:u w:val="single"/>
            <w:lang w:eastAsia="zh-CN"/>
          </w:rPr>
          <w:t>brsgd@itu.int</w:t>
        </w:r>
      </w:hyperlink>
      <w:r w:rsidRPr="00B86212">
        <w:rPr>
          <w:rFonts w:eastAsia="Times New Roman"/>
          <w:lang w:eastAsia="zh-CN"/>
        </w:rPr>
        <w:t>)</w:t>
      </w:r>
      <w:r w:rsidRPr="00B86212">
        <w:rPr>
          <w:rFonts w:eastAsiaTheme="minorEastAsia" w:hint="eastAsia"/>
          <w:lang w:eastAsia="zh-CN"/>
        </w:rPr>
        <w:t>是否批准上述建议。</w:t>
      </w:r>
    </w:p>
    <w:p w:rsidR="00B86212" w:rsidRPr="00B86212" w:rsidRDefault="00B86212" w:rsidP="00B86212">
      <w:pPr>
        <w:ind w:firstLineChars="200" w:firstLine="480"/>
        <w:rPr>
          <w:rFonts w:eastAsia="Times New Roman"/>
        </w:rPr>
      </w:pPr>
      <w:r w:rsidRPr="00B86212">
        <w:rPr>
          <w:rFonts w:eastAsiaTheme="minorEastAsia" w:hint="eastAsia"/>
          <w:lang w:eastAsia="zh-CN"/>
        </w:rPr>
        <w:t>在上述截止期限之后，将以行政通函的方式通报此次磋商的结果，并将尽可能快地出版已批准的建议书（见</w:t>
      </w:r>
      <w:hyperlink r:id="rId9" w:history="1">
        <w:r w:rsidRPr="00B86212">
          <w:rPr>
            <w:rFonts w:eastAsia="Times New Roman"/>
            <w:color w:val="0000FF"/>
            <w:u w:val="single"/>
          </w:rPr>
          <w:t>http://www.itu.int/pub/R-REC</w:t>
        </w:r>
      </w:hyperlink>
      <w:r w:rsidRPr="00B86212">
        <w:rPr>
          <w:rFonts w:eastAsiaTheme="minorEastAsia" w:hint="eastAsia"/>
          <w:lang w:eastAsia="zh-CN"/>
        </w:rPr>
        <w:t>）。</w:t>
      </w:r>
    </w:p>
    <w:p w:rsidR="003151D0" w:rsidRPr="0035674D" w:rsidRDefault="003151D0" w:rsidP="003151D0">
      <w:pPr>
        <w:tabs>
          <w:tab w:val="clear" w:pos="794"/>
          <w:tab w:val="clear" w:pos="1191"/>
          <w:tab w:val="clear" w:pos="1588"/>
          <w:tab w:val="clear" w:pos="1985"/>
        </w:tabs>
        <w:overflowPunct/>
        <w:autoSpaceDE/>
        <w:autoSpaceDN/>
        <w:adjustRightInd/>
        <w:spacing w:before="0"/>
        <w:textAlignment w:val="auto"/>
      </w:pPr>
      <w:r w:rsidRPr="0035674D">
        <w:br w:type="page"/>
      </w:r>
    </w:p>
    <w:p w:rsidR="00D66CA3" w:rsidRDefault="00D66CA3" w:rsidP="00DC691F">
      <w:pPr>
        <w:ind w:firstLineChars="200" w:firstLine="480"/>
        <w:rPr>
          <w:rFonts w:eastAsiaTheme="minorEastAsia"/>
          <w:lang w:eastAsia="zh-CN"/>
        </w:rPr>
      </w:pPr>
      <w:r w:rsidRPr="00D66CA3">
        <w:rPr>
          <w:rFonts w:eastAsiaTheme="minorEastAsia" w:hint="eastAsia"/>
          <w:lang w:eastAsia="zh-CN"/>
        </w:rPr>
        <w:lastRenderedPageBreak/>
        <w:t>如有国际电联成员组织了解自身或其他组织拥有涉及本函所提及的建议书草案的全部或部分内容的专利，请务必尽快向秘书处通报这一信息。</w:t>
      </w:r>
      <w:r w:rsidRPr="00D66CA3">
        <w:rPr>
          <w:rFonts w:eastAsiaTheme="minorEastAsia"/>
          <w:lang w:eastAsia="zh-CN"/>
        </w:rPr>
        <w:t>ITU-T/ITU-R/ISO/IEC</w:t>
      </w:r>
      <w:r w:rsidRPr="00D66CA3">
        <w:rPr>
          <w:rFonts w:eastAsiaTheme="minorEastAsia" w:hint="eastAsia"/>
          <w:lang w:eastAsia="zh-CN"/>
        </w:rPr>
        <w:t>通用专利政策见：</w:t>
      </w:r>
      <w:hyperlink r:id="rId10" w:history="1">
        <w:r w:rsidR="00DC691F" w:rsidRPr="0035674D">
          <w:rPr>
            <w:rStyle w:val="Hyperlink"/>
            <w:lang w:eastAsia="zh-CN"/>
          </w:rPr>
          <w:t>http://www.itu.int/en/ITU-T/ipr/Pages/policy.aspx</w:t>
        </w:r>
      </w:hyperlink>
      <w:r w:rsidRPr="00D66CA3">
        <w:rPr>
          <w:rFonts w:eastAsiaTheme="minorEastAsia" w:hint="eastAsia"/>
          <w:lang w:eastAsia="zh-CN"/>
        </w:rPr>
        <w:t>。</w:t>
      </w:r>
    </w:p>
    <w:p w:rsidR="00D66CA3" w:rsidRDefault="00D66CA3" w:rsidP="002B7B63">
      <w:pPr>
        <w:rPr>
          <w:rFonts w:eastAsiaTheme="minorEastAsia"/>
          <w:lang w:eastAsia="zh-CN"/>
        </w:rPr>
      </w:pPr>
    </w:p>
    <w:p w:rsidR="00D66CA3" w:rsidRDefault="00D66CA3" w:rsidP="002B7B63">
      <w:pPr>
        <w:rPr>
          <w:rFonts w:eastAsiaTheme="minorEastAsia"/>
          <w:lang w:eastAsia="zh-CN"/>
        </w:rPr>
      </w:pPr>
    </w:p>
    <w:p w:rsidR="00DC691F" w:rsidRPr="00D66CA3" w:rsidRDefault="00DC691F" w:rsidP="002B7B63">
      <w:pPr>
        <w:rPr>
          <w:rFonts w:eastAsiaTheme="minorEastAsia"/>
          <w:lang w:eastAsia="zh-CN"/>
        </w:rPr>
      </w:pPr>
    </w:p>
    <w:p w:rsidR="003151D0" w:rsidRDefault="00D66CA3" w:rsidP="003151D0">
      <w:pPr>
        <w:tabs>
          <w:tab w:val="center" w:pos="7939"/>
          <w:tab w:val="right" w:pos="8505"/>
        </w:tabs>
        <w:rPr>
          <w:lang w:eastAsia="zh-CN"/>
        </w:rPr>
      </w:pPr>
      <w:r>
        <w:rPr>
          <w:rFonts w:hint="eastAsia"/>
          <w:lang w:eastAsia="zh-CN"/>
        </w:rPr>
        <w:t>主任</w:t>
      </w:r>
    </w:p>
    <w:p w:rsidR="00D66CA3" w:rsidRPr="0035674D" w:rsidRDefault="00D66CA3" w:rsidP="003151D0">
      <w:pPr>
        <w:tabs>
          <w:tab w:val="center" w:pos="7939"/>
          <w:tab w:val="right" w:pos="8505"/>
        </w:tabs>
        <w:rPr>
          <w:u w:val="single"/>
          <w:lang w:eastAsia="zh-CN"/>
        </w:rPr>
      </w:pPr>
      <w:r>
        <w:rPr>
          <w:rFonts w:hint="eastAsia"/>
          <w:lang w:eastAsia="zh-CN"/>
        </w:rPr>
        <w:t>马里奥</w:t>
      </w:r>
      <w:r w:rsidRPr="00F46C6F">
        <w:rPr>
          <w:rFonts w:ascii="SimSun" w:hAnsi="Wingdings 2" w:hint="eastAsia"/>
          <w:szCs w:val="24"/>
          <w:lang w:eastAsia="zh-CN"/>
        </w:rPr>
        <w:sym w:font="Wingdings 2" w:char="F096"/>
      </w:r>
      <w:r>
        <w:rPr>
          <w:rFonts w:ascii="SimSun" w:hAnsi="Wingdings 2" w:hint="eastAsia"/>
          <w:szCs w:val="24"/>
          <w:lang w:eastAsia="zh-CN"/>
        </w:rPr>
        <w:t>马尼维奇</w:t>
      </w:r>
    </w:p>
    <w:p w:rsidR="003151D0" w:rsidRDefault="003151D0" w:rsidP="003151D0">
      <w:pPr>
        <w:tabs>
          <w:tab w:val="center" w:pos="7939"/>
          <w:tab w:val="right" w:pos="8505"/>
        </w:tabs>
        <w:rPr>
          <w:u w:val="single"/>
          <w:lang w:eastAsia="zh-CN"/>
        </w:rPr>
      </w:pPr>
    </w:p>
    <w:p w:rsidR="00DC691F" w:rsidRDefault="00DC691F" w:rsidP="003151D0">
      <w:pPr>
        <w:tabs>
          <w:tab w:val="center" w:pos="7939"/>
          <w:tab w:val="right" w:pos="8505"/>
        </w:tabs>
        <w:rPr>
          <w:u w:val="single"/>
          <w:lang w:eastAsia="zh-CN"/>
        </w:rPr>
      </w:pPr>
    </w:p>
    <w:p w:rsidR="00DC691F" w:rsidRDefault="00DC691F" w:rsidP="003151D0">
      <w:pPr>
        <w:tabs>
          <w:tab w:val="center" w:pos="7939"/>
          <w:tab w:val="right" w:pos="8505"/>
        </w:tabs>
        <w:rPr>
          <w:u w:val="single"/>
          <w:lang w:eastAsia="zh-CN"/>
        </w:rPr>
      </w:pPr>
    </w:p>
    <w:p w:rsidR="00DC691F" w:rsidRPr="0035674D" w:rsidRDefault="00DC691F" w:rsidP="003151D0">
      <w:pPr>
        <w:tabs>
          <w:tab w:val="center" w:pos="7939"/>
          <w:tab w:val="right" w:pos="8505"/>
        </w:tabs>
        <w:rPr>
          <w:u w:val="single"/>
          <w:lang w:eastAsia="zh-CN"/>
        </w:rPr>
      </w:pPr>
    </w:p>
    <w:p w:rsidR="00D66CA3" w:rsidRPr="00D66CA3" w:rsidRDefault="00D66CA3" w:rsidP="002B7B63">
      <w:pPr>
        <w:rPr>
          <w:lang w:eastAsia="zh-CN"/>
        </w:rPr>
      </w:pPr>
      <w:r w:rsidRPr="00D66CA3">
        <w:rPr>
          <w:rFonts w:hint="eastAsia"/>
          <w:b/>
          <w:lang w:val="fr-FR" w:eastAsia="zh-CN"/>
        </w:rPr>
        <w:t>附件</w:t>
      </w:r>
      <w:r w:rsidRPr="00D66CA3">
        <w:rPr>
          <w:rFonts w:hint="eastAsia"/>
          <w:b/>
          <w:lang w:eastAsia="zh-CN"/>
        </w:rPr>
        <w:t>：</w:t>
      </w:r>
      <w:r w:rsidRPr="00D66CA3">
        <w:rPr>
          <w:b/>
          <w:lang w:eastAsia="zh-CN"/>
        </w:rPr>
        <w:tab/>
      </w:r>
      <w:r w:rsidRPr="00D66CA3">
        <w:rPr>
          <w:rFonts w:hint="eastAsia"/>
          <w:lang w:eastAsia="zh-CN"/>
        </w:rPr>
        <w:t>建议书草案的标题和摘要</w:t>
      </w:r>
    </w:p>
    <w:p w:rsidR="00D66CA3" w:rsidRPr="00D66CA3" w:rsidRDefault="00D66CA3" w:rsidP="00D66CA3">
      <w:pPr>
        <w:spacing w:before="120"/>
        <w:rPr>
          <w:lang w:eastAsia="zh-CN"/>
        </w:rPr>
      </w:pPr>
    </w:p>
    <w:p w:rsidR="00D66CA3" w:rsidRPr="00D66CA3" w:rsidRDefault="00D66CA3" w:rsidP="00B02D10">
      <w:pPr>
        <w:spacing w:before="360"/>
        <w:rPr>
          <w:lang w:eastAsia="zh-CN"/>
        </w:rPr>
      </w:pPr>
      <w:r w:rsidRPr="00D66CA3">
        <w:rPr>
          <w:rFonts w:hint="eastAsia"/>
          <w:b/>
          <w:bCs/>
          <w:lang w:eastAsia="zh-CN"/>
        </w:rPr>
        <w:t>文件：</w:t>
      </w:r>
      <w:r w:rsidRPr="00D66CA3">
        <w:rPr>
          <w:b/>
          <w:bCs/>
          <w:lang w:eastAsia="zh-CN"/>
        </w:rPr>
        <w:tab/>
      </w:r>
      <w:hyperlink r:id="rId11" w:history="1">
        <w:r w:rsidR="00DC691F" w:rsidRPr="00FA22B6">
          <w:t>3/93</w:t>
        </w:r>
      </w:hyperlink>
      <w:r w:rsidR="00DC691F" w:rsidRPr="00FA22B6">
        <w:t>、</w:t>
      </w:r>
      <w:hyperlink r:id="rId12" w:history="1">
        <w:r w:rsidR="00DC691F" w:rsidRPr="00FA22B6">
          <w:t>3/94(Rev.1)</w:t>
        </w:r>
      </w:hyperlink>
      <w:r w:rsidR="00DC691F" w:rsidRPr="00FA22B6">
        <w:t>、</w:t>
      </w:r>
      <w:hyperlink r:id="rId13" w:history="1">
        <w:r w:rsidR="00DC691F" w:rsidRPr="00FA22B6">
          <w:t>3/95(Rev.1)</w:t>
        </w:r>
      </w:hyperlink>
      <w:r w:rsidR="00DC691F" w:rsidRPr="00FA22B6">
        <w:t>、</w:t>
      </w:r>
      <w:hyperlink r:id="rId14" w:history="1">
        <w:r w:rsidR="00DC691F" w:rsidRPr="00FA22B6">
          <w:t>3/97(Rev.1)</w:t>
        </w:r>
      </w:hyperlink>
      <w:r w:rsidR="00DC691F" w:rsidRPr="00FA22B6">
        <w:t>、</w:t>
      </w:r>
      <w:hyperlink r:id="rId15" w:history="1">
        <w:r w:rsidR="00DC691F" w:rsidRPr="00FA22B6">
          <w:t>3/98(Rev.1)</w:t>
        </w:r>
      </w:hyperlink>
      <w:r w:rsidRPr="00D66CA3">
        <w:rPr>
          <w:rFonts w:hint="eastAsia"/>
          <w:lang w:eastAsia="zh-CN"/>
        </w:rPr>
        <w:t>号文件</w:t>
      </w:r>
    </w:p>
    <w:p w:rsidR="003151D0" w:rsidRPr="00D66CA3" w:rsidRDefault="00D66CA3" w:rsidP="00DC691F">
      <w:pPr>
        <w:spacing w:before="120"/>
        <w:rPr>
          <w:rFonts w:eastAsiaTheme="minorEastAsia"/>
          <w:lang w:eastAsia="zh-CN"/>
        </w:rPr>
      </w:pPr>
      <w:r w:rsidRPr="00D66CA3">
        <w:rPr>
          <w:rFonts w:eastAsiaTheme="minorEastAsia"/>
          <w:lang w:eastAsia="zh-CN"/>
        </w:rPr>
        <w:tab/>
      </w:r>
      <w:r w:rsidRPr="00D66CA3">
        <w:rPr>
          <w:rFonts w:eastAsiaTheme="minorEastAsia" w:hint="eastAsia"/>
          <w:lang w:eastAsia="zh-CN"/>
        </w:rPr>
        <w:t>可在此处查到这些文件的电子版</w:t>
      </w:r>
      <w:r w:rsidR="00DC691F">
        <w:t>：</w:t>
      </w:r>
      <w:hyperlink r:id="rId16" w:history="1">
        <w:r w:rsidR="00DC691F" w:rsidRPr="002112A4">
          <w:rPr>
            <w:rStyle w:val="Hyperlink"/>
          </w:rPr>
          <w:t>https://www.itu.int/md/R15-SG03-C/en</w:t>
        </w:r>
      </w:hyperlink>
      <w:r w:rsidR="00606BE0">
        <w:t xml:space="preserve"> </w:t>
      </w:r>
    </w:p>
    <w:p w:rsidR="00D66CA3" w:rsidRPr="00D66CA3" w:rsidRDefault="00D66CA3" w:rsidP="002B7B63">
      <w:pPr>
        <w:spacing w:before="5000"/>
        <w:ind w:left="794" w:hanging="794"/>
        <w:rPr>
          <w:sz w:val="18"/>
          <w:szCs w:val="18"/>
          <w:lang w:eastAsia="zh-CN"/>
        </w:rPr>
      </w:pPr>
      <w:r w:rsidRPr="00D66CA3">
        <w:rPr>
          <w:rFonts w:hint="eastAsia"/>
          <w:b/>
          <w:bCs/>
          <w:sz w:val="18"/>
          <w:szCs w:val="18"/>
          <w:lang w:eastAsia="zh-CN"/>
        </w:rPr>
        <w:t>分发</w:t>
      </w:r>
      <w:r w:rsidRPr="00D66CA3">
        <w:rPr>
          <w:rFonts w:hint="eastAsia"/>
          <w:sz w:val="18"/>
          <w:szCs w:val="18"/>
          <w:lang w:eastAsia="zh-CN"/>
        </w:rPr>
        <w:t>：</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国际电联各成员国主管部门和参加无线电通信第</w:t>
      </w:r>
      <w:r>
        <w:rPr>
          <w:rFonts w:hint="eastAsia"/>
          <w:sz w:val="18"/>
          <w:szCs w:val="18"/>
          <w:lang w:eastAsia="zh-CN"/>
        </w:rPr>
        <w:t>3</w:t>
      </w:r>
      <w:r w:rsidRPr="00D66CA3">
        <w:rPr>
          <w:rFonts w:hint="eastAsia"/>
          <w:sz w:val="18"/>
          <w:szCs w:val="18"/>
          <w:lang w:eastAsia="zh-CN"/>
        </w:rPr>
        <w:t>研究组工作的无线电通信部门成员</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参加无线电通信第</w:t>
      </w:r>
      <w:r>
        <w:rPr>
          <w:rFonts w:hint="eastAsia"/>
          <w:sz w:val="18"/>
          <w:szCs w:val="18"/>
          <w:lang w:eastAsia="zh-CN"/>
        </w:rPr>
        <w:t>3</w:t>
      </w:r>
      <w:r w:rsidRPr="00D66CA3">
        <w:rPr>
          <w:rFonts w:hint="eastAsia"/>
          <w:sz w:val="18"/>
          <w:szCs w:val="18"/>
          <w:lang w:eastAsia="zh-CN"/>
        </w:rPr>
        <w:t>研究组工作</w:t>
      </w:r>
      <w:r w:rsidRPr="00D66CA3">
        <w:rPr>
          <w:rFonts w:cstheme="majorBidi" w:hint="eastAsia"/>
          <w:sz w:val="18"/>
          <w:szCs w:val="18"/>
          <w:lang w:eastAsia="zh-CN"/>
        </w:rPr>
        <w:t>的</w:t>
      </w:r>
      <w:r w:rsidRPr="00D66CA3">
        <w:rPr>
          <w:rFonts w:cstheme="majorBidi"/>
          <w:sz w:val="18"/>
          <w:szCs w:val="18"/>
          <w:lang w:eastAsia="zh-CN"/>
        </w:rPr>
        <w:t>ITU-R</w:t>
      </w:r>
      <w:r w:rsidRPr="00D66CA3">
        <w:rPr>
          <w:rFonts w:hint="eastAsia"/>
          <w:sz w:val="18"/>
          <w:szCs w:val="18"/>
          <w:lang w:eastAsia="zh-CN"/>
        </w:rPr>
        <w:t>部门准成员</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t>ITU-R</w:t>
      </w:r>
      <w:r w:rsidRPr="00D66CA3">
        <w:rPr>
          <w:rFonts w:hint="eastAsia"/>
          <w:sz w:val="18"/>
          <w:szCs w:val="18"/>
          <w:lang w:eastAsia="zh-CN"/>
        </w:rPr>
        <w:t>学术成员</w:t>
      </w:r>
    </w:p>
    <w:p w:rsidR="00D66CA3" w:rsidRPr="00D66CA3" w:rsidRDefault="00D66CA3" w:rsidP="00B02D10">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00B02D10" w:rsidRPr="00ED6723">
        <w:rPr>
          <w:rFonts w:hint="eastAsia"/>
          <w:sz w:val="18"/>
          <w:szCs w:val="18"/>
          <w:lang w:eastAsia="zh-CN"/>
        </w:rPr>
        <w:t>无线电通信研究组的正副主席</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大会筹备会议的正副主席</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无线电规则委员会的委员</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国际电联秘书长、电信标准化局主任、电信发展局主任</w:t>
      </w:r>
    </w:p>
    <w:p w:rsidR="00D66CA3" w:rsidRPr="00D66CA3" w:rsidRDefault="00D66CA3" w:rsidP="00D66CA3">
      <w:pPr>
        <w:tabs>
          <w:tab w:val="clear" w:pos="794"/>
          <w:tab w:val="clear" w:pos="1191"/>
          <w:tab w:val="clear" w:pos="1588"/>
          <w:tab w:val="clear" w:pos="1985"/>
        </w:tabs>
        <w:overflowPunct/>
        <w:autoSpaceDE/>
        <w:autoSpaceDN/>
        <w:adjustRightInd/>
        <w:spacing w:before="0"/>
        <w:textAlignment w:val="auto"/>
        <w:rPr>
          <w:rFonts w:eastAsiaTheme="minorEastAsia"/>
          <w:b/>
          <w:sz w:val="28"/>
          <w:lang w:eastAsia="zh-CN"/>
        </w:rPr>
      </w:pPr>
      <w:r w:rsidRPr="00D66CA3">
        <w:rPr>
          <w:rFonts w:eastAsiaTheme="minorEastAsia"/>
          <w:lang w:eastAsia="zh-CN"/>
        </w:rPr>
        <w:br w:type="page"/>
      </w:r>
    </w:p>
    <w:p w:rsidR="00D66CA3" w:rsidRPr="00D66CA3" w:rsidRDefault="00D66CA3" w:rsidP="003B43E4">
      <w:pPr>
        <w:pStyle w:val="AnnexNotitle0"/>
        <w:rPr>
          <w:rFonts w:asciiTheme="minorHAnsi" w:eastAsiaTheme="minorEastAsia" w:hAnsiTheme="minorHAnsi"/>
          <w:lang w:eastAsia="zh-CN"/>
        </w:rPr>
      </w:pPr>
      <w:r w:rsidRPr="00D66CA3">
        <w:rPr>
          <w:rFonts w:asciiTheme="minorHAnsi" w:eastAsiaTheme="minorEastAsia" w:hAnsiTheme="minorHAnsi"/>
          <w:lang w:eastAsia="zh-CN"/>
        </w:rPr>
        <w:lastRenderedPageBreak/>
        <w:t>附件</w:t>
      </w:r>
      <w:r w:rsidRPr="00D66CA3">
        <w:rPr>
          <w:rFonts w:asciiTheme="minorHAnsi" w:eastAsiaTheme="minorEastAsia" w:hAnsiTheme="minorHAnsi"/>
          <w:lang w:eastAsia="zh-CN"/>
        </w:rPr>
        <w:br/>
      </w:r>
      <w:r w:rsidRPr="00D66CA3">
        <w:rPr>
          <w:rFonts w:asciiTheme="minorHAnsi" w:eastAsiaTheme="minorEastAsia" w:hAnsiTheme="minorHAnsi"/>
          <w:lang w:eastAsia="zh-CN"/>
        </w:rPr>
        <w:br/>
      </w:r>
      <w:r w:rsidRPr="00D66CA3">
        <w:rPr>
          <w:rFonts w:asciiTheme="minorHAnsi" w:eastAsiaTheme="minorEastAsia" w:hAnsiTheme="minorHAnsi"/>
          <w:lang w:eastAsia="zh-CN"/>
        </w:rPr>
        <w:t>无线电通信第</w:t>
      </w:r>
      <w:r>
        <w:rPr>
          <w:rFonts w:asciiTheme="minorHAnsi" w:eastAsiaTheme="minorEastAsia" w:hAnsiTheme="minorHAnsi" w:hint="eastAsia"/>
          <w:lang w:eastAsia="zh-CN"/>
        </w:rPr>
        <w:t>3</w:t>
      </w:r>
      <w:r w:rsidRPr="00D66CA3">
        <w:rPr>
          <w:rFonts w:asciiTheme="minorHAnsi" w:eastAsiaTheme="minorEastAsia" w:hAnsiTheme="minorHAnsi"/>
          <w:lang w:eastAsia="zh-CN"/>
        </w:rPr>
        <w:t>研究组通过的</w:t>
      </w:r>
      <w:r w:rsidRPr="00D66CA3">
        <w:rPr>
          <w:rFonts w:asciiTheme="minorHAnsi" w:eastAsiaTheme="minorEastAsia" w:hAnsiTheme="minorHAnsi"/>
          <w:lang w:eastAsia="zh-CN"/>
        </w:rPr>
        <w:br/>
      </w:r>
      <w:r w:rsidRPr="00D66CA3">
        <w:rPr>
          <w:rFonts w:asciiTheme="minorHAnsi" w:eastAsiaTheme="minorEastAsia" w:hAnsiTheme="minorHAnsi"/>
          <w:lang w:eastAsia="zh-CN"/>
        </w:rPr>
        <w:t>建议书草案的标题和摘要</w:t>
      </w:r>
    </w:p>
    <w:p w:rsidR="003151D0" w:rsidRPr="0035674D" w:rsidRDefault="003151D0" w:rsidP="00611339">
      <w:pPr>
        <w:tabs>
          <w:tab w:val="clear" w:pos="794"/>
          <w:tab w:val="clear" w:pos="1191"/>
          <w:tab w:val="clear" w:pos="1588"/>
          <w:tab w:val="clear" w:pos="1985"/>
          <w:tab w:val="right" w:pos="9639"/>
        </w:tabs>
        <w:spacing w:before="600"/>
        <w:rPr>
          <w:lang w:eastAsia="zh-CN"/>
        </w:rPr>
      </w:pPr>
      <w:r w:rsidRPr="0035674D">
        <w:rPr>
          <w:u w:val="single"/>
          <w:lang w:eastAsia="zh-CN"/>
        </w:rPr>
        <w:t>ITU-R</w:t>
      </w:r>
      <w:r w:rsidR="006A4D97">
        <w:rPr>
          <w:u w:val="single"/>
          <w:lang w:eastAsia="zh-CN"/>
        </w:rPr>
        <w:t xml:space="preserve"> P.533-13</w:t>
      </w:r>
      <w:r w:rsidR="00D66CA3">
        <w:rPr>
          <w:rFonts w:hint="eastAsia"/>
          <w:u w:val="single"/>
          <w:lang w:eastAsia="zh-CN"/>
        </w:rPr>
        <w:t>建议书修订草案</w:t>
      </w:r>
      <w:r w:rsidRPr="0035674D">
        <w:rPr>
          <w:lang w:eastAsia="zh-CN"/>
        </w:rPr>
        <w:tab/>
      </w:r>
      <w:r w:rsidR="006A4D97">
        <w:rPr>
          <w:lang w:eastAsia="zh-CN"/>
        </w:rPr>
        <w:t>3/93</w:t>
      </w:r>
      <w:r w:rsidR="00D66CA3">
        <w:rPr>
          <w:rFonts w:hint="eastAsia"/>
          <w:lang w:eastAsia="zh-CN"/>
        </w:rPr>
        <w:t>号文件</w:t>
      </w:r>
    </w:p>
    <w:p w:rsidR="006A4D97" w:rsidRPr="00FE0378" w:rsidRDefault="0094687D" w:rsidP="006A4D97">
      <w:pPr>
        <w:pStyle w:val="Rectitle"/>
        <w:rPr>
          <w:rFonts w:ascii="Times New Roman" w:hAnsi="Times New Roman" w:cs="Times New Roman"/>
          <w:szCs w:val="20"/>
          <w:highlight w:val="yellow"/>
          <w:lang w:val="en-GB" w:eastAsia="zh-CN"/>
        </w:rPr>
      </w:pPr>
      <w:r w:rsidRPr="0094687D">
        <w:rPr>
          <w:rFonts w:hint="eastAsia"/>
          <w:lang w:eastAsia="zh-CN"/>
        </w:rPr>
        <w:t>HF</w:t>
      </w:r>
      <w:r w:rsidRPr="0094687D">
        <w:rPr>
          <w:rFonts w:hint="eastAsia"/>
          <w:lang w:eastAsia="zh-CN"/>
        </w:rPr>
        <w:t>电路性能的预测方法</w:t>
      </w:r>
    </w:p>
    <w:p w:rsidR="006A4D97" w:rsidRPr="00FE0378" w:rsidRDefault="0094687D" w:rsidP="002A28A6">
      <w:pPr>
        <w:pStyle w:val="Normalaftertitle"/>
        <w:ind w:firstLineChars="200" w:firstLine="480"/>
        <w:rPr>
          <w:b/>
          <w:color w:val="800000"/>
          <w:sz w:val="22"/>
          <w:lang w:val="en-GB" w:eastAsia="zh-CN"/>
        </w:rPr>
      </w:pPr>
      <w:r w:rsidRPr="0094687D">
        <w:rPr>
          <w:rFonts w:hint="eastAsia"/>
          <w:lang w:val="en-GB" w:eastAsia="zh-CN"/>
        </w:rPr>
        <w:t>建议对建议书稍加修改，以完善损失超出</w:t>
      </w:r>
      <w:r w:rsidRPr="0094687D">
        <w:rPr>
          <w:rFonts w:hint="eastAsia"/>
          <w:lang w:val="en-GB" w:eastAsia="zh-CN"/>
        </w:rPr>
        <w:t>MUF</w:t>
      </w:r>
      <w:r w:rsidRPr="0094687D">
        <w:rPr>
          <w:rFonts w:hint="eastAsia"/>
          <w:lang w:val="en-GB" w:eastAsia="zh-CN"/>
        </w:rPr>
        <w:t>的建模并修正月内概率公式。</w:t>
      </w:r>
    </w:p>
    <w:p w:rsidR="006A4D97" w:rsidRPr="0035674D" w:rsidRDefault="006A4D97" w:rsidP="00DC691F">
      <w:pPr>
        <w:tabs>
          <w:tab w:val="clear" w:pos="794"/>
          <w:tab w:val="clear" w:pos="1191"/>
          <w:tab w:val="clear" w:pos="1588"/>
          <w:tab w:val="clear" w:pos="1985"/>
          <w:tab w:val="right" w:pos="9639"/>
        </w:tabs>
        <w:spacing w:before="480"/>
        <w:rPr>
          <w:lang w:eastAsia="zh-CN"/>
        </w:rPr>
      </w:pPr>
      <w:r w:rsidRPr="0035674D">
        <w:rPr>
          <w:u w:val="single"/>
          <w:lang w:eastAsia="zh-CN"/>
        </w:rPr>
        <w:t>ITU-R</w:t>
      </w:r>
      <w:r w:rsidR="00611339">
        <w:rPr>
          <w:u w:val="single"/>
          <w:lang w:eastAsia="zh-CN"/>
        </w:rPr>
        <w:t xml:space="preserve"> P.372-13</w:t>
      </w:r>
      <w:r w:rsidR="00D66CA3">
        <w:rPr>
          <w:rFonts w:hint="eastAsia"/>
          <w:u w:val="single"/>
          <w:lang w:eastAsia="zh-CN"/>
        </w:rPr>
        <w:t>建议书修订草案</w:t>
      </w:r>
      <w:r w:rsidR="00D66CA3">
        <w:rPr>
          <w:lang w:eastAsia="zh-CN"/>
        </w:rPr>
        <w:tab/>
      </w:r>
      <w:r>
        <w:rPr>
          <w:lang w:eastAsia="zh-CN"/>
        </w:rPr>
        <w:t>3/94(Rev.1</w:t>
      </w:r>
      <w:proofErr w:type="gramStart"/>
      <w:r>
        <w:rPr>
          <w:lang w:eastAsia="zh-CN"/>
        </w:rPr>
        <w:t>)</w:t>
      </w:r>
      <w:r w:rsidR="00D66CA3">
        <w:rPr>
          <w:rFonts w:hint="eastAsia"/>
          <w:lang w:eastAsia="zh-CN"/>
        </w:rPr>
        <w:t>号文件</w:t>
      </w:r>
      <w:proofErr w:type="gramEnd"/>
    </w:p>
    <w:p w:rsidR="006A4D97" w:rsidRPr="006076D9" w:rsidRDefault="0094687D" w:rsidP="006076D9">
      <w:pPr>
        <w:pStyle w:val="Rectitle"/>
        <w:rPr>
          <w:szCs w:val="24"/>
          <w:highlight w:val="yellow"/>
          <w:lang w:eastAsia="zh-CN"/>
        </w:rPr>
      </w:pPr>
      <w:r w:rsidRPr="0094687D">
        <w:rPr>
          <w:rFonts w:hint="eastAsia"/>
          <w:lang w:eastAsia="zh-CN"/>
        </w:rPr>
        <w:t>无线电噪声</w:t>
      </w:r>
    </w:p>
    <w:p w:rsidR="00611339" w:rsidRPr="00611339" w:rsidRDefault="0094687D" w:rsidP="00DC691F">
      <w:pPr>
        <w:pStyle w:val="Normalaftertitle"/>
        <w:ind w:firstLineChars="200" w:firstLine="480"/>
        <w:rPr>
          <w:lang w:val="en-GB" w:eastAsia="zh-CN"/>
        </w:rPr>
      </w:pPr>
      <w:r>
        <w:rPr>
          <w:rFonts w:hint="eastAsia"/>
          <w:lang w:val="en-GB" w:eastAsia="zh-CN"/>
        </w:rPr>
        <w:t>本修订草案未对建议的信息做出实质性的修改，但提议为了方便使用将相关案文划分成几个部分。在总体介绍部分增加了一些新措辞，旨在澄清相关建议的内容和范围</w:t>
      </w:r>
      <w:r w:rsidR="000926DB">
        <w:rPr>
          <w:rFonts w:hint="eastAsia"/>
          <w:lang w:val="en-GB" w:eastAsia="zh-CN"/>
        </w:rPr>
        <w:t>。</w:t>
      </w:r>
      <w:r>
        <w:rPr>
          <w:rFonts w:hint="eastAsia"/>
          <w:lang w:val="en-GB" w:eastAsia="zh-CN"/>
        </w:rPr>
        <w:t>涉及天然无线电噪声的部分大体按降频排列，</w:t>
      </w:r>
      <w:r w:rsidR="000926DB">
        <w:rPr>
          <w:rFonts w:hint="eastAsia"/>
          <w:lang w:val="en-GB" w:eastAsia="zh-CN"/>
        </w:rPr>
        <w:t>之后</w:t>
      </w:r>
      <w:r>
        <w:rPr>
          <w:rFonts w:hint="eastAsia"/>
          <w:lang w:val="en-GB" w:eastAsia="zh-CN"/>
        </w:rPr>
        <w:t>介绍人为噪声，最后</w:t>
      </w:r>
      <w:r w:rsidR="000926DB">
        <w:rPr>
          <w:rFonts w:hint="eastAsia"/>
          <w:lang w:val="en-GB" w:eastAsia="zh-CN"/>
        </w:rPr>
        <w:t>是在</w:t>
      </w:r>
      <w:r>
        <w:rPr>
          <w:rFonts w:hint="eastAsia"/>
          <w:lang w:val="en-GB" w:eastAsia="zh-CN"/>
        </w:rPr>
        <w:t>多种来源中均存在噪声的情况下对噪声加以合并的适当方法。</w:t>
      </w:r>
    </w:p>
    <w:p w:rsidR="006A4D97" w:rsidRPr="0035674D" w:rsidRDefault="006A4D97" w:rsidP="002B7B63">
      <w:pPr>
        <w:tabs>
          <w:tab w:val="clear" w:pos="794"/>
          <w:tab w:val="clear" w:pos="1191"/>
          <w:tab w:val="clear" w:pos="1588"/>
          <w:tab w:val="clear" w:pos="1985"/>
          <w:tab w:val="right" w:pos="9639"/>
        </w:tabs>
        <w:spacing w:before="480"/>
        <w:rPr>
          <w:lang w:eastAsia="zh-CN"/>
        </w:rPr>
      </w:pPr>
      <w:r w:rsidRPr="0035674D">
        <w:rPr>
          <w:u w:val="single"/>
          <w:lang w:eastAsia="zh-CN"/>
        </w:rPr>
        <w:t>ITU-R</w:t>
      </w:r>
      <w:r>
        <w:rPr>
          <w:u w:val="single"/>
          <w:lang w:eastAsia="zh-CN"/>
        </w:rPr>
        <w:t xml:space="preserve"> P.341-6</w:t>
      </w:r>
      <w:r w:rsidR="00D66CA3">
        <w:rPr>
          <w:rFonts w:hint="eastAsia"/>
          <w:u w:val="single"/>
          <w:lang w:eastAsia="zh-CN"/>
        </w:rPr>
        <w:t>建议书修订草案</w:t>
      </w:r>
      <w:r w:rsidR="00D66CA3">
        <w:rPr>
          <w:lang w:eastAsia="zh-CN"/>
        </w:rPr>
        <w:tab/>
      </w:r>
      <w:r>
        <w:rPr>
          <w:lang w:eastAsia="zh-CN"/>
        </w:rPr>
        <w:t>3/95(Rev.1</w:t>
      </w:r>
      <w:proofErr w:type="gramStart"/>
      <w:r>
        <w:rPr>
          <w:lang w:eastAsia="zh-CN"/>
        </w:rPr>
        <w:t>)</w:t>
      </w:r>
      <w:r w:rsidR="00D66CA3">
        <w:rPr>
          <w:rFonts w:hint="eastAsia"/>
          <w:lang w:eastAsia="zh-CN"/>
        </w:rPr>
        <w:t>号文件</w:t>
      </w:r>
      <w:proofErr w:type="gramEnd"/>
    </w:p>
    <w:p w:rsidR="006A4D97" w:rsidRPr="006076D9" w:rsidRDefault="0094687D" w:rsidP="006076D9">
      <w:pPr>
        <w:pStyle w:val="Reptitle"/>
        <w:rPr>
          <w:highlight w:val="yellow"/>
          <w:lang w:eastAsia="zh-CN"/>
        </w:rPr>
      </w:pPr>
      <w:r w:rsidRPr="0094687D">
        <w:rPr>
          <w:rFonts w:hint="eastAsia"/>
          <w:lang w:eastAsia="zh-CN"/>
        </w:rPr>
        <w:t>无线电链路传输损耗概念</w:t>
      </w:r>
    </w:p>
    <w:p w:rsidR="00611339" w:rsidRPr="00611339" w:rsidRDefault="0094687D" w:rsidP="002A28A6">
      <w:pPr>
        <w:pStyle w:val="Normalaftertitle"/>
        <w:ind w:firstLineChars="200" w:firstLine="480"/>
        <w:rPr>
          <w:lang w:val="en-GB" w:eastAsia="zh-CN"/>
        </w:rPr>
      </w:pPr>
      <w:r w:rsidRPr="0094687D">
        <w:rPr>
          <w:rFonts w:hint="eastAsia"/>
          <w:lang w:val="en-GB" w:eastAsia="zh-CN"/>
        </w:rPr>
        <w:t>总之，</w:t>
      </w:r>
      <w:r>
        <w:rPr>
          <w:rFonts w:hint="eastAsia"/>
          <w:lang w:val="en-GB" w:eastAsia="zh-CN"/>
        </w:rPr>
        <w:t>此建议书</w:t>
      </w:r>
      <w:r w:rsidRPr="0094687D">
        <w:rPr>
          <w:rFonts w:hint="eastAsia"/>
          <w:lang w:val="en-GB" w:eastAsia="zh-CN"/>
        </w:rPr>
        <w:t>的拟议修订如下：</w:t>
      </w:r>
    </w:p>
    <w:p w:rsidR="00611339" w:rsidRPr="00611339" w:rsidRDefault="00611339" w:rsidP="0061133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val="en-GB" w:eastAsia="zh-CN"/>
        </w:rPr>
      </w:pPr>
      <w:r w:rsidRPr="00611339">
        <w:rPr>
          <w:rFonts w:asciiTheme="minorHAnsi" w:hAnsiTheme="minorHAnsi" w:cstheme="minorHAnsi"/>
          <w:szCs w:val="20"/>
          <w:lang w:val="en-GB" w:eastAsia="zh-CN"/>
        </w:rPr>
        <w:t>•</w:t>
      </w:r>
      <w:r w:rsidRPr="00611339">
        <w:rPr>
          <w:rFonts w:asciiTheme="minorHAnsi" w:hAnsiTheme="minorHAnsi" w:cstheme="minorHAnsi"/>
          <w:szCs w:val="20"/>
          <w:lang w:val="en-GB" w:eastAsia="zh-CN"/>
        </w:rPr>
        <w:tab/>
      </w:r>
      <w:r w:rsidR="0094687D">
        <w:rPr>
          <w:rFonts w:asciiTheme="minorHAnsi" w:hAnsiTheme="minorHAnsi" w:cstheme="minorHAnsi" w:hint="eastAsia"/>
          <w:szCs w:val="20"/>
          <w:lang w:val="en-GB" w:eastAsia="zh-CN"/>
        </w:rPr>
        <w:t>重新安排术语和定义的顺序。</w:t>
      </w:r>
      <w:r w:rsidR="0094687D" w:rsidRPr="0094687D">
        <w:rPr>
          <w:rFonts w:asciiTheme="minorHAnsi" w:hAnsiTheme="minorHAnsi" w:cstheme="minorHAnsi" w:hint="eastAsia"/>
          <w:szCs w:val="20"/>
          <w:lang w:val="en-GB" w:eastAsia="zh-CN"/>
        </w:rPr>
        <w:t>这种重新排序不会做出实质性的改变；</w:t>
      </w:r>
    </w:p>
    <w:p w:rsidR="00611339" w:rsidRPr="00611339" w:rsidRDefault="00611339" w:rsidP="0061133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val="en-GB" w:eastAsia="zh-CN"/>
        </w:rPr>
      </w:pPr>
      <w:r w:rsidRPr="00611339">
        <w:rPr>
          <w:rFonts w:asciiTheme="minorHAnsi" w:hAnsiTheme="minorHAnsi" w:cstheme="minorHAnsi"/>
          <w:szCs w:val="20"/>
          <w:lang w:val="en-GB" w:eastAsia="zh-CN"/>
        </w:rPr>
        <w:t>•</w:t>
      </w:r>
      <w:r w:rsidRPr="00611339">
        <w:rPr>
          <w:rFonts w:asciiTheme="minorHAnsi" w:hAnsiTheme="minorHAnsi" w:cstheme="minorHAnsi"/>
          <w:szCs w:val="20"/>
          <w:lang w:val="en-GB" w:eastAsia="zh-CN"/>
        </w:rPr>
        <w:tab/>
      </w:r>
      <w:r w:rsidR="0094687D" w:rsidRPr="0094687D">
        <w:rPr>
          <w:rFonts w:asciiTheme="minorHAnsi" w:hAnsiTheme="minorHAnsi" w:cstheme="minorHAnsi" w:hint="eastAsia"/>
          <w:szCs w:val="20"/>
          <w:lang w:val="en-GB" w:eastAsia="zh-CN"/>
        </w:rPr>
        <w:t>使与术语相关联的符号保持一致；</w:t>
      </w:r>
    </w:p>
    <w:p w:rsidR="00611339" w:rsidRPr="00611339" w:rsidRDefault="00611339" w:rsidP="0061133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val="en-GB" w:eastAsia="zh-CN"/>
        </w:rPr>
      </w:pPr>
      <w:r w:rsidRPr="00611339">
        <w:rPr>
          <w:rFonts w:asciiTheme="minorHAnsi" w:hAnsiTheme="minorHAnsi" w:cstheme="minorHAnsi"/>
          <w:szCs w:val="20"/>
          <w:lang w:val="en-GB" w:eastAsia="zh-CN"/>
        </w:rPr>
        <w:t>•</w:t>
      </w:r>
      <w:r w:rsidRPr="00611339">
        <w:rPr>
          <w:rFonts w:asciiTheme="minorHAnsi" w:hAnsiTheme="minorHAnsi" w:cstheme="minorHAnsi"/>
          <w:szCs w:val="20"/>
          <w:lang w:val="en-GB" w:eastAsia="zh-CN"/>
        </w:rPr>
        <w:tab/>
      </w:r>
      <w:r w:rsidR="0094687D" w:rsidRPr="0094687D">
        <w:rPr>
          <w:rFonts w:asciiTheme="minorHAnsi" w:hAnsiTheme="minorHAnsi" w:cstheme="minorHAnsi" w:hint="eastAsia"/>
          <w:szCs w:val="20"/>
          <w:lang w:val="en-GB" w:eastAsia="zh-CN"/>
        </w:rPr>
        <w:t>重新定义术语“总损耗”和“基本传输损耗”；</w:t>
      </w:r>
    </w:p>
    <w:p w:rsidR="00611339" w:rsidRPr="00611339" w:rsidRDefault="00611339" w:rsidP="0061133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val="en-GB" w:eastAsia="zh-CN"/>
        </w:rPr>
      </w:pPr>
      <w:r w:rsidRPr="00611339">
        <w:rPr>
          <w:rFonts w:asciiTheme="minorHAnsi" w:hAnsiTheme="minorHAnsi" w:cstheme="minorHAnsi"/>
          <w:szCs w:val="20"/>
          <w:lang w:val="en-GB" w:eastAsia="zh-CN"/>
        </w:rPr>
        <w:t>•</w:t>
      </w:r>
      <w:r w:rsidRPr="00611339">
        <w:rPr>
          <w:rFonts w:asciiTheme="minorHAnsi" w:hAnsiTheme="minorHAnsi" w:cstheme="minorHAnsi"/>
          <w:szCs w:val="20"/>
          <w:lang w:val="en-GB" w:eastAsia="zh-CN"/>
        </w:rPr>
        <w:tab/>
      </w:r>
      <w:r w:rsidR="0094687D" w:rsidRPr="0094687D">
        <w:rPr>
          <w:rFonts w:asciiTheme="minorHAnsi" w:hAnsiTheme="minorHAnsi" w:cstheme="minorHAnsi" w:hint="eastAsia"/>
          <w:szCs w:val="20"/>
          <w:lang w:val="en-GB" w:eastAsia="zh-CN"/>
        </w:rPr>
        <w:t>在建议书中增加一个新的附件，提供一种确定功率通量密度和场强的方法；</w:t>
      </w:r>
    </w:p>
    <w:p w:rsidR="00611339" w:rsidRPr="00611339" w:rsidRDefault="00611339" w:rsidP="0061133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val="en-GB" w:eastAsia="zh-CN"/>
        </w:rPr>
      </w:pPr>
      <w:r w:rsidRPr="00611339">
        <w:rPr>
          <w:rFonts w:asciiTheme="minorHAnsi" w:hAnsiTheme="minorHAnsi" w:cstheme="minorHAnsi"/>
          <w:szCs w:val="20"/>
          <w:lang w:val="en-GB" w:eastAsia="zh-CN"/>
        </w:rPr>
        <w:t>•</w:t>
      </w:r>
      <w:r w:rsidRPr="00611339">
        <w:rPr>
          <w:rFonts w:asciiTheme="minorHAnsi" w:hAnsiTheme="minorHAnsi" w:cstheme="minorHAnsi"/>
          <w:szCs w:val="20"/>
          <w:lang w:val="en-GB" w:eastAsia="zh-CN"/>
        </w:rPr>
        <w:tab/>
      </w:r>
      <w:r w:rsidR="0094687D" w:rsidRPr="0094687D">
        <w:rPr>
          <w:rFonts w:asciiTheme="minorHAnsi" w:hAnsiTheme="minorHAnsi" w:cstheme="minorHAnsi" w:hint="eastAsia"/>
          <w:szCs w:val="20"/>
          <w:lang w:val="en-GB" w:eastAsia="zh-CN"/>
        </w:rPr>
        <w:t>根据需要对附件和方程式进行重新编号</w:t>
      </w:r>
      <w:r w:rsidR="0094687D">
        <w:rPr>
          <w:rFonts w:asciiTheme="minorHAnsi" w:hAnsiTheme="minorHAnsi" w:cstheme="minorHAnsi" w:hint="eastAsia"/>
          <w:szCs w:val="20"/>
          <w:lang w:val="en-GB" w:eastAsia="zh-CN"/>
        </w:rPr>
        <w:t>。</w:t>
      </w:r>
    </w:p>
    <w:p w:rsidR="00611339" w:rsidRDefault="00611339">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r>
        <w:rPr>
          <w:u w:val="single"/>
          <w:lang w:eastAsia="zh-CN"/>
        </w:rPr>
        <w:br w:type="page"/>
      </w:r>
    </w:p>
    <w:p w:rsidR="006A4D97" w:rsidRPr="0035674D" w:rsidRDefault="006A4D97" w:rsidP="002A28A6">
      <w:pPr>
        <w:tabs>
          <w:tab w:val="clear" w:pos="794"/>
          <w:tab w:val="clear" w:pos="1191"/>
          <w:tab w:val="clear" w:pos="1588"/>
          <w:tab w:val="clear" w:pos="1985"/>
          <w:tab w:val="right" w:pos="9639"/>
        </w:tabs>
        <w:spacing w:before="360"/>
        <w:rPr>
          <w:lang w:eastAsia="zh-CN"/>
        </w:rPr>
      </w:pPr>
      <w:r w:rsidRPr="0035674D">
        <w:rPr>
          <w:u w:val="single"/>
          <w:lang w:eastAsia="zh-CN"/>
        </w:rPr>
        <w:lastRenderedPageBreak/>
        <w:t>ITU-R</w:t>
      </w:r>
      <w:r w:rsidR="00611339">
        <w:rPr>
          <w:u w:val="single"/>
          <w:lang w:eastAsia="zh-CN"/>
        </w:rPr>
        <w:t xml:space="preserve"> P.525-3</w:t>
      </w:r>
      <w:r w:rsidR="00D66CA3">
        <w:rPr>
          <w:rFonts w:hint="eastAsia"/>
          <w:u w:val="single"/>
          <w:lang w:eastAsia="zh-CN"/>
        </w:rPr>
        <w:t>建议书修订草案</w:t>
      </w:r>
      <w:r w:rsidR="00D66CA3">
        <w:rPr>
          <w:lang w:eastAsia="zh-CN"/>
        </w:rPr>
        <w:tab/>
      </w:r>
      <w:r>
        <w:rPr>
          <w:lang w:eastAsia="zh-CN"/>
        </w:rPr>
        <w:t>3/97(Rev.1</w:t>
      </w:r>
      <w:proofErr w:type="gramStart"/>
      <w:r>
        <w:rPr>
          <w:lang w:eastAsia="zh-CN"/>
        </w:rPr>
        <w:t>)</w:t>
      </w:r>
      <w:r w:rsidR="00D66CA3">
        <w:rPr>
          <w:rFonts w:hint="eastAsia"/>
          <w:lang w:eastAsia="zh-CN"/>
        </w:rPr>
        <w:t>号文件</w:t>
      </w:r>
      <w:proofErr w:type="gramEnd"/>
    </w:p>
    <w:p w:rsidR="006A4D97" w:rsidRPr="0035674D" w:rsidRDefault="0094687D" w:rsidP="006A4D97">
      <w:pPr>
        <w:pStyle w:val="Rectitle"/>
        <w:rPr>
          <w:szCs w:val="24"/>
          <w:lang w:eastAsia="zh-CN"/>
        </w:rPr>
      </w:pPr>
      <w:r w:rsidRPr="0094687D">
        <w:rPr>
          <w:rFonts w:hint="eastAsia"/>
          <w:lang w:eastAsia="zh-CN"/>
        </w:rPr>
        <w:t>计算自由空间损耗</w:t>
      </w:r>
    </w:p>
    <w:p w:rsidR="00611339" w:rsidRPr="00611339" w:rsidRDefault="00AA39F8" w:rsidP="00526109">
      <w:pPr>
        <w:pStyle w:val="Normalaftertitle"/>
        <w:ind w:firstLineChars="200" w:firstLine="480"/>
        <w:rPr>
          <w:lang w:val="en-GB" w:eastAsia="zh-CN"/>
        </w:rPr>
      </w:pPr>
      <w:r w:rsidRPr="00AA39F8">
        <w:rPr>
          <w:rFonts w:hint="eastAsia"/>
          <w:lang w:val="en-GB" w:eastAsia="zh-CN"/>
        </w:rPr>
        <w:t>该修订提供了术语“自由空间”和“自由空间传播”的定义。修订亦将建议书中使用的符号与</w:t>
      </w:r>
      <w:r w:rsidR="00526109">
        <w:rPr>
          <w:rFonts w:hint="eastAsia"/>
          <w:lang w:val="en-GB" w:eastAsia="zh-CN"/>
        </w:rPr>
        <w:t>ITU</w:t>
      </w:r>
      <w:r w:rsidR="00526109">
        <w:rPr>
          <w:lang w:val="en-GB" w:eastAsia="zh-CN"/>
        </w:rPr>
        <w:t>-</w:t>
      </w:r>
      <w:r w:rsidRPr="00AA39F8">
        <w:rPr>
          <w:rFonts w:hint="eastAsia"/>
          <w:lang w:val="en-GB" w:eastAsia="zh-CN"/>
        </w:rPr>
        <w:t xml:space="preserve">R </w:t>
      </w:r>
      <w:r w:rsidR="00DC691F" w:rsidRPr="00526109">
        <w:rPr>
          <w:lang w:val="en-GB" w:eastAsia="zh-CN"/>
        </w:rPr>
        <w:t>P.341-6</w:t>
      </w:r>
      <w:r w:rsidRPr="00AA39F8">
        <w:rPr>
          <w:rFonts w:hint="eastAsia"/>
          <w:lang w:val="en-GB" w:eastAsia="zh-CN"/>
        </w:rPr>
        <w:t>建议书（</w:t>
      </w:r>
      <w:hyperlink r:id="rId17" w:history="1">
        <w:r w:rsidR="00DC691F" w:rsidRPr="00611339">
          <w:rPr>
            <w:color w:val="0000FF"/>
            <w:u w:val="single"/>
            <w:lang w:val="en-GB" w:eastAsia="zh-CN"/>
          </w:rPr>
          <w:t>3/95</w:t>
        </w:r>
      </w:hyperlink>
      <w:r w:rsidRPr="00AA39F8">
        <w:rPr>
          <w:rFonts w:hint="eastAsia"/>
          <w:lang w:val="en-GB" w:eastAsia="zh-CN"/>
        </w:rPr>
        <w:t>号文件）修订初稿中定义的符号保持一致。在第</w:t>
      </w:r>
      <w:r w:rsidRPr="00AA39F8">
        <w:rPr>
          <w:rFonts w:hint="eastAsia"/>
          <w:lang w:val="en-GB" w:eastAsia="zh-CN"/>
        </w:rPr>
        <w:t>4</w:t>
      </w:r>
      <w:r w:rsidRPr="00AA39F8">
        <w:rPr>
          <w:rFonts w:hint="eastAsia"/>
          <w:lang w:val="en-GB" w:eastAsia="zh-CN"/>
        </w:rPr>
        <w:t>节中，接收功率定义已被修订为适用于共轭匹配天线，而非各向同性天线。</w:t>
      </w:r>
    </w:p>
    <w:p w:rsidR="006A4D97" w:rsidRPr="0035674D" w:rsidRDefault="006A4D97" w:rsidP="002A28A6">
      <w:pPr>
        <w:tabs>
          <w:tab w:val="clear" w:pos="794"/>
          <w:tab w:val="clear" w:pos="1191"/>
          <w:tab w:val="clear" w:pos="1588"/>
          <w:tab w:val="clear" w:pos="1985"/>
          <w:tab w:val="right" w:pos="9639"/>
        </w:tabs>
        <w:spacing w:before="360"/>
        <w:rPr>
          <w:lang w:eastAsia="zh-CN"/>
        </w:rPr>
      </w:pPr>
      <w:r w:rsidRPr="0035674D">
        <w:rPr>
          <w:u w:val="single"/>
          <w:lang w:eastAsia="zh-CN"/>
        </w:rPr>
        <w:t>ITU-R</w:t>
      </w:r>
      <w:r w:rsidR="00611339">
        <w:rPr>
          <w:u w:val="single"/>
          <w:lang w:eastAsia="zh-CN"/>
        </w:rPr>
        <w:t xml:space="preserve"> P.840-7</w:t>
      </w:r>
      <w:r w:rsidR="00D66CA3">
        <w:rPr>
          <w:rFonts w:hint="eastAsia"/>
          <w:u w:val="single"/>
          <w:lang w:eastAsia="zh-CN"/>
        </w:rPr>
        <w:t>建议书修订草案</w:t>
      </w:r>
      <w:r w:rsidR="00D66CA3">
        <w:rPr>
          <w:lang w:eastAsia="zh-CN"/>
        </w:rPr>
        <w:tab/>
      </w:r>
      <w:r>
        <w:rPr>
          <w:lang w:eastAsia="zh-CN"/>
        </w:rPr>
        <w:t>3/98(Rev.1</w:t>
      </w:r>
      <w:proofErr w:type="gramStart"/>
      <w:r>
        <w:rPr>
          <w:lang w:eastAsia="zh-CN"/>
        </w:rPr>
        <w:t>)</w:t>
      </w:r>
      <w:r w:rsidR="00D66CA3">
        <w:rPr>
          <w:rFonts w:hint="eastAsia"/>
          <w:lang w:eastAsia="zh-CN"/>
        </w:rPr>
        <w:t>号文件</w:t>
      </w:r>
      <w:proofErr w:type="gramEnd"/>
    </w:p>
    <w:p w:rsidR="00611339" w:rsidRDefault="00AA39F8" w:rsidP="00611339">
      <w:pPr>
        <w:pStyle w:val="Rectitle"/>
        <w:rPr>
          <w:rFonts w:ascii="Times New Roman" w:hAnsi="Times New Roman" w:cs="Times New Roman"/>
          <w:szCs w:val="24"/>
          <w:lang w:val="en-GB" w:eastAsia="zh-CN"/>
        </w:rPr>
      </w:pPr>
      <w:r w:rsidRPr="00AA39F8">
        <w:rPr>
          <w:rFonts w:hint="eastAsia"/>
          <w:lang w:eastAsia="zh-CN"/>
        </w:rPr>
        <w:t>云雾引起的衰减</w:t>
      </w:r>
      <w:bookmarkStart w:id="0" w:name="_GoBack"/>
      <w:bookmarkEnd w:id="0"/>
    </w:p>
    <w:p w:rsidR="00611339" w:rsidRPr="00611339" w:rsidRDefault="00AA39F8" w:rsidP="00611339">
      <w:pPr>
        <w:pStyle w:val="Normalaftertitle"/>
        <w:rPr>
          <w:lang w:val="en-GB" w:eastAsia="zh-CN"/>
        </w:rPr>
      </w:pPr>
      <w:r>
        <w:rPr>
          <w:rFonts w:hint="eastAsia"/>
          <w:lang w:val="en-GB" w:eastAsia="zh-CN"/>
        </w:rPr>
        <w:t>本文旨在修订</w:t>
      </w:r>
      <w:r w:rsidR="00FE3CBB">
        <w:rPr>
          <w:lang w:val="en-GB" w:eastAsia="zh-CN"/>
        </w:rPr>
        <w:t>ITU-R P.840</w:t>
      </w:r>
      <w:r w:rsidR="00FE3CBB">
        <w:rPr>
          <w:lang w:val="en-GB" w:eastAsia="zh-CN"/>
        </w:rPr>
        <w:noBreakHyphen/>
      </w:r>
      <w:r w:rsidR="00611339" w:rsidRPr="00611339">
        <w:rPr>
          <w:lang w:val="en-GB" w:eastAsia="zh-CN"/>
        </w:rPr>
        <w:t>7</w:t>
      </w:r>
      <w:r>
        <w:rPr>
          <w:rFonts w:hint="eastAsia"/>
          <w:lang w:val="en-GB" w:eastAsia="zh-CN"/>
        </w:rPr>
        <w:t>建议书的附件</w:t>
      </w:r>
      <w:r>
        <w:rPr>
          <w:rFonts w:hint="eastAsia"/>
          <w:lang w:val="en-GB" w:eastAsia="zh-CN"/>
        </w:rPr>
        <w:t>3</w:t>
      </w:r>
      <w:r>
        <w:rPr>
          <w:rFonts w:hint="eastAsia"/>
          <w:lang w:val="en-GB" w:eastAsia="zh-CN"/>
        </w:rPr>
        <w:t>：</w:t>
      </w:r>
    </w:p>
    <w:p w:rsidR="00611339" w:rsidRPr="00611339" w:rsidRDefault="00611339" w:rsidP="0061133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val="en-GB" w:eastAsia="zh-CN"/>
        </w:rPr>
      </w:pPr>
      <w:r w:rsidRPr="00611339">
        <w:rPr>
          <w:rFonts w:asciiTheme="minorHAnsi" w:hAnsiTheme="minorHAnsi" w:cstheme="minorHAnsi"/>
          <w:szCs w:val="20"/>
          <w:lang w:val="en-GB" w:eastAsia="zh-CN"/>
        </w:rPr>
        <w:t>–</w:t>
      </w:r>
      <w:r w:rsidRPr="00611339">
        <w:rPr>
          <w:rFonts w:asciiTheme="minorHAnsi" w:hAnsiTheme="minorHAnsi" w:cstheme="minorHAnsi"/>
          <w:szCs w:val="20"/>
          <w:lang w:val="en-GB" w:eastAsia="zh-CN"/>
        </w:rPr>
        <w:tab/>
      </w:r>
      <w:r w:rsidR="00AA39F8">
        <w:rPr>
          <w:rFonts w:asciiTheme="minorHAnsi" w:hAnsiTheme="minorHAnsi" w:cstheme="minorHAnsi" w:hint="eastAsia"/>
          <w:szCs w:val="20"/>
          <w:lang w:val="en-GB" w:eastAsia="zh-CN"/>
        </w:rPr>
        <w:t>规定适用的概率范围；</w:t>
      </w:r>
    </w:p>
    <w:p w:rsidR="00611339" w:rsidRPr="00611339" w:rsidRDefault="00611339" w:rsidP="00175F3F">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val="en-GB" w:eastAsia="zh-CN"/>
        </w:rPr>
      </w:pPr>
      <w:r w:rsidRPr="00611339">
        <w:rPr>
          <w:rFonts w:asciiTheme="minorHAnsi" w:hAnsiTheme="minorHAnsi" w:cstheme="minorHAnsi"/>
          <w:szCs w:val="20"/>
          <w:lang w:val="en-GB" w:eastAsia="zh-CN"/>
        </w:rPr>
        <w:t>–</w:t>
      </w:r>
      <w:r w:rsidRPr="00611339">
        <w:rPr>
          <w:rFonts w:asciiTheme="minorHAnsi" w:hAnsiTheme="minorHAnsi" w:cstheme="minorHAnsi"/>
          <w:szCs w:val="20"/>
          <w:lang w:val="en-GB" w:eastAsia="zh-CN"/>
        </w:rPr>
        <w:tab/>
      </w:r>
      <w:r w:rsidR="00AA39F8">
        <w:rPr>
          <w:rFonts w:asciiTheme="minorHAnsi" w:hAnsiTheme="minorHAnsi" w:cstheme="minorHAnsi" w:hint="eastAsia"/>
          <w:szCs w:val="20"/>
          <w:lang w:val="en-GB" w:eastAsia="zh-CN"/>
        </w:rPr>
        <w:t>测试</w:t>
      </w:r>
      <w:r w:rsidRPr="00611339">
        <w:rPr>
          <w:rFonts w:asciiTheme="minorHAnsi" w:hAnsiTheme="minorHAnsi" w:cstheme="minorHAnsi"/>
          <w:i/>
          <w:szCs w:val="20"/>
          <w:lang w:val="en-GB" w:eastAsia="zh-CN"/>
        </w:rPr>
        <w:t>P</w:t>
      </w:r>
      <w:r w:rsidR="00AA39F8">
        <w:rPr>
          <w:rFonts w:asciiTheme="minorHAnsi" w:hAnsiTheme="minorHAnsi" w:cstheme="minorHAnsi" w:hint="eastAsia"/>
          <w:szCs w:val="20"/>
          <w:lang w:val="en-GB" w:eastAsia="zh-CN"/>
        </w:rPr>
        <w:t>是否大于</w:t>
      </w:r>
      <m:oMath>
        <m:sSub>
          <m:sSubPr>
            <m:ctrlPr>
              <w:rPr>
                <w:rFonts w:ascii="Cambria Math" w:hAnsi="Cambria Math" w:cstheme="minorHAnsi"/>
                <w:szCs w:val="20"/>
                <w:lang w:val="en-GB"/>
              </w:rPr>
            </m:ctrlPr>
          </m:sSubPr>
          <m:e>
            <m:r>
              <w:rPr>
                <w:rFonts w:ascii="Cambria Math" w:hAnsi="Cambria Math" w:cstheme="minorHAnsi"/>
                <w:szCs w:val="20"/>
                <w:lang w:val="en-GB" w:eastAsia="zh-CN"/>
              </w:rPr>
              <m:t>P</m:t>
            </m:r>
          </m:e>
          <m:sub>
            <m:r>
              <w:rPr>
                <w:rFonts w:ascii="Cambria Math" w:hAnsi="Cambria Math" w:cstheme="minorHAnsi"/>
                <w:szCs w:val="20"/>
                <w:lang w:val="en-GB" w:eastAsia="zh-CN"/>
              </w:rPr>
              <m:t>CLW</m:t>
            </m:r>
          </m:sub>
        </m:sSub>
      </m:oMath>
      <w:r w:rsidR="00AA39F8">
        <w:rPr>
          <w:rFonts w:asciiTheme="minorHAnsi" w:hAnsiTheme="minorHAnsi" w:cstheme="minorHAnsi" w:hint="eastAsia"/>
          <w:szCs w:val="20"/>
          <w:lang w:val="en-GB" w:eastAsia="zh-CN"/>
        </w:rPr>
        <w:t>，如是，则</w:t>
      </w:r>
      <m:oMath>
        <m:sSub>
          <m:sSubPr>
            <m:ctrlPr>
              <w:rPr>
                <w:rFonts w:ascii="Cambria Math" w:hAnsi="Cambria Math" w:cstheme="minorHAnsi"/>
                <w:szCs w:val="20"/>
                <w:lang w:val="en-GB"/>
              </w:rPr>
            </m:ctrlPr>
          </m:sSubPr>
          <m:e>
            <m:r>
              <w:rPr>
                <w:rFonts w:ascii="Cambria Math" w:hAnsi="Cambria Math" w:cstheme="minorHAnsi"/>
                <w:szCs w:val="20"/>
                <w:lang w:val="en-GB" w:eastAsia="zh-CN"/>
              </w:rPr>
              <m:t>L</m:t>
            </m:r>
          </m:e>
          <m:sub>
            <m:r>
              <w:rPr>
                <w:rFonts w:ascii="Cambria Math" w:hAnsi="Cambria Math" w:cstheme="minorHAnsi"/>
                <w:szCs w:val="20"/>
                <w:lang w:val="en-GB" w:eastAsia="zh-CN"/>
              </w:rPr>
              <m:t>red</m:t>
            </m:r>
          </m:sub>
        </m:sSub>
        <m:r>
          <m:rPr>
            <m:sty m:val="p"/>
          </m:rPr>
          <w:rPr>
            <w:rFonts w:ascii="Cambria Math" w:hAnsi="Cambria Math" w:cstheme="minorHAnsi"/>
            <w:szCs w:val="20"/>
            <w:lang w:val="en-GB" w:eastAsia="zh-CN"/>
          </w:rPr>
          <m:t>=0</m:t>
        </m:r>
        <m:r>
          <m:rPr>
            <m:sty m:val="p"/>
          </m:rPr>
          <w:rPr>
            <w:rFonts w:ascii="Cambria Math" w:hAnsi="Cambria Math" w:cstheme="minorHAnsi" w:hint="eastAsia"/>
            <w:szCs w:val="20"/>
            <w:lang w:val="en-GB" w:eastAsia="zh-CN"/>
          </w:rPr>
          <m:t>；</m:t>
        </m:r>
      </m:oMath>
    </w:p>
    <w:p w:rsidR="00611339" w:rsidRPr="00611339" w:rsidRDefault="00611339" w:rsidP="00611339">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val="en-GB" w:eastAsia="zh-CN"/>
        </w:rPr>
      </w:pPr>
      <w:r w:rsidRPr="00611339">
        <w:rPr>
          <w:rFonts w:asciiTheme="minorHAnsi" w:hAnsiTheme="minorHAnsi" w:cstheme="minorHAnsi"/>
          <w:szCs w:val="20"/>
          <w:lang w:val="en-GB" w:eastAsia="zh-CN"/>
        </w:rPr>
        <w:t>–</w:t>
      </w:r>
      <w:r w:rsidRPr="00611339">
        <w:rPr>
          <w:rFonts w:asciiTheme="minorHAnsi" w:hAnsiTheme="minorHAnsi" w:cstheme="minorHAnsi"/>
          <w:szCs w:val="20"/>
          <w:lang w:val="en-GB" w:eastAsia="zh-CN"/>
        </w:rPr>
        <w:tab/>
      </w:r>
      <w:r w:rsidR="00AA39F8">
        <w:rPr>
          <w:rFonts w:asciiTheme="minorHAnsi" w:hAnsiTheme="minorHAnsi" w:cstheme="minorHAnsi" w:hint="eastAsia"/>
          <w:szCs w:val="20"/>
          <w:lang w:val="en-GB" w:eastAsia="zh-CN"/>
        </w:rPr>
        <w:t>实现相关案文与建议书以前章节案文的统一；且</w:t>
      </w:r>
    </w:p>
    <w:p w:rsidR="00611339" w:rsidRPr="00611339" w:rsidRDefault="00611339" w:rsidP="00F02AF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heme="minorHAnsi" w:hAnsiTheme="minorHAnsi" w:cstheme="minorHAnsi"/>
          <w:szCs w:val="20"/>
          <w:lang w:val="en-GB" w:eastAsia="zh-CN"/>
        </w:rPr>
      </w:pPr>
      <w:r w:rsidRPr="00611339">
        <w:rPr>
          <w:rFonts w:asciiTheme="minorHAnsi" w:hAnsiTheme="minorHAnsi" w:cstheme="minorHAnsi"/>
          <w:szCs w:val="20"/>
          <w:lang w:val="en-GB" w:eastAsia="zh-CN"/>
        </w:rPr>
        <w:t>–</w:t>
      </w:r>
      <w:r w:rsidRPr="00611339">
        <w:rPr>
          <w:rFonts w:asciiTheme="minorHAnsi" w:hAnsiTheme="minorHAnsi" w:cstheme="minorHAnsi"/>
          <w:szCs w:val="20"/>
          <w:lang w:val="en-GB" w:eastAsia="zh-CN"/>
        </w:rPr>
        <w:tab/>
      </w:r>
      <w:r w:rsidR="00AA39F8">
        <w:rPr>
          <w:rFonts w:asciiTheme="minorHAnsi" w:hAnsiTheme="minorHAnsi" w:cstheme="minorHAnsi" w:hint="eastAsia"/>
          <w:szCs w:val="20"/>
          <w:lang w:val="en-GB" w:eastAsia="zh-CN"/>
        </w:rPr>
        <w:t>将插值法与</w:t>
      </w:r>
      <w:r w:rsidRPr="00611339">
        <w:rPr>
          <w:rFonts w:asciiTheme="minorHAnsi" w:hAnsiTheme="minorHAnsi" w:cstheme="minorHAnsi"/>
          <w:szCs w:val="20"/>
          <w:lang w:val="en-GB" w:eastAsia="zh-CN"/>
        </w:rPr>
        <w:t>ITU-R P.1853</w:t>
      </w:r>
      <w:r w:rsidR="00AA39F8">
        <w:rPr>
          <w:rFonts w:asciiTheme="minorHAnsi" w:hAnsiTheme="minorHAnsi" w:cstheme="minorHAnsi" w:hint="eastAsia"/>
          <w:szCs w:val="20"/>
          <w:lang w:val="en-GB" w:eastAsia="zh-CN"/>
        </w:rPr>
        <w:t>建议书中提及的</w:t>
      </w:r>
      <w:r w:rsidR="000926DB">
        <w:rPr>
          <w:rFonts w:asciiTheme="minorHAnsi" w:hAnsiTheme="minorHAnsi" w:cstheme="minorHAnsi" w:hint="eastAsia"/>
          <w:szCs w:val="20"/>
          <w:lang w:val="en-GB" w:eastAsia="zh-CN"/>
        </w:rPr>
        <w:t>“</w:t>
      </w:r>
      <w:r w:rsidR="00AA39F8">
        <w:rPr>
          <w:rFonts w:asciiTheme="minorHAnsi" w:hAnsiTheme="minorHAnsi" w:cstheme="minorHAnsi" w:hint="eastAsia"/>
          <w:szCs w:val="20"/>
          <w:lang w:val="en-GB" w:eastAsia="zh-CN"/>
        </w:rPr>
        <w:t>集成云内液态水时序集成法</w:t>
      </w:r>
      <w:r w:rsidR="000926DB">
        <w:rPr>
          <w:rFonts w:asciiTheme="minorHAnsi" w:hAnsiTheme="minorHAnsi" w:cstheme="minorHAnsi" w:hint="eastAsia"/>
          <w:szCs w:val="20"/>
          <w:lang w:val="en-GB" w:eastAsia="zh-CN"/>
        </w:rPr>
        <w:t>”</w:t>
      </w:r>
      <w:r w:rsidR="00AA39F8">
        <w:rPr>
          <w:rFonts w:asciiTheme="minorHAnsi" w:hAnsiTheme="minorHAnsi" w:cstheme="minorHAnsi" w:hint="eastAsia"/>
          <w:szCs w:val="20"/>
          <w:lang w:val="en-GB" w:eastAsia="zh-CN"/>
        </w:rPr>
        <w:t>相统一，该建议书须提供</w:t>
      </w:r>
      <m:oMath>
        <m:r>
          <w:rPr>
            <w:rFonts w:ascii="Cambria Math" w:hAnsi="Cambria Math" w:cstheme="minorHAnsi"/>
            <w:szCs w:val="20"/>
            <w:lang w:val="en-GB" w:eastAsia="zh-CN"/>
          </w:rPr>
          <m:t>m</m:t>
        </m:r>
      </m:oMath>
      <w:r w:rsidR="00AA39F8">
        <w:rPr>
          <w:rFonts w:asciiTheme="minorHAnsi" w:hAnsiTheme="minorHAnsi" w:cstheme="minorHAnsi" w:hint="eastAsia"/>
          <w:szCs w:val="20"/>
          <w:lang w:val="en-GB" w:eastAsia="zh-CN"/>
        </w:rPr>
        <w:t>、</w:t>
      </w:r>
      <m:oMath>
        <m:r>
          <m:rPr>
            <m:sty m:val="p"/>
          </m:rPr>
          <w:rPr>
            <w:rFonts w:ascii="Cambria Math" w:hAnsi="Cambria Math" w:cstheme="minorHAnsi"/>
            <w:szCs w:val="20"/>
            <w:lang w:val="en-GB" w:eastAsia="zh-CN"/>
          </w:rPr>
          <m:t>σ</m:t>
        </m:r>
      </m:oMath>
      <w:r w:rsidR="00AA39F8">
        <w:rPr>
          <w:rFonts w:asciiTheme="minorHAnsi" w:hAnsiTheme="minorHAnsi" w:cstheme="minorHAnsi" w:hint="eastAsia"/>
          <w:szCs w:val="20"/>
          <w:lang w:val="en-GB" w:eastAsia="zh-CN"/>
        </w:rPr>
        <w:t>和相关地点的</w:t>
      </w:r>
      <m:oMath>
        <m:sSub>
          <m:sSubPr>
            <m:ctrlPr>
              <w:rPr>
                <w:rFonts w:ascii="Cambria Math" w:hAnsi="Cambria Math" w:cstheme="minorHAnsi"/>
                <w:i/>
                <w:szCs w:val="20"/>
                <w:lang w:val="en-GB"/>
              </w:rPr>
            </m:ctrlPr>
          </m:sSubPr>
          <m:e>
            <m:r>
              <w:rPr>
                <w:rFonts w:ascii="Cambria Math" w:hAnsi="Cambria Math" w:cstheme="minorHAnsi"/>
                <w:szCs w:val="20"/>
                <w:lang w:val="en-GB" w:eastAsia="zh-CN"/>
              </w:rPr>
              <m:t>P</m:t>
            </m:r>
          </m:e>
          <m:sub>
            <m:r>
              <w:rPr>
                <w:rFonts w:ascii="Cambria Math" w:hAnsi="Cambria Math" w:cstheme="minorHAnsi"/>
                <w:szCs w:val="20"/>
                <w:lang w:val="en-GB" w:eastAsia="zh-CN"/>
              </w:rPr>
              <m:t>CLW</m:t>
            </m:r>
          </m:sub>
        </m:sSub>
      </m:oMath>
      <w:r w:rsidR="00AA39F8">
        <w:rPr>
          <w:rFonts w:asciiTheme="minorHAnsi" w:hAnsiTheme="minorHAnsi" w:cstheme="minorHAnsi" w:hint="eastAsia"/>
          <w:szCs w:val="20"/>
          <w:lang w:val="en-GB" w:eastAsia="zh-CN"/>
        </w:rPr>
        <w:t>（通过在四个周边格栅点</w:t>
      </w:r>
      <w:r w:rsidR="000926DB">
        <w:rPr>
          <w:rFonts w:asciiTheme="minorHAnsi" w:hAnsiTheme="minorHAnsi" w:cstheme="minorHAnsi" w:hint="eastAsia"/>
          <w:szCs w:val="20"/>
          <w:lang w:val="en-GB" w:eastAsia="zh-CN"/>
        </w:rPr>
        <w:t>的</w:t>
      </w:r>
      <m:oMath>
        <m:r>
          <w:rPr>
            <w:rFonts w:ascii="Cambria Math" w:hAnsi="Cambria Math" w:cstheme="minorHAnsi"/>
            <w:szCs w:val="20"/>
            <w:lang w:val="en-GB" w:eastAsia="zh-CN"/>
          </w:rPr>
          <m:t>m</m:t>
        </m:r>
      </m:oMath>
      <w:r w:rsidR="00AA39F8">
        <w:rPr>
          <w:rFonts w:asciiTheme="minorHAnsi" w:hAnsiTheme="minorHAnsi" w:cstheme="minorHAnsi" w:hint="eastAsia"/>
          <w:szCs w:val="20"/>
          <w:lang w:val="en-GB" w:eastAsia="zh-CN"/>
        </w:rPr>
        <w:t>、</w:t>
      </w:r>
      <m:oMath>
        <m:r>
          <m:rPr>
            <m:sty m:val="p"/>
          </m:rPr>
          <w:rPr>
            <w:rFonts w:ascii="Cambria Math" w:hAnsi="Cambria Math" w:cstheme="minorHAnsi"/>
            <w:szCs w:val="20"/>
            <w:lang w:val="en-GB" w:eastAsia="zh-CN"/>
          </w:rPr>
          <m:t>σ</m:t>
        </m:r>
      </m:oMath>
      <w:r w:rsidR="00AA39F8">
        <w:rPr>
          <w:rFonts w:asciiTheme="minorHAnsi" w:hAnsiTheme="minorHAnsi" w:cstheme="minorHAnsi" w:hint="eastAsia"/>
          <w:szCs w:val="20"/>
          <w:lang w:val="en-GB" w:eastAsia="zh-CN"/>
        </w:rPr>
        <w:t>和</w:t>
      </w:r>
      <m:oMath>
        <m:sSub>
          <m:sSubPr>
            <m:ctrlPr>
              <w:rPr>
                <w:rFonts w:ascii="Cambria Math" w:hAnsi="Cambria Math" w:cstheme="minorHAnsi"/>
                <w:i/>
                <w:szCs w:val="20"/>
                <w:lang w:val="en-GB"/>
              </w:rPr>
            </m:ctrlPr>
          </m:sSubPr>
          <m:e>
            <m:r>
              <w:rPr>
                <w:rFonts w:ascii="Cambria Math" w:hAnsi="Cambria Math" w:cstheme="minorHAnsi"/>
                <w:szCs w:val="20"/>
                <w:lang w:val="en-GB" w:eastAsia="zh-CN"/>
              </w:rPr>
              <m:t>P</m:t>
            </m:r>
          </m:e>
          <m:sub>
            <m:r>
              <w:rPr>
                <w:rFonts w:ascii="Cambria Math" w:hAnsi="Cambria Math" w:cstheme="minorHAnsi"/>
                <w:szCs w:val="20"/>
                <w:lang w:val="en-GB" w:eastAsia="zh-CN"/>
              </w:rPr>
              <m:t>CLW</m:t>
            </m:r>
          </m:sub>
        </m:sSub>
      </m:oMath>
      <w:r w:rsidR="00AA39F8">
        <w:rPr>
          <w:rFonts w:asciiTheme="minorHAnsi" w:hAnsiTheme="minorHAnsi" w:cstheme="minorHAnsi" w:hint="eastAsia"/>
          <w:szCs w:val="20"/>
          <w:lang w:val="en-GB" w:eastAsia="zh-CN"/>
        </w:rPr>
        <w:t>进行空间插值计算，以及判定相关</w:t>
      </w:r>
      <m:oMath>
        <m:sSub>
          <m:sSubPr>
            <m:ctrlPr>
              <w:rPr>
                <w:rFonts w:ascii="Cambria Math" w:hAnsi="Cambria Math" w:cstheme="minorHAnsi"/>
                <w:i/>
                <w:szCs w:val="20"/>
                <w:lang w:val="en-GB"/>
              </w:rPr>
            </m:ctrlPr>
          </m:sSubPr>
          <m:e>
            <m:r>
              <w:rPr>
                <w:rFonts w:ascii="Cambria Math" w:hAnsi="Cambria Math" w:cstheme="minorHAnsi"/>
                <w:szCs w:val="20"/>
                <w:lang w:val="en-GB" w:eastAsia="zh-CN"/>
              </w:rPr>
              <m:t>L</m:t>
            </m:r>
          </m:e>
          <m:sub>
            <m:r>
              <w:rPr>
                <w:rFonts w:ascii="Cambria Math" w:hAnsi="Cambria Math" w:cstheme="minorHAnsi"/>
                <w:szCs w:val="20"/>
                <w:lang w:val="en-GB" w:eastAsia="zh-CN"/>
              </w:rPr>
              <m:t>red</m:t>
            </m:r>
          </m:sub>
        </m:sSub>
      </m:oMath>
      <w:r w:rsidR="008B7633">
        <w:rPr>
          <w:rFonts w:asciiTheme="minorHAnsi" w:hAnsiTheme="minorHAnsi" w:cstheme="minorHAnsi" w:hint="eastAsia"/>
          <w:szCs w:val="20"/>
          <w:lang w:val="en-GB" w:eastAsia="zh-CN"/>
        </w:rPr>
        <w:t>与空间插值</w:t>
      </w:r>
      <m:oMath>
        <m:r>
          <w:rPr>
            <w:rFonts w:ascii="Cambria Math" w:hAnsi="Cambria Math" w:cstheme="minorHAnsi"/>
            <w:szCs w:val="20"/>
            <w:lang w:val="en-GB" w:eastAsia="zh-CN"/>
          </w:rPr>
          <m:t>m</m:t>
        </m:r>
      </m:oMath>
      <w:r w:rsidR="008B7633">
        <w:rPr>
          <w:rFonts w:asciiTheme="minorHAnsi" w:hAnsiTheme="minorHAnsi" w:cstheme="minorHAnsi" w:hint="eastAsia"/>
          <w:szCs w:val="20"/>
          <w:lang w:val="en-GB" w:eastAsia="zh-CN"/>
        </w:rPr>
        <w:t>、</w:t>
      </w:r>
      <m:oMath>
        <m:r>
          <m:rPr>
            <m:sty m:val="p"/>
          </m:rPr>
          <w:rPr>
            <w:rFonts w:ascii="Cambria Math" w:hAnsi="Cambria Math" w:cstheme="minorHAnsi"/>
            <w:szCs w:val="20"/>
            <w:lang w:val="en-GB" w:eastAsia="zh-CN"/>
          </w:rPr>
          <m:t>σ</m:t>
        </m:r>
        <m:r>
          <m:rPr>
            <m:sty m:val="p"/>
          </m:rPr>
          <w:rPr>
            <w:rFonts w:ascii="Cambria Math" w:hAnsi="Cambria Math" w:cstheme="minorHAnsi" w:hint="eastAsia"/>
            <w:szCs w:val="20"/>
            <w:lang w:val="en-GB" w:eastAsia="zh-CN"/>
          </w:rPr>
          <m:t>和</m:t>
        </m:r>
        <m:sSub>
          <m:sSubPr>
            <m:ctrlPr>
              <w:rPr>
                <w:rFonts w:ascii="Cambria Math" w:hAnsi="Cambria Math" w:cstheme="minorHAnsi"/>
                <w:i/>
                <w:szCs w:val="20"/>
                <w:lang w:val="en-GB"/>
              </w:rPr>
            </m:ctrlPr>
          </m:sSubPr>
          <m:e>
            <m:r>
              <w:rPr>
                <w:rFonts w:ascii="Cambria Math" w:hAnsi="Cambria Math" w:cstheme="minorHAnsi"/>
                <w:szCs w:val="20"/>
                <w:lang w:val="en-GB" w:eastAsia="zh-CN"/>
              </w:rPr>
              <m:t>P</m:t>
            </m:r>
          </m:e>
          <m:sub>
            <m:r>
              <w:rPr>
                <w:rFonts w:ascii="Cambria Math" w:hAnsi="Cambria Math" w:cstheme="minorHAnsi"/>
                <w:szCs w:val="20"/>
                <w:lang w:val="en-GB" w:eastAsia="zh-CN"/>
              </w:rPr>
              <m:t>CLW</m:t>
            </m:r>
          </m:sub>
        </m:sSub>
        <m:r>
          <m:rPr>
            <m:sty m:val="p"/>
          </m:rPr>
          <w:rPr>
            <w:rFonts w:ascii="Cambria Math" w:hAnsi="Cambria Math" w:cstheme="minorHAnsi" w:hint="eastAsia"/>
            <w:szCs w:val="20"/>
            <w:lang w:val="en-GB" w:eastAsia="zh-CN"/>
          </w:rPr>
          <m:t>之间的关系</m:t>
        </m:r>
      </m:oMath>
      <w:r w:rsidR="008B7633">
        <w:rPr>
          <w:rFonts w:asciiTheme="minorHAnsi" w:hAnsiTheme="minorHAnsi" w:cstheme="minorHAnsi" w:hint="eastAsia"/>
          <w:szCs w:val="20"/>
          <w:lang w:val="en-GB" w:eastAsia="zh-CN"/>
        </w:rPr>
        <w:t>，而非通过在四个周边格栅点对</w:t>
      </w:r>
      <m:oMath>
        <m:sSub>
          <m:sSubPr>
            <m:ctrlPr>
              <w:rPr>
                <w:rFonts w:ascii="Cambria Math" w:hAnsi="Cambria Math" w:cstheme="minorHAnsi"/>
                <w:i/>
                <w:szCs w:val="20"/>
                <w:lang w:val="en-GB"/>
              </w:rPr>
            </m:ctrlPr>
          </m:sSubPr>
          <m:e>
            <m:r>
              <w:rPr>
                <w:rFonts w:ascii="Cambria Math" w:hAnsi="Cambria Math" w:cstheme="minorHAnsi"/>
                <w:szCs w:val="20"/>
                <w:lang w:val="en-GB" w:eastAsia="zh-CN"/>
              </w:rPr>
              <m:t>L</m:t>
            </m:r>
          </m:e>
          <m:sub>
            <m:r>
              <w:rPr>
                <w:rFonts w:ascii="Cambria Math" w:hAnsi="Cambria Math" w:cstheme="minorHAnsi"/>
                <w:szCs w:val="20"/>
                <w:lang w:val="en-GB" w:eastAsia="zh-CN"/>
              </w:rPr>
              <m:t>red</m:t>
            </m:r>
          </m:sub>
        </m:sSub>
      </m:oMath>
      <w:r w:rsidR="008B7633">
        <w:rPr>
          <w:rFonts w:asciiTheme="minorHAnsi" w:hAnsiTheme="minorHAnsi" w:cstheme="minorHAnsi" w:hint="eastAsia"/>
          <w:szCs w:val="20"/>
          <w:lang w:val="en-GB" w:eastAsia="zh-CN"/>
        </w:rPr>
        <w:t>的数值进行空间插值计算来判定</w:t>
      </w:r>
      <m:oMath>
        <m:sSub>
          <m:sSubPr>
            <m:ctrlPr>
              <w:rPr>
                <w:rFonts w:ascii="Cambria Math" w:hAnsi="Cambria Math" w:cstheme="minorHAnsi"/>
                <w:i/>
                <w:szCs w:val="20"/>
                <w:lang w:val="en-GB"/>
              </w:rPr>
            </m:ctrlPr>
          </m:sSubPr>
          <m:e>
            <m:r>
              <w:rPr>
                <w:rFonts w:ascii="Cambria Math" w:hAnsi="Cambria Math" w:cstheme="minorHAnsi"/>
                <w:szCs w:val="20"/>
                <w:lang w:val="en-GB" w:eastAsia="zh-CN"/>
              </w:rPr>
              <m:t>L</m:t>
            </m:r>
          </m:e>
          <m:sub>
            <m:r>
              <w:rPr>
                <w:rFonts w:ascii="Cambria Math" w:hAnsi="Cambria Math" w:cstheme="minorHAnsi"/>
                <w:szCs w:val="20"/>
                <w:lang w:val="en-GB" w:eastAsia="zh-CN"/>
              </w:rPr>
              <m:t>red</m:t>
            </m:r>
          </m:sub>
        </m:sSub>
      </m:oMath>
      <w:r w:rsidR="008B7633">
        <w:rPr>
          <w:rFonts w:asciiTheme="minorHAnsi" w:hAnsiTheme="minorHAnsi" w:cstheme="minorHAnsi" w:hint="eastAsia"/>
          <w:szCs w:val="20"/>
          <w:lang w:val="en-GB" w:eastAsia="zh-CN"/>
        </w:rPr>
        <w:t>）。</w:t>
      </w:r>
    </w:p>
    <w:p w:rsidR="00611339" w:rsidRPr="00611339" w:rsidRDefault="00611339" w:rsidP="00DC691F">
      <w:pPr>
        <w:pStyle w:val="Normalaftertitle"/>
        <w:spacing w:before="120"/>
        <w:ind w:firstLineChars="200" w:firstLine="480"/>
        <w:rPr>
          <w:rFonts w:asciiTheme="minorHAnsi" w:hAnsiTheme="minorHAnsi" w:cstheme="minorHAnsi"/>
          <w:lang w:val="en-GB" w:eastAsia="zh-CN"/>
        </w:rPr>
      </w:pPr>
      <w:r w:rsidRPr="00611339">
        <w:rPr>
          <w:rFonts w:asciiTheme="minorHAnsi" w:hAnsiTheme="minorHAnsi" w:cstheme="minorHAnsi"/>
          <w:szCs w:val="24"/>
          <w:lang w:val="en-GB" w:eastAsia="zh-CN"/>
        </w:rPr>
        <w:t>ITU-R P.840-7</w:t>
      </w:r>
      <w:r w:rsidR="008B7633">
        <w:rPr>
          <w:rFonts w:asciiTheme="minorHAnsi" w:hAnsiTheme="minorHAnsi" w:cstheme="minorHAnsi" w:hint="eastAsia"/>
          <w:szCs w:val="24"/>
          <w:lang w:val="en-GB" w:eastAsia="zh-CN"/>
        </w:rPr>
        <w:t>建议书的第</w:t>
      </w:r>
      <w:r w:rsidR="008B7633">
        <w:rPr>
          <w:rFonts w:asciiTheme="minorHAnsi" w:hAnsiTheme="minorHAnsi" w:cstheme="minorHAnsi" w:hint="eastAsia"/>
          <w:szCs w:val="24"/>
          <w:lang w:val="en-GB" w:eastAsia="zh-CN"/>
        </w:rPr>
        <w:t>4</w:t>
      </w:r>
      <w:r w:rsidR="008B7633">
        <w:rPr>
          <w:rFonts w:asciiTheme="minorHAnsi" w:hAnsiTheme="minorHAnsi" w:cstheme="minorHAnsi" w:hint="eastAsia"/>
          <w:szCs w:val="24"/>
          <w:lang w:val="en-GB" w:eastAsia="zh-CN"/>
        </w:rPr>
        <w:t>节提供了</w:t>
      </w:r>
      <w:r w:rsidR="008B7633" w:rsidRPr="00611339">
        <w:rPr>
          <w:rFonts w:asciiTheme="minorHAnsi" w:hAnsiTheme="minorHAnsi" w:cstheme="minorHAnsi"/>
          <w:lang w:val="en-GB" w:eastAsia="zh-CN"/>
        </w:rPr>
        <w:t>ITU-R P.1853</w:t>
      </w:r>
      <w:r w:rsidR="000926DB">
        <w:rPr>
          <w:rFonts w:asciiTheme="minorHAnsi" w:hAnsiTheme="minorHAnsi" w:cstheme="minorHAnsi" w:hint="eastAsia"/>
          <w:lang w:val="en-GB" w:eastAsia="zh-CN"/>
        </w:rPr>
        <w:t>建议书所</w:t>
      </w:r>
      <w:r w:rsidR="008B7633">
        <w:rPr>
          <w:rFonts w:asciiTheme="minorHAnsi" w:hAnsiTheme="minorHAnsi" w:cstheme="minorHAnsi" w:hint="eastAsia"/>
          <w:lang w:val="en-GB" w:eastAsia="zh-CN"/>
        </w:rPr>
        <w:t>阐述云衰减时序生成器所需的，有用地点的</w:t>
      </w:r>
      <w:r w:rsidR="008B7633">
        <w:rPr>
          <w:rFonts w:asciiTheme="minorHAnsi" w:hAnsiTheme="minorHAnsi" w:cstheme="minorHAnsi"/>
          <w:i/>
          <w:lang w:val="en-GB" w:eastAsia="zh-CN"/>
        </w:rPr>
        <w:t>m</w:t>
      </w:r>
      <w:r w:rsidR="008B7633">
        <w:rPr>
          <w:rFonts w:asciiTheme="minorHAnsi" w:hAnsiTheme="minorHAnsi" w:cstheme="minorHAnsi" w:hint="eastAsia"/>
          <w:i/>
          <w:lang w:val="en-GB" w:eastAsia="zh-CN"/>
        </w:rPr>
        <w:t>、</w:t>
      </w:r>
      <w:r w:rsidRPr="00611339">
        <w:rPr>
          <w:rFonts w:asciiTheme="minorHAnsi" w:hAnsiTheme="minorHAnsi" w:cstheme="minorHAnsi"/>
          <w:i/>
          <w:lang w:val="en-GB" w:eastAsia="zh-CN"/>
        </w:rPr>
        <w:t> </w:t>
      </w:r>
      <w:r w:rsidRPr="00611339">
        <w:rPr>
          <w:rFonts w:asciiTheme="minorHAnsi" w:hAnsiTheme="minorHAnsi" w:cstheme="minorHAnsi"/>
          <w:lang w:val="en-GB"/>
        </w:rPr>
        <w:sym w:font="Symbol" w:char="F073"/>
      </w:r>
      <w:r w:rsidR="008B7633" w:rsidRPr="008B7633">
        <w:rPr>
          <w:rFonts w:asciiTheme="minorHAnsi" w:hAnsiTheme="minorHAnsi" w:cstheme="minorHAnsi" w:hint="eastAsia"/>
          <w:lang w:val="en-GB" w:eastAsia="zh-CN"/>
        </w:rPr>
        <w:t>和</w:t>
      </w:r>
      <w:r w:rsidRPr="00611339">
        <w:rPr>
          <w:rFonts w:asciiTheme="minorHAnsi" w:hAnsiTheme="minorHAnsi" w:cstheme="minorHAnsi"/>
          <w:i/>
          <w:lang w:val="en-GB" w:eastAsia="zh-CN"/>
        </w:rPr>
        <w:t>P</w:t>
      </w:r>
      <w:r w:rsidRPr="00611339">
        <w:rPr>
          <w:rFonts w:asciiTheme="minorHAnsi" w:hAnsiTheme="minorHAnsi" w:cstheme="minorHAnsi"/>
          <w:i/>
          <w:vertAlign w:val="subscript"/>
          <w:lang w:val="en-GB" w:eastAsia="zh-CN"/>
        </w:rPr>
        <w:t>CLW</w:t>
      </w:r>
      <w:r w:rsidR="008B7633">
        <w:rPr>
          <w:rFonts w:asciiTheme="minorHAnsi" w:hAnsiTheme="minorHAnsi" w:cstheme="minorHAnsi" w:hint="eastAsia"/>
          <w:lang w:val="en-GB" w:eastAsia="zh-CN"/>
        </w:rPr>
        <w:t>的值；</w:t>
      </w:r>
      <m:oMath>
        <m:sSub>
          <m:sSubPr>
            <m:ctrlPr>
              <w:rPr>
                <w:rFonts w:ascii="Cambria Math" w:hAnsi="Cambria Math" w:cstheme="minorHAnsi"/>
                <w:i/>
                <w:lang w:val="en-GB"/>
              </w:rPr>
            </m:ctrlPr>
          </m:sSubPr>
          <m:e>
            <m:r>
              <w:rPr>
                <w:rFonts w:ascii="Cambria Math" w:hAnsi="Cambria Math" w:cstheme="minorHAnsi"/>
                <w:lang w:val="en-GB" w:eastAsia="zh-CN"/>
              </w:rPr>
              <m:t>L</m:t>
            </m:r>
          </m:e>
          <m:sub>
            <m:r>
              <w:rPr>
                <w:rFonts w:ascii="Cambria Math" w:hAnsi="Cambria Math" w:cstheme="minorHAnsi"/>
                <w:lang w:val="en-GB" w:eastAsia="zh-CN"/>
              </w:rPr>
              <m:t>red</m:t>
            </m:r>
          </m:sub>
        </m:sSub>
      </m:oMath>
      <w:r w:rsidR="008B7633">
        <w:rPr>
          <w:rFonts w:asciiTheme="minorHAnsi" w:hAnsiTheme="minorHAnsi" w:cstheme="minorHAnsi" w:hint="eastAsia"/>
          <w:lang w:val="en-GB" w:eastAsia="zh-CN"/>
        </w:rPr>
        <w:t>的相关值仅供参考。在其他情况下，应使用第</w:t>
      </w:r>
      <w:r w:rsidR="008B7633">
        <w:rPr>
          <w:rFonts w:asciiTheme="minorHAnsi" w:hAnsiTheme="minorHAnsi" w:cstheme="minorHAnsi" w:hint="eastAsia"/>
          <w:lang w:val="en-GB" w:eastAsia="zh-CN"/>
        </w:rPr>
        <w:t>3</w:t>
      </w:r>
      <w:r w:rsidR="008B7633">
        <w:rPr>
          <w:rFonts w:asciiTheme="minorHAnsi" w:hAnsiTheme="minorHAnsi" w:cstheme="minorHAnsi" w:hint="eastAsia"/>
          <w:lang w:val="en-GB" w:eastAsia="zh-CN"/>
        </w:rPr>
        <w:t>节提供的数值而非第</w:t>
      </w:r>
      <w:r w:rsidR="008B7633">
        <w:rPr>
          <w:rFonts w:asciiTheme="minorHAnsi" w:hAnsiTheme="minorHAnsi" w:cstheme="minorHAnsi" w:hint="eastAsia"/>
          <w:lang w:val="en-GB" w:eastAsia="zh-CN"/>
        </w:rPr>
        <w:t>4</w:t>
      </w:r>
      <w:r w:rsidR="008B7633">
        <w:rPr>
          <w:rFonts w:asciiTheme="minorHAnsi" w:hAnsiTheme="minorHAnsi" w:cstheme="minorHAnsi" w:hint="eastAsia"/>
          <w:lang w:val="en-GB" w:eastAsia="zh-CN"/>
        </w:rPr>
        <w:t>节计算得出的估计值计算</w:t>
      </w:r>
      <m:oMath>
        <m:sSub>
          <m:sSubPr>
            <m:ctrlPr>
              <w:rPr>
                <w:rFonts w:ascii="Cambria Math" w:hAnsi="Cambria Math" w:cstheme="minorHAnsi"/>
                <w:i/>
                <w:lang w:val="en-GB"/>
              </w:rPr>
            </m:ctrlPr>
          </m:sSubPr>
          <m:e>
            <m:r>
              <w:rPr>
                <w:rFonts w:ascii="Cambria Math" w:hAnsi="Cambria Math" w:cstheme="minorHAnsi"/>
                <w:lang w:val="en-GB" w:eastAsia="zh-CN"/>
              </w:rPr>
              <m:t>L</m:t>
            </m:r>
          </m:e>
          <m:sub>
            <m:r>
              <w:rPr>
                <w:rFonts w:ascii="Cambria Math" w:hAnsi="Cambria Math" w:cstheme="minorHAnsi"/>
                <w:lang w:val="en-GB" w:eastAsia="zh-CN"/>
              </w:rPr>
              <m:t>red</m:t>
            </m:r>
          </m:sub>
        </m:sSub>
      </m:oMath>
      <w:r w:rsidR="008B7633">
        <w:rPr>
          <w:rFonts w:asciiTheme="minorHAnsi" w:hAnsiTheme="minorHAnsi" w:cstheme="minorHAnsi" w:hint="eastAsia"/>
          <w:lang w:val="en-GB" w:eastAsia="zh-CN"/>
        </w:rPr>
        <w:t>。</w:t>
      </w:r>
    </w:p>
    <w:p w:rsidR="00611339" w:rsidRPr="00611339" w:rsidRDefault="008B7633" w:rsidP="00DC691F">
      <w:pPr>
        <w:tabs>
          <w:tab w:val="clear" w:pos="794"/>
          <w:tab w:val="clear" w:pos="1191"/>
          <w:tab w:val="clear" w:pos="1588"/>
          <w:tab w:val="clear" w:pos="1985"/>
          <w:tab w:val="left" w:pos="1134"/>
          <w:tab w:val="left" w:pos="1871"/>
          <w:tab w:val="left" w:pos="2268"/>
        </w:tabs>
        <w:spacing w:before="120" w:line="240" w:lineRule="auto"/>
        <w:ind w:firstLineChars="200" w:firstLine="480"/>
        <w:rPr>
          <w:rFonts w:asciiTheme="minorHAnsi" w:hAnsiTheme="minorHAnsi" w:cstheme="minorHAnsi"/>
          <w:szCs w:val="24"/>
          <w:lang w:val="en-GB" w:eastAsia="zh-CN"/>
        </w:rPr>
      </w:pPr>
      <w:r>
        <w:rPr>
          <w:rFonts w:asciiTheme="minorHAnsi" w:hAnsiTheme="minorHAnsi" w:cstheme="minorHAnsi" w:hint="eastAsia"/>
          <w:szCs w:val="24"/>
          <w:lang w:val="en-GB" w:eastAsia="zh-CN"/>
        </w:rPr>
        <w:t>本附件将全面取代第</w:t>
      </w:r>
      <w:r>
        <w:rPr>
          <w:rFonts w:asciiTheme="minorHAnsi" w:hAnsiTheme="minorHAnsi" w:cstheme="minorHAnsi" w:hint="eastAsia"/>
          <w:szCs w:val="24"/>
          <w:lang w:val="en-GB" w:eastAsia="zh-CN"/>
        </w:rPr>
        <w:t>4</w:t>
      </w:r>
      <w:r>
        <w:rPr>
          <w:rFonts w:asciiTheme="minorHAnsi" w:hAnsiTheme="minorHAnsi" w:cstheme="minorHAnsi" w:hint="eastAsia"/>
          <w:szCs w:val="24"/>
          <w:lang w:val="en-GB" w:eastAsia="zh-CN"/>
        </w:rPr>
        <w:t>节的内容。</w:t>
      </w:r>
    </w:p>
    <w:p w:rsidR="0003043E" w:rsidRDefault="0003043E" w:rsidP="0003043E">
      <w:pPr>
        <w:tabs>
          <w:tab w:val="right" w:pos="9639"/>
        </w:tabs>
        <w:rPr>
          <w:szCs w:val="24"/>
          <w:lang w:val="en-GB" w:eastAsia="zh-CN"/>
        </w:rPr>
      </w:pPr>
    </w:p>
    <w:p w:rsidR="003151D0" w:rsidRDefault="003151D0" w:rsidP="003151D0">
      <w:pPr>
        <w:tabs>
          <w:tab w:val="left" w:pos="7513"/>
        </w:tabs>
        <w:jc w:val="center"/>
      </w:pPr>
      <w:r w:rsidRPr="0035674D">
        <w:t>____________</w:t>
      </w:r>
      <w:bookmarkStart w:id="1" w:name="ddistribution"/>
      <w:bookmarkEnd w:id="1"/>
    </w:p>
    <w:sectPr w:rsidR="003151D0"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5D" w:rsidRPr="005E5EB3" w:rsidRDefault="0084275D" w:rsidP="00DB6CD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5D" w:rsidRPr="00E51022" w:rsidRDefault="0084275D"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FA22B6">
      <w:rPr>
        <w:rStyle w:val="PageNumber"/>
        <w:noProof/>
        <w:sz w:val="18"/>
        <w:szCs w:val="18"/>
      </w:rPr>
      <w:t>4</w:t>
    </w:r>
    <w:r w:rsidRPr="00E51022">
      <w:rPr>
        <w:rStyle w:val="PageNumber"/>
        <w:sz w:val="18"/>
        <w:szCs w:val="18"/>
      </w:rPr>
      <w:fldChar w:fldCharType="end"/>
    </w:r>
    <w:r w:rsidRPr="00E51022">
      <w:rPr>
        <w:rStyle w:val="PageNumber"/>
        <w:sz w:val="18"/>
        <w:szCs w:val="18"/>
      </w:rPr>
      <w:t xml:space="preserve"> -</w:t>
    </w:r>
  </w:p>
  <w:p w:rsidR="0084275D" w:rsidRPr="00E51022" w:rsidRDefault="0084275D"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5D" w:rsidRPr="003151D0" w:rsidRDefault="0084275D"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FA22B6">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84275D" w:rsidTr="001C1BFD">
      <w:tc>
        <w:tcPr>
          <w:tcW w:w="4800" w:type="dxa"/>
          <w:noWrap/>
          <w:tcMar>
            <w:left w:w="0" w:type="dxa"/>
          </w:tcMar>
        </w:tcPr>
        <w:p w:rsidR="0084275D" w:rsidRDefault="0084275D" w:rsidP="00606BE0">
          <w:pPr>
            <w:pStyle w:val="Header"/>
            <w:spacing w:before="120" w:line="360" w:lineRule="auto"/>
          </w:pPr>
          <w:r w:rsidRPr="008E52B1">
            <w:rPr>
              <w:noProof/>
              <w:color w:val="3399FF"/>
              <w:lang w:val="en-GB" w:eastAsia="zh-CN"/>
            </w:rPr>
            <w:drawing>
              <wp:inline distT="0" distB="0" distL="0" distR="0" wp14:anchorId="423826BD" wp14:editId="7F330B3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84275D" w:rsidRDefault="0084275D" w:rsidP="00606BE0">
          <w:pPr>
            <w:pStyle w:val="Header"/>
            <w:spacing w:before="240" w:line="360" w:lineRule="auto"/>
            <w:jc w:val="right"/>
          </w:pPr>
          <w:r>
            <w:rPr>
              <w:noProof/>
              <w:lang w:val="en-GB" w:eastAsia="zh-CN"/>
            </w:rPr>
            <w:drawing>
              <wp:inline distT="0" distB="0" distL="0" distR="0" wp14:anchorId="6441D555" wp14:editId="4CA1F911">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4275D" w:rsidRPr="00606BE0" w:rsidRDefault="0084275D" w:rsidP="00606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51A611CA"/>
    <w:multiLevelType w:val="hybridMultilevel"/>
    <w:tmpl w:val="37C85FD8"/>
    <w:lvl w:ilvl="0" w:tplc="4D56576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210"/>
    <w:rsid w:val="00006A31"/>
    <w:rsid w:val="00006C82"/>
    <w:rsid w:val="00010E30"/>
    <w:rsid w:val="000154E4"/>
    <w:rsid w:val="00015C76"/>
    <w:rsid w:val="00026CF8"/>
    <w:rsid w:val="0003043E"/>
    <w:rsid w:val="00030BD7"/>
    <w:rsid w:val="00031186"/>
    <w:rsid w:val="00031E64"/>
    <w:rsid w:val="00034340"/>
    <w:rsid w:val="00044196"/>
    <w:rsid w:val="00045A8D"/>
    <w:rsid w:val="0005167A"/>
    <w:rsid w:val="00054E5D"/>
    <w:rsid w:val="00070258"/>
    <w:rsid w:val="0007323C"/>
    <w:rsid w:val="00086D03"/>
    <w:rsid w:val="000926DB"/>
    <w:rsid w:val="000A02A3"/>
    <w:rsid w:val="000A096A"/>
    <w:rsid w:val="000A375E"/>
    <w:rsid w:val="000A7051"/>
    <w:rsid w:val="000B0AF6"/>
    <w:rsid w:val="000B0E9B"/>
    <w:rsid w:val="000B2CAE"/>
    <w:rsid w:val="000C03C7"/>
    <w:rsid w:val="000C2AD0"/>
    <w:rsid w:val="000D21E1"/>
    <w:rsid w:val="000E3DEE"/>
    <w:rsid w:val="000F6542"/>
    <w:rsid w:val="00100058"/>
    <w:rsid w:val="00100B72"/>
    <w:rsid w:val="00101F7D"/>
    <w:rsid w:val="00103C76"/>
    <w:rsid w:val="00104C35"/>
    <w:rsid w:val="0011265F"/>
    <w:rsid w:val="00117282"/>
    <w:rsid w:val="00117389"/>
    <w:rsid w:val="00121C2D"/>
    <w:rsid w:val="00134404"/>
    <w:rsid w:val="00144DFB"/>
    <w:rsid w:val="00146E40"/>
    <w:rsid w:val="001558C0"/>
    <w:rsid w:val="001743D1"/>
    <w:rsid w:val="00175F3F"/>
    <w:rsid w:val="00187CA3"/>
    <w:rsid w:val="00196710"/>
    <w:rsid w:val="00197324"/>
    <w:rsid w:val="001A477F"/>
    <w:rsid w:val="001B351B"/>
    <w:rsid w:val="001B51F7"/>
    <w:rsid w:val="001C06DB"/>
    <w:rsid w:val="001C6971"/>
    <w:rsid w:val="001D2785"/>
    <w:rsid w:val="001D7070"/>
    <w:rsid w:val="001F2170"/>
    <w:rsid w:val="001F3948"/>
    <w:rsid w:val="001F5A49"/>
    <w:rsid w:val="00201097"/>
    <w:rsid w:val="00201B6E"/>
    <w:rsid w:val="0022621E"/>
    <w:rsid w:val="002302B3"/>
    <w:rsid w:val="00230C66"/>
    <w:rsid w:val="00235746"/>
    <w:rsid w:val="00235A29"/>
    <w:rsid w:val="00241526"/>
    <w:rsid w:val="002443A2"/>
    <w:rsid w:val="00266E74"/>
    <w:rsid w:val="00282374"/>
    <w:rsid w:val="00283C3B"/>
    <w:rsid w:val="002861E6"/>
    <w:rsid w:val="00287D18"/>
    <w:rsid w:val="002A2618"/>
    <w:rsid w:val="002A28A6"/>
    <w:rsid w:val="002A5DD7"/>
    <w:rsid w:val="002B0CAC"/>
    <w:rsid w:val="002B7B63"/>
    <w:rsid w:val="002D334E"/>
    <w:rsid w:val="002D5A15"/>
    <w:rsid w:val="002D5BDD"/>
    <w:rsid w:val="002E3D27"/>
    <w:rsid w:val="002F0890"/>
    <w:rsid w:val="002F2531"/>
    <w:rsid w:val="002F4967"/>
    <w:rsid w:val="003151D0"/>
    <w:rsid w:val="00316935"/>
    <w:rsid w:val="003266ED"/>
    <w:rsid w:val="003370B8"/>
    <w:rsid w:val="00345D38"/>
    <w:rsid w:val="0035204D"/>
    <w:rsid w:val="00352097"/>
    <w:rsid w:val="0035674D"/>
    <w:rsid w:val="003666FF"/>
    <w:rsid w:val="0037309C"/>
    <w:rsid w:val="00380A6E"/>
    <w:rsid w:val="003836D4"/>
    <w:rsid w:val="003A1F49"/>
    <w:rsid w:val="003A5D52"/>
    <w:rsid w:val="003B2BDA"/>
    <w:rsid w:val="003B43E4"/>
    <w:rsid w:val="003B55EC"/>
    <w:rsid w:val="003C2EA7"/>
    <w:rsid w:val="003C4471"/>
    <w:rsid w:val="003C7D41"/>
    <w:rsid w:val="003D4A69"/>
    <w:rsid w:val="003E504F"/>
    <w:rsid w:val="003E78D6"/>
    <w:rsid w:val="00400573"/>
    <w:rsid w:val="004007A3"/>
    <w:rsid w:val="0040429A"/>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224A1"/>
    <w:rsid w:val="00526109"/>
    <w:rsid w:val="00534372"/>
    <w:rsid w:val="00543DF8"/>
    <w:rsid w:val="00546101"/>
    <w:rsid w:val="0054795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06BE0"/>
    <w:rsid w:val="006076D9"/>
    <w:rsid w:val="00611339"/>
    <w:rsid w:val="00635DDE"/>
    <w:rsid w:val="0064371D"/>
    <w:rsid w:val="00650B2A"/>
    <w:rsid w:val="00651777"/>
    <w:rsid w:val="006550F8"/>
    <w:rsid w:val="00656226"/>
    <w:rsid w:val="006829F3"/>
    <w:rsid w:val="006A4D97"/>
    <w:rsid w:val="006A518B"/>
    <w:rsid w:val="006B0590"/>
    <w:rsid w:val="006B49DA"/>
    <w:rsid w:val="006C53F8"/>
    <w:rsid w:val="006C7CDE"/>
    <w:rsid w:val="007234B1"/>
    <w:rsid w:val="00723D08"/>
    <w:rsid w:val="00725FDA"/>
    <w:rsid w:val="00727816"/>
    <w:rsid w:val="00730B9A"/>
    <w:rsid w:val="00734C77"/>
    <w:rsid w:val="0075026F"/>
    <w:rsid w:val="00750CFA"/>
    <w:rsid w:val="007553DA"/>
    <w:rsid w:val="00773138"/>
    <w:rsid w:val="00782354"/>
    <w:rsid w:val="007921A7"/>
    <w:rsid w:val="007B3DB1"/>
    <w:rsid w:val="007C4AB2"/>
    <w:rsid w:val="007D183E"/>
    <w:rsid w:val="007D30EE"/>
    <w:rsid w:val="007D43D0"/>
    <w:rsid w:val="007E1833"/>
    <w:rsid w:val="007E3F13"/>
    <w:rsid w:val="007F751A"/>
    <w:rsid w:val="00800012"/>
    <w:rsid w:val="0080261F"/>
    <w:rsid w:val="00806160"/>
    <w:rsid w:val="008143A4"/>
    <w:rsid w:val="0081513E"/>
    <w:rsid w:val="0084275D"/>
    <w:rsid w:val="00854131"/>
    <w:rsid w:val="0085652D"/>
    <w:rsid w:val="0087694B"/>
    <w:rsid w:val="00880F4D"/>
    <w:rsid w:val="008B35A3"/>
    <w:rsid w:val="008B37E1"/>
    <w:rsid w:val="008B45F8"/>
    <w:rsid w:val="008B7633"/>
    <w:rsid w:val="008C2E74"/>
    <w:rsid w:val="008D5409"/>
    <w:rsid w:val="008E006D"/>
    <w:rsid w:val="008E38B4"/>
    <w:rsid w:val="008F4F21"/>
    <w:rsid w:val="00904D4A"/>
    <w:rsid w:val="009132D9"/>
    <w:rsid w:val="009151BA"/>
    <w:rsid w:val="00925023"/>
    <w:rsid w:val="009277BC"/>
    <w:rsid w:val="00927D57"/>
    <w:rsid w:val="00931A51"/>
    <w:rsid w:val="0094687D"/>
    <w:rsid w:val="00947185"/>
    <w:rsid w:val="009518B3"/>
    <w:rsid w:val="009608DD"/>
    <w:rsid w:val="00963D9D"/>
    <w:rsid w:val="0098013E"/>
    <w:rsid w:val="00981B54"/>
    <w:rsid w:val="009842C3"/>
    <w:rsid w:val="009A009A"/>
    <w:rsid w:val="009A6BB6"/>
    <w:rsid w:val="009B3F43"/>
    <w:rsid w:val="009B4859"/>
    <w:rsid w:val="009B5CFA"/>
    <w:rsid w:val="009C161F"/>
    <w:rsid w:val="009C56B4"/>
    <w:rsid w:val="009D51A2"/>
    <w:rsid w:val="009E04A8"/>
    <w:rsid w:val="009E4AEC"/>
    <w:rsid w:val="009E5BD8"/>
    <w:rsid w:val="009E681E"/>
    <w:rsid w:val="00A119E6"/>
    <w:rsid w:val="00A20FBC"/>
    <w:rsid w:val="00A31370"/>
    <w:rsid w:val="00A34D6F"/>
    <w:rsid w:val="00A364FB"/>
    <w:rsid w:val="00A41F91"/>
    <w:rsid w:val="00A56187"/>
    <w:rsid w:val="00A63355"/>
    <w:rsid w:val="00A7596D"/>
    <w:rsid w:val="00A963DF"/>
    <w:rsid w:val="00AA39F8"/>
    <w:rsid w:val="00AB70D6"/>
    <w:rsid w:val="00AC0C22"/>
    <w:rsid w:val="00AC3896"/>
    <w:rsid w:val="00AD2CF2"/>
    <w:rsid w:val="00AE2D88"/>
    <w:rsid w:val="00AE6F6F"/>
    <w:rsid w:val="00AE72D6"/>
    <w:rsid w:val="00AE750E"/>
    <w:rsid w:val="00AF3325"/>
    <w:rsid w:val="00AF34D9"/>
    <w:rsid w:val="00AF6DFE"/>
    <w:rsid w:val="00AF70DA"/>
    <w:rsid w:val="00B019D3"/>
    <w:rsid w:val="00B02D10"/>
    <w:rsid w:val="00B310FD"/>
    <w:rsid w:val="00B34CF9"/>
    <w:rsid w:val="00B37559"/>
    <w:rsid w:val="00B4054B"/>
    <w:rsid w:val="00B579B0"/>
    <w:rsid w:val="00B57D11"/>
    <w:rsid w:val="00B649D7"/>
    <w:rsid w:val="00B81C2F"/>
    <w:rsid w:val="00B86212"/>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04"/>
    <w:rsid w:val="00C813AA"/>
    <w:rsid w:val="00C818D7"/>
    <w:rsid w:val="00C9291E"/>
    <w:rsid w:val="00C92C65"/>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5C88"/>
    <w:rsid w:val="00D66CA3"/>
    <w:rsid w:val="00D6790C"/>
    <w:rsid w:val="00D73277"/>
    <w:rsid w:val="00D76586"/>
    <w:rsid w:val="00D82657"/>
    <w:rsid w:val="00D8330F"/>
    <w:rsid w:val="00D87E20"/>
    <w:rsid w:val="00DA4037"/>
    <w:rsid w:val="00DB6CDB"/>
    <w:rsid w:val="00DC691F"/>
    <w:rsid w:val="00DE66A5"/>
    <w:rsid w:val="00DF170E"/>
    <w:rsid w:val="00DF2B50"/>
    <w:rsid w:val="00E042FB"/>
    <w:rsid w:val="00E04C86"/>
    <w:rsid w:val="00E17344"/>
    <w:rsid w:val="00E20F30"/>
    <w:rsid w:val="00E2189C"/>
    <w:rsid w:val="00E21F47"/>
    <w:rsid w:val="00E25BB1"/>
    <w:rsid w:val="00E27BBA"/>
    <w:rsid w:val="00E30E3F"/>
    <w:rsid w:val="00E35E8F"/>
    <w:rsid w:val="00E428AB"/>
    <w:rsid w:val="00E438E8"/>
    <w:rsid w:val="00E453A3"/>
    <w:rsid w:val="00E51022"/>
    <w:rsid w:val="00E520E2"/>
    <w:rsid w:val="00E530C4"/>
    <w:rsid w:val="00E54AD0"/>
    <w:rsid w:val="00E55996"/>
    <w:rsid w:val="00E64254"/>
    <w:rsid w:val="00E67928"/>
    <w:rsid w:val="00E70FB5"/>
    <w:rsid w:val="00E9061F"/>
    <w:rsid w:val="00E915AF"/>
    <w:rsid w:val="00E96415"/>
    <w:rsid w:val="00EA15B3"/>
    <w:rsid w:val="00EA4199"/>
    <w:rsid w:val="00EB2358"/>
    <w:rsid w:val="00EB3EB8"/>
    <w:rsid w:val="00EC02FE"/>
    <w:rsid w:val="00EC4A96"/>
    <w:rsid w:val="00F02AFA"/>
    <w:rsid w:val="00F32924"/>
    <w:rsid w:val="00F424BF"/>
    <w:rsid w:val="00F44FC3"/>
    <w:rsid w:val="00F46107"/>
    <w:rsid w:val="00F468C5"/>
    <w:rsid w:val="00F52F39"/>
    <w:rsid w:val="00F6184F"/>
    <w:rsid w:val="00F703E2"/>
    <w:rsid w:val="00F8310E"/>
    <w:rsid w:val="00F914DD"/>
    <w:rsid w:val="00FA22B6"/>
    <w:rsid w:val="00FA2358"/>
    <w:rsid w:val="00FB2592"/>
    <w:rsid w:val="00FB2810"/>
    <w:rsid w:val="00FB7A2C"/>
    <w:rsid w:val="00FC2947"/>
    <w:rsid w:val="00FE0378"/>
    <w:rsid w:val="00FE0818"/>
    <w:rsid w:val="00FE3CBB"/>
    <w:rsid w:val="00FE6FB1"/>
    <w:rsid w:val="00FE7DB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9EA76A1B-65B4-4DF0-9665-D3381E7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4275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42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3-C-0095/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15-SG03-C-0094/en" TargetMode="External"/><Relationship Id="rId17" Type="http://schemas.openxmlformats.org/officeDocument/2006/relationships/hyperlink" Target="https://www.itu.int/md/R15-SG03-C-0095/en" TargetMode="External"/><Relationship Id="rId2" Type="http://schemas.openxmlformats.org/officeDocument/2006/relationships/numbering" Target="numbering.xml"/><Relationship Id="rId16" Type="http://schemas.openxmlformats.org/officeDocument/2006/relationships/hyperlink" Target="https://www.itu.int/md/R15-SG03-C/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0093/en" TargetMode="External"/><Relationship Id="rId5" Type="http://schemas.openxmlformats.org/officeDocument/2006/relationships/webSettings" Target="webSettings.xml"/><Relationship Id="rId15" Type="http://schemas.openxmlformats.org/officeDocument/2006/relationships/hyperlink" Target="https://www.itu.int/md/R15-SG03-C-0098/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5-SG03-C-0097/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9F0E-7EFF-4FE8-A92B-CA1DD16B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1410</Words>
  <Characters>1220</Characters>
  <Application>Microsoft Office Word</Application>
  <DocSecurity>0</DocSecurity>
  <Lines>10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Limousin, Catherine</cp:lastModifiedBy>
  <cp:revision>12</cp:revision>
  <cp:lastPrinted>2019-06-11T08:55:00Z</cp:lastPrinted>
  <dcterms:created xsi:type="dcterms:W3CDTF">2019-06-11T13:15:00Z</dcterms:created>
  <dcterms:modified xsi:type="dcterms:W3CDTF">2019-06-12T14:49:00Z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