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317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96253C">
              <w:rPr>
                <w:rFonts w:eastAsiaTheme="minorEastAsia" w:hint="cs"/>
                <w:rtl/>
                <w:lang w:eastAsia="zh-CN" w:bidi="ar-AE"/>
              </w:rPr>
              <w:t>الرسالة الإدارية المعممة</w:t>
            </w:r>
          </w:p>
          <w:p w:rsidR="00AF70F6" w:rsidRPr="00AF70F6" w:rsidRDefault="00B31F96" w:rsidP="00317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317A5B">
              <w:rPr>
                <w:rFonts w:eastAsiaTheme="minorEastAsia"/>
                <w:b/>
                <w:bCs/>
                <w:lang w:eastAsia="zh-CN" w:bidi="ar-SY"/>
              </w:rPr>
              <w:t>904</w:t>
            </w:r>
          </w:p>
        </w:tc>
        <w:tc>
          <w:tcPr>
            <w:tcW w:w="2293" w:type="pct"/>
            <w:shd w:val="clear" w:color="auto" w:fill="auto"/>
          </w:tcPr>
          <w:p w:rsidR="00AF70F6" w:rsidRPr="00AF70F6" w:rsidRDefault="00317A5B" w:rsidP="00317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14</w:t>
            </w:r>
            <w:r w:rsidR="00AF70F6" w:rsidRPr="00AF70F6">
              <w:rPr>
                <w:rFonts w:eastAsiaTheme="minorEastAsia" w:hint="cs"/>
                <w:rtl/>
                <w:lang w:eastAsia="zh-CN" w:bidi="ar-SY"/>
              </w:rPr>
              <w:t xml:space="preserve"> </w:t>
            </w:r>
            <w:r>
              <w:rPr>
                <w:rFonts w:eastAsiaTheme="minorEastAsia" w:hint="cs"/>
                <w:rtl/>
                <w:lang w:eastAsia="zh-CN" w:bidi="ar-SY"/>
              </w:rPr>
              <w:t>يونيو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3D5F11" w:rsidTr="0029677E">
        <w:tc>
          <w:tcPr>
            <w:tcW w:w="5000" w:type="pct"/>
            <w:gridSpan w:val="3"/>
            <w:shd w:val="clear" w:color="auto" w:fill="auto"/>
          </w:tcPr>
          <w:p w:rsidR="00AF70F6" w:rsidRPr="003D5F11" w:rsidRDefault="00AF70F6" w:rsidP="00317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3D5F11">
              <w:rPr>
                <w:rFonts w:eastAsiaTheme="minorEastAsia"/>
                <w:b/>
                <w:bCs/>
                <w:w w:val="115"/>
                <w:rtl/>
                <w:lang w:eastAsia="zh-CN"/>
              </w:rPr>
              <w:t>إلى إدارات الدول الأعضاء في الاتحاد وأعضاء قطاع الاتصالات الراديوية</w:t>
            </w:r>
            <w:r w:rsidRPr="003D5F11">
              <w:rPr>
                <w:rFonts w:eastAsiaTheme="minorEastAsia" w:hint="cs"/>
                <w:b/>
                <w:bCs/>
                <w:w w:val="115"/>
                <w:rtl/>
                <w:lang w:eastAsia="zh-CN"/>
              </w:rPr>
              <w:t xml:space="preserve"> و</w:t>
            </w:r>
            <w:r w:rsidRPr="003D5F11">
              <w:rPr>
                <w:rFonts w:eastAsiaTheme="minorEastAsia"/>
                <w:b/>
                <w:bCs/>
                <w:w w:val="115"/>
                <w:rtl/>
                <w:lang w:eastAsia="zh-CN"/>
              </w:rPr>
              <w:t>المنتسبين إليه</w:t>
            </w:r>
            <w:r w:rsidRPr="003D5F11">
              <w:rPr>
                <w:rFonts w:eastAsiaTheme="minorEastAsia"/>
                <w:b/>
                <w:bCs/>
                <w:rtl/>
                <w:lang w:eastAsia="zh-CN"/>
              </w:rPr>
              <w:br/>
            </w:r>
            <w:r w:rsidRPr="003D5F11">
              <w:rPr>
                <w:rFonts w:eastAsiaTheme="minorEastAsia"/>
                <w:b/>
                <w:bCs/>
                <w:rtl/>
                <w:lang w:eastAsia="zh-CN" w:bidi="ar-EG"/>
              </w:rPr>
              <w:t xml:space="preserve">المشاركين في أعمال لجنة الدراسات </w:t>
            </w:r>
            <w:r w:rsidR="00317A5B" w:rsidRPr="003D5F11">
              <w:rPr>
                <w:rFonts w:eastAsiaTheme="minorEastAsia"/>
                <w:b/>
                <w:bCs/>
                <w:lang w:val="en-GB" w:eastAsia="zh-CN" w:bidi="ar-SY"/>
              </w:rPr>
              <w:t>3</w:t>
            </w:r>
            <w:r w:rsidRPr="003D5F11">
              <w:rPr>
                <w:rFonts w:eastAsiaTheme="minorEastAsia"/>
                <w:b/>
                <w:bCs/>
                <w:rtl/>
                <w:lang w:eastAsia="zh-CN" w:bidi="ar-EG"/>
              </w:rPr>
              <w:t xml:space="preserve"> للاتصالات الراديوية</w:t>
            </w:r>
            <w:r w:rsidRPr="003D5F11">
              <w:rPr>
                <w:rFonts w:eastAsiaTheme="minorEastAsia" w:hint="cs"/>
                <w:b/>
                <w:bCs/>
                <w:rtl/>
                <w:lang w:eastAsia="zh-CN" w:bidi="ar-EG"/>
              </w:rPr>
              <w:t xml:space="preserve"> والهيئات الأكاديمية المنضمة إلى الاتحاد</w:t>
            </w:r>
          </w:p>
        </w:tc>
      </w:tr>
      <w:tr w:rsidR="008260B2" w:rsidRPr="003D5F11" w:rsidTr="001D222D">
        <w:tc>
          <w:tcPr>
            <w:tcW w:w="5000" w:type="pct"/>
            <w:gridSpan w:val="3"/>
            <w:shd w:val="clear" w:color="auto" w:fill="auto"/>
          </w:tcPr>
          <w:p w:rsidR="008260B2" w:rsidRPr="003D5F11"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3D5F11" w:rsidTr="001D222D">
        <w:tc>
          <w:tcPr>
            <w:tcW w:w="5000" w:type="pct"/>
            <w:gridSpan w:val="3"/>
            <w:shd w:val="clear" w:color="auto" w:fill="auto"/>
          </w:tcPr>
          <w:p w:rsidR="008260B2" w:rsidRPr="003D5F11"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3D5F11" w:rsidTr="0029677E">
        <w:trPr>
          <w:trHeight w:val="452"/>
        </w:trPr>
        <w:tc>
          <w:tcPr>
            <w:tcW w:w="699" w:type="pct"/>
            <w:shd w:val="clear" w:color="auto" w:fill="auto"/>
          </w:tcPr>
          <w:p w:rsidR="00AF70F6" w:rsidRPr="003D5F11"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3D5F11">
              <w:rPr>
                <w:rFonts w:eastAsiaTheme="minorEastAsia"/>
                <w:rtl/>
                <w:lang w:eastAsia="zh-CN"/>
              </w:rPr>
              <w:t>الموضوع</w:t>
            </w:r>
            <w:r w:rsidRPr="003D5F11">
              <w:rPr>
                <w:rFonts w:eastAsiaTheme="minorEastAsia"/>
                <w:lang w:val="en-GB" w:eastAsia="zh-CN" w:bidi="ar-SY"/>
              </w:rPr>
              <w:t>:</w:t>
            </w:r>
          </w:p>
        </w:tc>
        <w:tc>
          <w:tcPr>
            <w:tcW w:w="4301" w:type="pct"/>
            <w:gridSpan w:val="2"/>
            <w:shd w:val="clear" w:color="auto" w:fill="auto"/>
          </w:tcPr>
          <w:p w:rsidR="00AF70F6" w:rsidRPr="003D5F11" w:rsidRDefault="00AF70F6" w:rsidP="00317A5B">
            <w:pPr>
              <w:spacing w:before="60" w:after="60" w:line="340" w:lineRule="exact"/>
              <w:rPr>
                <w:b/>
                <w:bCs/>
                <w:rtl/>
                <w:lang w:bidi="ar-EG"/>
              </w:rPr>
            </w:pPr>
            <w:r w:rsidRPr="003D5F11">
              <w:rPr>
                <w:b/>
                <w:bCs/>
                <w:rtl/>
                <w:lang w:bidi="ar-EG"/>
              </w:rPr>
              <w:t xml:space="preserve">لجنة الدراسات </w:t>
            </w:r>
            <w:r w:rsidR="00317A5B" w:rsidRPr="003D5F11">
              <w:rPr>
                <w:b/>
                <w:bCs/>
                <w:lang w:bidi="ar-SY"/>
              </w:rPr>
              <w:t>3</w:t>
            </w:r>
            <w:r w:rsidRPr="003D5F11">
              <w:rPr>
                <w:b/>
                <w:bCs/>
                <w:rtl/>
                <w:lang w:bidi="ar-EG"/>
              </w:rPr>
              <w:t xml:space="preserve"> للاتصالات الراديوي</w:t>
            </w:r>
            <w:r w:rsidRPr="003D5F11">
              <w:rPr>
                <w:rFonts w:hint="cs"/>
                <w:b/>
                <w:bCs/>
                <w:rtl/>
                <w:lang w:bidi="ar-EG"/>
              </w:rPr>
              <w:t>ة (</w:t>
            </w:r>
            <w:r w:rsidR="00CE3EBC" w:rsidRPr="003D5F11">
              <w:rPr>
                <w:b/>
                <w:bCs/>
                <w:rtl/>
                <w:lang w:bidi="ar-EG"/>
              </w:rPr>
              <w:t>انتشار الموجات الراديوية</w:t>
            </w:r>
            <w:r w:rsidRPr="003D5F11">
              <w:rPr>
                <w:rFonts w:hint="cs"/>
                <w:b/>
                <w:bCs/>
                <w:rtl/>
                <w:lang w:bidi="ar-EG"/>
              </w:rPr>
              <w:t>)</w:t>
            </w:r>
          </w:p>
          <w:p w:rsidR="00AF70F6" w:rsidRPr="003D5F11" w:rsidRDefault="00D37B45" w:rsidP="008B2697">
            <w:pPr>
              <w:tabs>
                <w:tab w:val="left" w:pos="386"/>
              </w:tabs>
              <w:spacing w:before="60" w:after="60" w:line="340" w:lineRule="exact"/>
              <w:ind w:left="386" w:hanging="386"/>
              <w:rPr>
                <w:b/>
                <w:bCs/>
                <w:lang w:bidi="ar-EG"/>
              </w:rPr>
            </w:pPr>
            <w:r w:rsidRPr="003D5F11">
              <w:rPr>
                <w:rFonts w:hint="cs"/>
                <w:b/>
                <w:bCs/>
                <w:rtl/>
                <w:lang w:bidi="ar-EG"/>
              </w:rPr>
              <w:t>-</w:t>
            </w:r>
            <w:r w:rsidRPr="003D5F11">
              <w:rPr>
                <w:b/>
                <w:bCs/>
                <w:rtl/>
                <w:lang w:bidi="ar-EG"/>
              </w:rPr>
              <w:tab/>
            </w:r>
            <w:r w:rsidR="00317A5B" w:rsidRPr="003D5F11">
              <w:rPr>
                <w:rFonts w:hint="cs"/>
                <w:b/>
                <w:bCs/>
                <w:spacing w:val="6"/>
                <w:rtl/>
                <w:lang w:bidi="ar-EG"/>
              </w:rPr>
              <w:t xml:space="preserve">اقتراح للموافقة على مشاريع مراجعة </w:t>
            </w:r>
            <w:r w:rsidR="00317A5B" w:rsidRPr="003D5F11">
              <w:rPr>
                <w:b/>
                <w:bCs/>
                <w:spacing w:val="6"/>
                <w:lang w:bidi="ar-EG"/>
              </w:rPr>
              <w:t>5</w:t>
            </w:r>
            <w:r w:rsidR="00317A5B" w:rsidRPr="003D5F11">
              <w:rPr>
                <w:rFonts w:hint="cs"/>
                <w:b/>
                <w:bCs/>
                <w:spacing w:val="6"/>
                <w:rtl/>
                <w:lang w:bidi="ar-EG"/>
              </w:rPr>
              <w:t xml:space="preserve"> توصيات لقطاع الاتصالات الراديوية</w:t>
            </w:r>
          </w:p>
        </w:tc>
      </w:tr>
    </w:tbl>
    <w:p w:rsidR="00317A5B" w:rsidRPr="003D5F11" w:rsidRDefault="00317A5B" w:rsidP="00C64A0E">
      <w:pPr>
        <w:spacing w:before="840"/>
        <w:rPr>
          <w:rtl/>
        </w:rPr>
      </w:pPr>
      <w:r w:rsidRPr="003D5F11">
        <w:rPr>
          <w:rFonts w:hint="cs"/>
          <w:rtl/>
        </w:rPr>
        <w:t>تحية طيبة وبعد،</w:t>
      </w:r>
    </w:p>
    <w:p w:rsidR="00317A5B" w:rsidRPr="001566EA" w:rsidRDefault="00317A5B" w:rsidP="00CD2B78">
      <w:pPr>
        <w:rPr>
          <w:rtl/>
          <w:lang w:bidi="ar-EG"/>
        </w:rPr>
      </w:pPr>
      <w:r w:rsidRPr="001566EA">
        <w:rPr>
          <w:rFonts w:hint="cs"/>
          <w:rtl/>
          <w:lang w:bidi="ar-EG"/>
        </w:rPr>
        <w:t xml:space="preserve">اعتمدت لجنة الدراسات </w:t>
      </w:r>
      <w:r w:rsidR="003D3507" w:rsidRPr="001566EA">
        <w:t>3</w:t>
      </w:r>
      <w:r w:rsidRPr="001566EA">
        <w:rPr>
          <w:rFonts w:hint="cs"/>
          <w:rtl/>
          <w:lang w:bidi="ar-EG"/>
        </w:rPr>
        <w:t xml:space="preserve"> للاتصالات الراديوية في اجتماعها المنعقد في </w:t>
      </w:r>
      <w:r w:rsidR="003D3507" w:rsidRPr="001566EA">
        <w:t>24</w:t>
      </w:r>
      <w:r w:rsidRPr="001566EA">
        <w:rPr>
          <w:rFonts w:hint="cs"/>
          <w:b/>
          <w:bCs/>
          <w:rtl/>
          <w:lang w:bidi="ar-EG"/>
        </w:rPr>
        <w:t xml:space="preserve"> </w:t>
      </w:r>
      <w:r w:rsidR="003D3507" w:rsidRPr="001566EA">
        <w:rPr>
          <w:rFonts w:hint="cs"/>
          <w:rtl/>
        </w:rPr>
        <w:t>مايو</w:t>
      </w:r>
      <w:r w:rsidRPr="001566EA">
        <w:rPr>
          <w:rFonts w:hint="cs"/>
          <w:rtl/>
          <w:lang w:bidi="ar-EG"/>
        </w:rPr>
        <w:t xml:space="preserve"> </w:t>
      </w:r>
      <w:r w:rsidRPr="001566EA">
        <w:t>201</w:t>
      </w:r>
      <w:r w:rsidR="003D3507" w:rsidRPr="001566EA">
        <w:t>9</w:t>
      </w:r>
      <w:r w:rsidRPr="001566EA">
        <w:rPr>
          <w:rFonts w:hint="cs"/>
          <w:rtl/>
          <w:lang w:bidi="ar-EG"/>
        </w:rPr>
        <w:t>، نصوص مشاريع مراجعة</w:t>
      </w:r>
      <w:r w:rsidR="00CD2B78" w:rsidRPr="001566EA">
        <w:rPr>
          <w:rFonts w:hint="eastAsia"/>
          <w:rtl/>
          <w:lang w:bidi="ar-EG"/>
        </w:rPr>
        <w:t> </w:t>
      </w:r>
      <w:r w:rsidR="003D3507" w:rsidRPr="001566EA">
        <w:t>5</w:t>
      </w:r>
      <w:r w:rsidRPr="001566EA">
        <w:rPr>
          <w:rFonts w:hint="cs"/>
          <w:rtl/>
          <w:lang w:bidi="ar-EG"/>
        </w:rPr>
        <w:t xml:space="preserve"> توصيات لقطاع الاتصالات الراديوية واتفقت على تطبيق إجراء القرار</w:t>
      </w:r>
      <w:r w:rsidRPr="001566EA">
        <w:rPr>
          <w:rFonts w:hint="eastAsia"/>
          <w:rtl/>
          <w:lang w:bidi="ar-EG"/>
        </w:rPr>
        <w:t> </w:t>
      </w:r>
      <w:r w:rsidRPr="001566EA">
        <w:rPr>
          <w:lang w:val="en-GB"/>
        </w:rPr>
        <w:t>ITU</w:t>
      </w:r>
      <w:r w:rsidRPr="001566EA">
        <w:rPr>
          <w:lang w:val="en-GB"/>
        </w:rPr>
        <w:noBreakHyphen/>
        <w:t>R 1</w:t>
      </w:r>
      <w:r w:rsidRPr="001566EA">
        <w:rPr>
          <w:lang w:val="en-GB"/>
        </w:rPr>
        <w:noBreakHyphen/>
        <w:t>7</w:t>
      </w:r>
      <w:r w:rsidRPr="001566EA">
        <w:rPr>
          <w:rFonts w:hint="cs"/>
          <w:rtl/>
          <w:lang w:bidi="ar-EG"/>
        </w:rPr>
        <w:t xml:space="preserve"> (انظر</w:t>
      </w:r>
      <w:r w:rsidRPr="001566EA">
        <w:rPr>
          <w:rFonts w:hint="eastAsia"/>
          <w:rtl/>
          <w:lang w:bidi="ar-EG"/>
        </w:rPr>
        <w:t> </w:t>
      </w:r>
      <w:r w:rsidRPr="001566EA">
        <w:rPr>
          <w:rFonts w:hint="cs"/>
          <w:rtl/>
          <w:lang w:bidi="ar-EG"/>
        </w:rPr>
        <w:t>الفقرة </w:t>
      </w:r>
      <w:r w:rsidRPr="001566EA">
        <w:t>3.2.6.A2</w:t>
      </w:r>
      <w:r w:rsidRPr="001566EA">
        <w:rPr>
          <w:rFonts w:hint="cs"/>
          <w:rtl/>
          <w:lang w:bidi="ar-EG"/>
        </w:rPr>
        <w:t>) المتعلق بالموافقة على التوصيات بالتشاور. وترد في الملحق بهذه الرسالة</w:t>
      </w:r>
      <w:r w:rsidR="003D3507" w:rsidRPr="001566EA">
        <w:rPr>
          <w:rFonts w:hint="cs"/>
          <w:rtl/>
          <w:lang w:bidi="ar-EG"/>
        </w:rPr>
        <w:t xml:space="preserve"> </w:t>
      </w:r>
      <w:r w:rsidRPr="001566EA">
        <w:rPr>
          <w:rFonts w:hint="cs"/>
          <w:rtl/>
          <w:lang w:bidi="ar-EG"/>
        </w:rPr>
        <w:t>عناوين مشاريع التوصيات وملخصاتها. ويرجى من أي دولة عضو تعترض على الموافقة على مشروع توصية أن تخبر المدير ورئيس لجنة الدراسات بأسباب</w:t>
      </w:r>
      <w:r w:rsidRPr="001566EA">
        <w:rPr>
          <w:rFonts w:hint="eastAsia"/>
          <w:rtl/>
          <w:lang w:bidi="ar-EG"/>
        </w:rPr>
        <w:t> </w:t>
      </w:r>
      <w:r w:rsidRPr="001566EA">
        <w:rPr>
          <w:rFonts w:hint="cs"/>
          <w:rtl/>
          <w:lang w:bidi="ar-EG"/>
        </w:rPr>
        <w:t>اعتراضها.</w:t>
      </w:r>
    </w:p>
    <w:p w:rsidR="00317A5B" w:rsidRPr="003D5F11" w:rsidRDefault="00317A5B" w:rsidP="00004ECF">
      <w:pPr>
        <w:rPr>
          <w:rtl/>
          <w:lang w:bidi="ar-EG"/>
        </w:rPr>
      </w:pPr>
      <w:r w:rsidRPr="003D5F11">
        <w:rPr>
          <w:rFonts w:hint="cs"/>
          <w:rtl/>
          <w:lang w:bidi="ar-EG"/>
        </w:rPr>
        <w:t>وبالنظر إلى أحكام الفقرة </w:t>
      </w:r>
      <w:r w:rsidRPr="003D5F11">
        <w:t>3.2.6.A2</w:t>
      </w:r>
      <w:r w:rsidRPr="003D5F11">
        <w:rPr>
          <w:rFonts w:hint="cs"/>
          <w:rtl/>
          <w:lang w:bidi="ar-EG"/>
        </w:rPr>
        <w:t xml:space="preserve"> من القرار </w:t>
      </w:r>
      <w:r w:rsidRPr="003D5F11">
        <w:rPr>
          <w:lang w:val="en-GB"/>
        </w:rPr>
        <w:t>ITU</w:t>
      </w:r>
      <w:r w:rsidR="00004ECF">
        <w:rPr>
          <w:lang w:val="en-GB"/>
        </w:rPr>
        <w:t>-</w:t>
      </w:r>
      <w:r w:rsidRPr="003D5F11">
        <w:rPr>
          <w:lang w:val="en-GB"/>
        </w:rPr>
        <w:t>R 1</w:t>
      </w:r>
      <w:r w:rsidR="00004ECF">
        <w:rPr>
          <w:lang w:val="en-GB"/>
        </w:rPr>
        <w:t>-</w:t>
      </w:r>
      <w:r w:rsidRPr="003D5F11">
        <w:rPr>
          <w:lang w:val="en-GB"/>
        </w:rPr>
        <w:t>7</w:t>
      </w:r>
      <w:r w:rsidRPr="003D5F11">
        <w:rPr>
          <w:rFonts w:hint="cs"/>
          <w:rtl/>
          <w:lang w:bidi="ar-EG"/>
        </w:rPr>
        <w:t>، يرجى من الدول الأعضاء إبلاغ الأمانة </w:t>
      </w:r>
      <w:r w:rsidRPr="003D5F11">
        <w:t>(</w:t>
      </w:r>
      <w:hyperlink r:id="rId10" w:history="1">
        <w:r w:rsidRPr="003D5F11">
          <w:rPr>
            <w:rStyle w:val="Hyperlink"/>
            <w:rFonts w:ascii="Calibri" w:hAnsi="Calibri"/>
          </w:rPr>
          <w:t>brsgd@itu.int</w:t>
        </w:r>
      </w:hyperlink>
      <w:r w:rsidRPr="003D5F11">
        <w:t>)</w:t>
      </w:r>
      <w:r w:rsidRPr="003D5F11">
        <w:rPr>
          <w:rFonts w:hint="cs"/>
          <w:rtl/>
          <w:lang w:bidi="ar-EG"/>
        </w:rPr>
        <w:t xml:space="preserve"> قبل</w:t>
      </w:r>
      <w:r w:rsidR="00004ECF">
        <w:rPr>
          <w:rFonts w:hint="eastAsia"/>
          <w:rtl/>
          <w:lang w:bidi="ar-EG"/>
        </w:rPr>
        <w:t> </w:t>
      </w:r>
      <w:r w:rsidR="003D3507" w:rsidRPr="003D5F11">
        <w:rPr>
          <w:u w:val="single"/>
          <w:lang w:bidi="ar-EG"/>
        </w:rPr>
        <w:t>14</w:t>
      </w:r>
      <w:r w:rsidRPr="003D5F11">
        <w:rPr>
          <w:rFonts w:hint="eastAsia"/>
          <w:u w:val="single"/>
          <w:rtl/>
          <w:lang w:bidi="ar-EG"/>
        </w:rPr>
        <w:t> </w:t>
      </w:r>
      <w:r w:rsidR="003D3507" w:rsidRPr="003D5F11">
        <w:rPr>
          <w:rFonts w:hint="cs"/>
          <w:u w:val="single"/>
          <w:rtl/>
          <w:lang w:bidi="ar-EG"/>
        </w:rPr>
        <w:t>أغسطس</w:t>
      </w:r>
      <w:r w:rsidRPr="003D5F11">
        <w:rPr>
          <w:rFonts w:hint="eastAsia"/>
          <w:u w:val="single"/>
          <w:rtl/>
          <w:lang w:bidi="ar-EG"/>
        </w:rPr>
        <w:t> </w:t>
      </w:r>
      <w:r w:rsidRPr="003D5F11">
        <w:rPr>
          <w:u w:val="single"/>
        </w:rPr>
        <w:t>201</w:t>
      </w:r>
      <w:r w:rsidR="003D3507" w:rsidRPr="003D5F11">
        <w:rPr>
          <w:u w:val="single"/>
        </w:rPr>
        <w:t>9</w:t>
      </w:r>
      <w:r w:rsidRPr="003D5F11">
        <w:rPr>
          <w:rFonts w:hint="cs"/>
          <w:rtl/>
          <w:lang w:bidi="ar-EG"/>
        </w:rPr>
        <w:t xml:space="preserve"> ما إذا كانت توافق أو لا توافق على المقترحات أعلاه.</w:t>
      </w:r>
    </w:p>
    <w:p w:rsidR="00317A5B" w:rsidRPr="003D5F11" w:rsidRDefault="00317A5B" w:rsidP="00317A5B">
      <w:pPr>
        <w:rPr>
          <w:rtl/>
          <w:lang w:bidi="ar-EG"/>
        </w:rPr>
      </w:pPr>
      <w:r w:rsidRPr="003D5F11">
        <w:rPr>
          <w:rFonts w:hint="cs"/>
          <w:rtl/>
          <w:lang w:bidi="ar-EG"/>
        </w:rPr>
        <w:t>وبعد المهلة المحددة أعلاه، ستعلن نتائج هذا التشاور في رسالة إدارية معممة وستنشر التوصيات الموافَق عليها بأسرع وقت ممكن عملياً (انظر </w:t>
      </w:r>
      <w:hyperlink r:id="rId11" w:history="1">
        <w:r w:rsidRPr="003D5F11">
          <w:rPr>
            <w:rStyle w:val="Hyperlink"/>
            <w:rFonts w:ascii="Calibri" w:hAnsi="Calibri"/>
          </w:rPr>
          <w:t>http://www.itu.int/pub/R-REC</w:t>
        </w:r>
      </w:hyperlink>
      <w:r w:rsidRPr="003D5F11">
        <w:rPr>
          <w:rFonts w:hint="cs"/>
          <w:rtl/>
          <w:lang w:bidi="ar-EG"/>
        </w:rPr>
        <w:t>).</w:t>
      </w:r>
    </w:p>
    <w:p w:rsidR="00317A5B" w:rsidRPr="003D5F11" w:rsidRDefault="00317A5B" w:rsidP="00317A5B">
      <w:pPr>
        <w:pageBreakBefore/>
        <w:rPr>
          <w:rtl/>
        </w:rPr>
      </w:pPr>
      <w:r w:rsidRPr="003D5F11">
        <w:rPr>
          <w:rFonts w:hint="cs"/>
          <w:rtl/>
          <w:lang w:bidi="ar-EG"/>
        </w:rPr>
        <w:lastRenderedPageBreak/>
        <w:t xml:space="preserve">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وترد السياسة المشتركة لبراءات الاختراع لقطاعي تقييس </w:t>
      </w:r>
      <w:r w:rsidRPr="003D5F11">
        <w:rPr>
          <w:rFonts w:hint="cs"/>
          <w:rtl/>
        </w:rPr>
        <w:t>الاتصالات والاتصالات الراديوية والمنظمة الدولية للتوحيد القياسي واللجنة الكهرتقنية الدولية </w:t>
      </w:r>
      <w:r w:rsidRPr="003D5F11">
        <w:t>(ITU</w:t>
      </w:r>
      <w:r w:rsidRPr="003D5F11">
        <w:noBreakHyphen/>
        <w:t>T/ITU</w:t>
      </w:r>
      <w:r w:rsidRPr="003D5F11">
        <w:noBreakHyphen/>
        <w:t>R/ISO/IEC)</w:t>
      </w:r>
      <w:r w:rsidRPr="003D5F11">
        <w:rPr>
          <w:rFonts w:hint="cs"/>
          <w:rtl/>
        </w:rPr>
        <w:t xml:space="preserve"> في</w:t>
      </w:r>
      <w:r w:rsidRPr="003D5F11">
        <w:rPr>
          <w:rFonts w:hint="eastAsia"/>
          <w:rtl/>
        </w:rPr>
        <w:t> </w:t>
      </w:r>
      <w:r w:rsidRPr="003D5F11">
        <w:rPr>
          <w:rFonts w:hint="cs"/>
          <w:rtl/>
        </w:rPr>
        <w:t>الموقع</w:t>
      </w:r>
      <w:r w:rsidRPr="003D5F11">
        <w:rPr>
          <w:rFonts w:hint="eastAsia"/>
          <w:rtl/>
        </w:rPr>
        <w:t> </w:t>
      </w:r>
      <w:hyperlink r:id="rId12" w:history="1">
        <w:r w:rsidRPr="003D5F11">
          <w:rPr>
            <w:rStyle w:val="Hyperlink"/>
            <w:rFonts w:ascii="Calibri" w:hAnsi="Calibri"/>
          </w:rPr>
          <w:t>http://www.itu.int/en/ITU-T/ipr/Pages/policy.aspx</w:t>
        </w:r>
      </w:hyperlink>
      <w:r w:rsidRPr="003D5F11">
        <w:rPr>
          <w:rFonts w:hint="cs"/>
          <w:rtl/>
        </w:rPr>
        <w:t>.</w:t>
      </w:r>
    </w:p>
    <w:p w:rsidR="00317A5B" w:rsidRPr="003D5F11" w:rsidRDefault="00317A5B" w:rsidP="00317A5B">
      <w:pPr>
        <w:spacing w:before="240"/>
        <w:rPr>
          <w:rtl/>
        </w:rPr>
      </w:pPr>
      <w:r w:rsidRPr="003D5F11">
        <w:rPr>
          <w:rFonts w:hint="cs"/>
          <w:rtl/>
          <w:lang w:bidi="ar-EG"/>
        </w:rPr>
        <w:t>وتفضلوا بقبول فائق التقدير والاحترام.</w:t>
      </w:r>
    </w:p>
    <w:p w:rsidR="00317A5B" w:rsidRPr="003D5F11" w:rsidRDefault="003D3507" w:rsidP="00B55CE4">
      <w:pPr>
        <w:spacing w:before="1440"/>
        <w:jc w:val="left"/>
        <w:rPr>
          <w:rtl/>
        </w:rPr>
      </w:pPr>
      <w:r w:rsidRPr="003D5F11">
        <w:rPr>
          <w:color w:val="000000"/>
          <w:rtl/>
        </w:rPr>
        <w:t>ماريو مانيفيتش</w:t>
      </w:r>
      <w:r w:rsidR="00317A5B" w:rsidRPr="003D5F11">
        <w:rPr>
          <w:rtl/>
        </w:rPr>
        <w:br/>
      </w:r>
      <w:r w:rsidR="00B55CE4">
        <w:rPr>
          <w:rFonts w:hint="cs"/>
          <w:rtl/>
        </w:rPr>
        <w:t>المدير</w:t>
      </w:r>
    </w:p>
    <w:p w:rsidR="00317A5B" w:rsidRPr="003D5F11" w:rsidRDefault="00317A5B" w:rsidP="003D3507">
      <w:pPr>
        <w:spacing w:before="960"/>
        <w:jc w:val="left"/>
        <w:rPr>
          <w:rtl/>
          <w:lang w:bidi="ar-EG"/>
        </w:rPr>
      </w:pPr>
      <w:r w:rsidRPr="003D5F11">
        <w:rPr>
          <w:rFonts w:hint="cs"/>
          <w:b/>
          <w:bCs/>
          <w:rtl/>
          <w:lang w:bidi="ar-EG"/>
        </w:rPr>
        <w:t>الملحقات</w:t>
      </w:r>
      <w:r w:rsidRPr="003D5F11">
        <w:rPr>
          <w:rtl/>
          <w:lang w:bidi="ar-EG"/>
        </w:rPr>
        <w:t>:</w:t>
      </w:r>
      <w:r w:rsidRPr="003D5F11">
        <w:rPr>
          <w:rFonts w:hint="cs"/>
          <w:rtl/>
          <w:lang w:bidi="ar-EG"/>
        </w:rPr>
        <w:tab/>
        <w:t>-</w:t>
      </w:r>
      <w:r w:rsidRPr="003D5F11">
        <w:rPr>
          <w:rtl/>
          <w:lang w:bidi="ar-EG"/>
        </w:rPr>
        <w:tab/>
      </w:r>
      <w:r w:rsidRPr="003D5F11">
        <w:rPr>
          <w:rFonts w:hint="cs"/>
          <w:rtl/>
          <w:lang w:bidi="ar-EG"/>
        </w:rPr>
        <w:t>عناوين مشاريع التوصيات وملخصاتها</w:t>
      </w:r>
    </w:p>
    <w:p w:rsidR="00317A5B" w:rsidRPr="003D5F11" w:rsidRDefault="00317A5B" w:rsidP="008B2697">
      <w:pPr>
        <w:spacing w:before="480"/>
        <w:rPr>
          <w:rtl/>
          <w:lang w:bidi="ar-EG"/>
        </w:rPr>
      </w:pPr>
      <w:r w:rsidRPr="003D5F11">
        <w:rPr>
          <w:rFonts w:hint="cs"/>
          <w:b/>
          <w:bCs/>
          <w:rtl/>
          <w:lang w:bidi="ar-EG"/>
        </w:rPr>
        <w:t>الوثائق</w:t>
      </w:r>
      <w:r w:rsidRPr="003D5F11">
        <w:rPr>
          <w:rtl/>
          <w:lang w:bidi="ar-EG"/>
        </w:rPr>
        <w:t>:</w:t>
      </w:r>
      <w:r w:rsidRPr="003D5F11">
        <w:rPr>
          <w:rFonts w:hint="cs"/>
          <w:rtl/>
          <w:lang w:bidi="ar-EG"/>
        </w:rPr>
        <w:tab/>
        <w:t xml:space="preserve">الوثائق </w:t>
      </w:r>
      <w:hyperlink r:id="rId13" w:history="1">
        <w:r w:rsidR="003D3507" w:rsidRPr="005670DA">
          <w:t>3/93</w:t>
        </w:r>
      </w:hyperlink>
      <w:r w:rsidR="003D3507" w:rsidRPr="005670DA">
        <w:rPr>
          <w:rFonts w:hint="cs"/>
          <w:rtl/>
        </w:rPr>
        <w:t xml:space="preserve">، </w:t>
      </w:r>
      <w:hyperlink r:id="rId14" w:history="1">
        <w:r w:rsidR="003D3507" w:rsidRPr="005670DA">
          <w:t>3/94(Rev.1)</w:t>
        </w:r>
      </w:hyperlink>
      <w:r w:rsidR="003D3507" w:rsidRPr="005670DA">
        <w:rPr>
          <w:rFonts w:hint="cs"/>
          <w:rtl/>
        </w:rPr>
        <w:t xml:space="preserve">، </w:t>
      </w:r>
      <w:hyperlink r:id="rId15" w:history="1">
        <w:r w:rsidR="003D3507" w:rsidRPr="005670DA">
          <w:t>3/95(Rev.1)</w:t>
        </w:r>
      </w:hyperlink>
      <w:r w:rsidR="003D3507" w:rsidRPr="005670DA">
        <w:rPr>
          <w:rFonts w:hint="cs"/>
          <w:rtl/>
        </w:rPr>
        <w:t xml:space="preserve">، </w:t>
      </w:r>
      <w:hyperlink r:id="rId16" w:history="1">
        <w:r w:rsidR="003D3507" w:rsidRPr="005670DA">
          <w:t>3/97(Rev.1)</w:t>
        </w:r>
      </w:hyperlink>
      <w:r w:rsidR="003D3507" w:rsidRPr="005670DA">
        <w:rPr>
          <w:rFonts w:hint="cs"/>
          <w:rtl/>
        </w:rPr>
        <w:t xml:space="preserve">، </w:t>
      </w:r>
      <w:hyperlink r:id="rId17" w:history="1">
        <w:r w:rsidR="003D3507" w:rsidRPr="005670DA">
          <w:t>3/98(Rev.1)</w:t>
        </w:r>
      </w:hyperlink>
    </w:p>
    <w:p w:rsidR="00317A5B" w:rsidRPr="003D5F11" w:rsidRDefault="00317A5B" w:rsidP="00004ECF">
      <w:pPr>
        <w:spacing w:before="600"/>
        <w:rPr>
          <w:rtl/>
          <w:lang w:bidi="ar-EG"/>
        </w:rPr>
      </w:pPr>
      <w:r w:rsidRPr="003D5F11">
        <w:rPr>
          <w:rFonts w:hint="cs"/>
          <w:rtl/>
          <w:lang w:bidi="ar-EG"/>
        </w:rPr>
        <w:t>وتتاح نسخ إلكترونية من هذه الوثائق في الموقع:</w:t>
      </w:r>
      <w:r w:rsidR="003D3507" w:rsidRPr="003D5F11">
        <w:rPr>
          <w:rFonts w:hint="cs"/>
          <w:rtl/>
          <w:lang w:bidi="ar-EG"/>
        </w:rPr>
        <w:t xml:space="preserve"> </w:t>
      </w:r>
      <w:hyperlink r:id="rId18" w:history="1">
        <w:r w:rsidR="003D3507" w:rsidRPr="003D5F11">
          <w:rPr>
            <w:rStyle w:val="Hyperlink"/>
            <w:rFonts w:ascii="Calibri" w:hAnsi="Calibri"/>
          </w:rPr>
          <w:t>https://www.itu.int/md/R15-SG03-C/en</w:t>
        </w:r>
      </w:hyperlink>
    </w:p>
    <w:p w:rsidR="00317A5B" w:rsidRPr="003D5F11" w:rsidRDefault="00317A5B" w:rsidP="00AA7356">
      <w:pPr>
        <w:tabs>
          <w:tab w:val="left" w:pos="283"/>
        </w:tabs>
        <w:spacing w:before="5000"/>
        <w:jc w:val="left"/>
        <w:rPr>
          <w:sz w:val="16"/>
          <w:szCs w:val="22"/>
          <w:rtl/>
          <w:lang w:bidi="ar-EG"/>
        </w:rPr>
      </w:pPr>
      <w:r w:rsidRPr="003D5F11">
        <w:rPr>
          <w:b/>
          <w:bCs/>
          <w:sz w:val="16"/>
          <w:szCs w:val="22"/>
          <w:rtl/>
          <w:lang w:bidi="ar-EG"/>
        </w:rPr>
        <w:t>التوزيع</w:t>
      </w:r>
      <w:r w:rsidRPr="003D5F11">
        <w:rPr>
          <w:sz w:val="16"/>
          <w:szCs w:val="22"/>
          <w:rtl/>
          <w:lang w:bidi="ar-EG"/>
        </w:rPr>
        <w:t>:</w:t>
      </w:r>
    </w:p>
    <w:p w:rsidR="00317A5B" w:rsidRPr="003D5F11" w:rsidRDefault="00317A5B" w:rsidP="00FA1A7B">
      <w:pPr>
        <w:tabs>
          <w:tab w:val="left" w:pos="425"/>
        </w:tabs>
        <w:spacing w:before="60" w:line="180" w:lineRule="auto"/>
        <w:rPr>
          <w:sz w:val="18"/>
          <w:szCs w:val="24"/>
          <w:rtl/>
          <w:lang w:val="fr-CH" w:bidi="ar-EG"/>
        </w:rPr>
      </w:pPr>
      <w:r w:rsidRPr="003D5F11">
        <w:rPr>
          <w:rFonts w:hint="cs"/>
          <w:sz w:val="18"/>
          <w:szCs w:val="24"/>
          <w:rtl/>
          <w:lang w:bidi="ar-EG"/>
        </w:rPr>
        <w:t>-</w:t>
      </w:r>
      <w:r w:rsidRPr="003D5F11">
        <w:rPr>
          <w:rFonts w:hint="cs"/>
          <w:sz w:val="18"/>
          <w:szCs w:val="24"/>
          <w:rtl/>
          <w:lang w:bidi="ar-EG"/>
        </w:rPr>
        <w:tab/>
      </w:r>
      <w:r w:rsidRPr="003D5F11">
        <w:rPr>
          <w:sz w:val="18"/>
          <w:szCs w:val="24"/>
          <w:rtl/>
          <w:lang w:bidi="ar-EG"/>
        </w:rPr>
        <w:t>إدارات الدول الأعضاء</w:t>
      </w:r>
      <w:r w:rsidRPr="003D5F11">
        <w:rPr>
          <w:rFonts w:hint="cs"/>
          <w:sz w:val="18"/>
          <w:szCs w:val="24"/>
          <w:rtl/>
          <w:lang w:bidi="ar-EG"/>
        </w:rPr>
        <w:t xml:space="preserve"> في الاتحاد</w:t>
      </w:r>
      <w:r w:rsidRPr="003D5F11">
        <w:rPr>
          <w:sz w:val="18"/>
          <w:szCs w:val="24"/>
          <w:rtl/>
          <w:lang w:bidi="ar-EG"/>
        </w:rPr>
        <w:t xml:space="preserve"> وأعضاء قطاع الاتصالات الراديوية</w:t>
      </w:r>
      <w:r w:rsidRPr="003D5F11">
        <w:rPr>
          <w:rFonts w:hint="cs"/>
          <w:sz w:val="18"/>
          <w:szCs w:val="24"/>
          <w:rtl/>
          <w:lang w:bidi="ar-EG"/>
        </w:rPr>
        <w:t xml:space="preserve"> المشاركون في أعمال لجنة الدراسات </w:t>
      </w:r>
      <w:r w:rsidR="003D3507" w:rsidRPr="003D5F11">
        <w:rPr>
          <w:sz w:val="18"/>
          <w:szCs w:val="24"/>
          <w:lang w:val="fr-CH" w:bidi="ar-EG"/>
        </w:rPr>
        <w:t>3</w:t>
      </w:r>
      <w:r w:rsidRPr="003D5F11">
        <w:rPr>
          <w:rFonts w:hint="cs"/>
          <w:sz w:val="18"/>
          <w:szCs w:val="24"/>
          <w:rtl/>
          <w:lang w:bidi="ar-EG"/>
        </w:rPr>
        <w:t xml:space="preserve"> للاتصالات الراديوية</w:t>
      </w:r>
    </w:p>
    <w:p w:rsidR="00317A5B" w:rsidRPr="003D5F11" w:rsidRDefault="00317A5B" w:rsidP="00FA1A7B">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r>
      <w:r w:rsidRPr="003D5F11">
        <w:rPr>
          <w:rFonts w:hint="cs"/>
          <w:sz w:val="18"/>
          <w:szCs w:val="24"/>
          <w:rtl/>
          <w:lang w:bidi="ar-EG"/>
        </w:rPr>
        <w:t>المنتسبون</w:t>
      </w:r>
      <w:r w:rsidRPr="003D5F11">
        <w:rPr>
          <w:sz w:val="18"/>
          <w:szCs w:val="24"/>
          <w:rtl/>
          <w:lang w:bidi="ar-EG"/>
        </w:rPr>
        <w:t xml:space="preserve"> إلى قطاع الاتصالات الراديوية </w:t>
      </w:r>
      <w:r w:rsidRPr="003D5F11">
        <w:rPr>
          <w:rFonts w:hint="cs"/>
          <w:sz w:val="18"/>
          <w:szCs w:val="24"/>
          <w:rtl/>
          <w:lang w:bidi="ar-EG"/>
        </w:rPr>
        <w:t>المشاركون</w:t>
      </w:r>
      <w:r w:rsidRPr="003D5F11">
        <w:rPr>
          <w:sz w:val="18"/>
          <w:szCs w:val="24"/>
          <w:rtl/>
          <w:lang w:bidi="ar-EG"/>
        </w:rPr>
        <w:t xml:space="preserve"> في </w:t>
      </w:r>
      <w:r w:rsidRPr="003D5F11">
        <w:rPr>
          <w:rFonts w:hint="cs"/>
          <w:sz w:val="18"/>
          <w:szCs w:val="24"/>
          <w:rtl/>
          <w:lang w:bidi="ar-EG"/>
        </w:rPr>
        <w:t>أعمال</w:t>
      </w:r>
      <w:r w:rsidRPr="003D5F11">
        <w:rPr>
          <w:sz w:val="18"/>
          <w:szCs w:val="24"/>
          <w:rtl/>
          <w:lang w:bidi="ar-EG"/>
        </w:rPr>
        <w:t xml:space="preserve"> </w:t>
      </w:r>
      <w:r w:rsidRPr="003D5F11">
        <w:rPr>
          <w:rFonts w:hint="cs"/>
          <w:sz w:val="18"/>
          <w:szCs w:val="24"/>
          <w:rtl/>
          <w:lang w:bidi="ar-EG"/>
        </w:rPr>
        <w:t>لجنة</w:t>
      </w:r>
      <w:r w:rsidRPr="003D5F11">
        <w:rPr>
          <w:sz w:val="18"/>
          <w:szCs w:val="24"/>
          <w:rtl/>
          <w:lang w:bidi="ar-EG"/>
        </w:rPr>
        <w:t xml:space="preserve"> الدراسات </w:t>
      </w:r>
      <w:r w:rsidR="003D3507" w:rsidRPr="003D5F11">
        <w:rPr>
          <w:sz w:val="18"/>
          <w:szCs w:val="24"/>
          <w:lang w:bidi="ar-EG"/>
        </w:rPr>
        <w:t>3</w:t>
      </w:r>
      <w:r w:rsidRPr="003D5F11">
        <w:rPr>
          <w:sz w:val="18"/>
          <w:szCs w:val="24"/>
          <w:rtl/>
          <w:lang w:bidi="ar-EG"/>
        </w:rPr>
        <w:t xml:space="preserve"> للاتصالات الراديوية</w:t>
      </w:r>
    </w:p>
    <w:p w:rsidR="00317A5B" w:rsidRPr="003D5F11" w:rsidRDefault="00317A5B" w:rsidP="00FA1A7B">
      <w:pPr>
        <w:tabs>
          <w:tab w:val="left" w:pos="425"/>
        </w:tabs>
        <w:spacing w:before="0" w:line="180" w:lineRule="auto"/>
        <w:rPr>
          <w:sz w:val="18"/>
          <w:szCs w:val="24"/>
          <w:rtl/>
          <w:lang w:bidi="ar-EG"/>
        </w:rPr>
      </w:pPr>
      <w:r w:rsidRPr="003D5F11">
        <w:rPr>
          <w:rFonts w:hint="cs"/>
          <w:sz w:val="18"/>
          <w:szCs w:val="24"/>
          <w:rtl/>
          <w:lang w:bidi="ar-EG"/>
        </w:rPr>
        <w:t>-</w:t>
      </w:r>
      <w:r w:rsidRPr="003D5F11">
        <w:rPr>
          <w:rFonts w:hint="cs"/>
          <w:sz w:val="18"/>
          <w:szCs w:val="24"/>
          <w:rtl/>
          <w:lang w:bidi="ar-EG"/>
        </w:rPr>
        <w:tab/>
      </w:r>
      <w:r w:rsidRPr="003D5F11">
        <w:rPr>
          <w:rFonts w:hint="cs"/>
          <w:sz w:val="18"/>
          <w:szCs w:val="24"/>
          <w:rtl/>
        </w:rPr>
        <w:t>الهيئات الأكاديمية المنضمة إلى الاتحاد</w:t>
      </w:r>
    </w:p>
    <w:p w:rsidR="00317A5B" w:rsidRPr="003D5F11" w:rsidRDefault="00317A5B" w:rsidP="00FA1A7B">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رؤساء </w:t>
      </w:r>
      <w:r w:rsidRPr="003D5F11">
        <w:rPr>
          <w:rFonts w:hint="cs"/>
          <w:sz w:val="18"/>
          <w:szCs w:val="24"/>
          <w:rtl/>
          <w:lang w:bidi="ar-EG"/>
        </w:rPr>
        <w:t>لجان</w:t>
      </w:r>
      <w:r w:rsidRPr="003D5F11">
        <w:rPr>
          <w:sz w:val="18"/>
          <w:szCs w:val="24"/>
          <w:rtl/>
          <w:lang w:bidi="ar-EG"/>
        </w:rPr>
        <w:t xml:space="preserve"> دراسات الاتصالات الراديوية ونوابهم</w:t>
      </w:r>
    </w:p>
    <w:p w:rsidR="00317A5B" w:rsidRPr="003D5F11" w:rsidRDefault="00317A5B" w:rsidP="00FA1A7B">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رئيس الاجتماع التحضيري </w:t>
      </w:r>
      <w:r w:rsidRPr="003D5F11">
        <w:rPr>
          <w:rFonts w:hint="cs"/>
          <w:sz w:val="18"/>
          <w:szCs w:val="24"/>
          <w:rtl/>
          <w:lang w:bidi="ar-EG"/>
        </w:rPr>
        <w:t>للمؤتمر</w:t>
      </w:r>
      <w:r w:rsidRPr="003D5F11">
        <w:rPr>
          <w:sz w:val="18"/>
          <w:szCs w:val="24"/>
          <w:rtl/>
          <w:lang w:bidi="ar-EG"/>
        </w:rPr>
        <w:t xml:space="preserve"> ونوابه</w:t>
      </w:r>
    </w:p>
    <w:p w:rsidR="00317A5B" w:rsidRPr="003D5F11" w:rsidRDefault="00317A5B" w:rsidP="00FA1A7B">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أعضاء </w:t>
      </w:r>
      <w:r w:rsidRPr="003D5F11">
        <w:rPr>
          <w:rFonts w:hint="cs"/>
          <w:sz w:val="18"/>
          <w:szCs w:val="24"/>
          <w:rtl/>
          <w:lang w:bidi="ar-EG"/>
        </w:rPr>
        <w:t>لجنة</w:t>
      </w:r>
      <w:r w:rsidRPr="003D5F11">
        <w:rPr>
          <w:sz w:val="18"/>
          <w:szCs w:val="24"/>
          <w:rtl/>
          <w:lang w:bidi="ar-EG"/>
        </w:rPr>
        <w:t xml:space="preserve"> لوائح الراديو</w:t>
      </w:r>
    </w:p>
    <w:p w:rsidR="00317A5B" w:rsidRPr="003D5F11" w:rsidRDefault="00317A5B" w:rsidP="00FA1A7B">
      <w:pPr>
        <w:tabs>
          <w:tab w:val="left" w:pos="425"/>
        </w:tabs>
        <w:spacing w:before="0" w:line="180" w:lineRule="auto"/>
        <w:rPr>
          <w:sz w:val="18"/>
          <w:szCs w:val="24"/>
          <w:rtl/>
          <w:lang w:bidi="ar-EG"/>
        </w:rPr>
      </w:pPr>
      <w:r w:rsidRPr="003D5F11">
        <w:rPr>
          <w:sz w:val="18"/>
          <w:szCs w:val="24"/>
          <w:rtl/>
          <w:lang w:bidi="ar-EG"/>
        </w:rPr>
        <w:t>-</w:t>
      </w:r>
      <w:r w:rsidRPr="003D5F11">
        <w:rPr>
          <w:sz w:val="18"/>
          <w:szCs w:val="24"/>
          <w:rtl/>
          <w:lang w:bidi="ar-EG"/>
        </w:rPr>
        <w:tab/>
        <w:t xml:space="preserve">الأمين العام </w:t>
      </w:r>
      <w:r w:rsidRPr="003D5F11">
        <w:rPr>
          <w:rFonts w:hint="cs"/>
          <w:sz w:val="18"/>
          <w:szCs w:val="24"/>
          <w:rtl/>
          <w:lang w:bidi="ar-EG"/>
        </w:rPr>
        <w:t>للاتحاد</w:t>
      </w:r>
      <w:r w:rsidRPr="003D5F11">
        <w:rPr>
          <w:sz w:val="18"/>
          <w:szCs w:val="24"/>
          <w:rtl/>
          <w:lang w:bidi="ar-EG"/>
        </w:rPr>
        <w:t xml:space="preserve"> ومدير مكتب تقييس الاتصالات ومدير</w:t>
      </w:r>
      <w:r w:rsidR="00766211">
        <w:rPr>
          <w:rFonts w:hint="cs"/>
          <w:sz w:val="18"/>
          <w:szCs w:val="24"/>
          <w:rtl/>
          <w:lang w:bidi="ar-EG"/>
        </w:rPr>
        <w:t>ة</w:t>
      </w:r>
      <w:r w:rsidRPr="003D5F11">
        <w:rPr>
          <w:sz w:val="18"/>
          <w:szCs w:val="24"/>
          <w:rtl/>
          <w:lang w:bidi="ar-EG"/>
        </w:rPr>
        <w:t xml:space="preserve"> مكتب تنمية الاتصالات</w:t>
      </w:r>
    </w:p>
    <w:p w:rsidR="00317A5B" w:rsidRPr="003D5F11" w:rsidRDefault="00317A5B" w:rsidP="00317A5B">
      <w:pPr>
        <w:tabs>
          <w:tab w:val="left" w:pos="425"/>
        </w:tabs>
        <w:spacing w:before="0" w:line="168" w:lineRule="auto"/>
        <w:rPr>
          <w:rtl/>
        </w:rPr>
      </w:pPr>
      <w:r w:rsidRPr="003D5F11">
        <w:rPr>
          <w:rtl/>
        </w:rPr>
        <w:br w:type="page"/>
      </w:r>
    </w:p>
    <w:p w:rsidR="00317A5B" w:rsidRPr="003D5F11" w:rsidRDefault="00317A5B" w:rsidP="0096253C">
      <w:pPr>
        <w:pStyle w:val="AnnexNo0"/>
        <w:rPr>
          <w:rtl/>
        </w:rPr>
      </w:pPr>
      <w:r w:rsidRPr="003D5F11">
        <w:rPr>
          <w:rFonts w:hint="cs"/>
          <w:rtl/>
        </w:rPr>
        <w:lastRenderedPageBreak/>
        <w:t>الملحق</w:t>
      </w:r>
    </w:p>
    <w:p w:rsidR="00317A5B" w:rsidRPr="003D5F11" w:rsidRDefault="00317A5B" w:rsidP="003D3507">
      <w:pPr>
        <w:pStyle w:val="Annextitle0"/>
        <w:rPr>
          <w:rtl/>
          <w:lang w:bidi="ar-EG"/>
        </w:rPr>
      </w:pPr>
      <w:r w:rsidRPr="003D5F11">
        <w:rPr>
          <w:rFonts w:hint="cs"/>
          <w:rtl/>
        </w:rPr>
        <w:t>عناوين وملخصات مشاريع التوصيات التي اعتمدتها</w:t>
      </w:r>
      <w:r w:rsidRPr="003D5F11">
        <w:rPr>
          <w:rtl/>
        </w:rPr>
        <w:br/>
      </w:r>
      <w:r w:rsidRPr="003D5F11">
        <w:rPr>
          <w:rFonts w:hint="cs"/>
          <w:rtl/>
        </w:rPr>
        <w:t xml:space="preserve">لجنة الدراسات </w:t>
      </w:r>
      <w:r w:rsidR="003D3507" w:rsidRPr="003D5F11">
        <w:t>3</w:t>
      </w:r>
      <w:r w:rsidRPr="003D5F11">
        <w:rPr>
          <w:rFonts w:hint="cs"/>
          <w:rtl/>
          <w:lang w:bidi="ar-EG"/>
        </w:rPr>
        <w:t xml:space="preserve"> للاتصالات الراديوية</w:t>
      </w:r>
    </w:p>
    <w:p w:rsidR="00317A5B" w:rsidRPr="003D5F11" w:rsidRDefault="0096253C" w:rsidP="00B200E9">
      <w:pPr>
        <w:tabs>
          <w:tab w:val="right" w:pos="9639"/>
        </w:tabs>
        <w:spacing w:before="480"/>
        <w:rPr>
          <w:rtl/>
        </w:rPr>
      </w:pPr>
      <w:r w:rsidRPr="003D5F11">
        <w:rPr>
          <w:rFonts w:hint="cs"/>
          <w:u w:val="single"/>
          <w:rtl/>
          <w:lang w:bidi="ar-EG"/>
        </w:rPr>
        <w:t>مشروع مراجعة</w:t>
      </w:r>
      <w:r w:rsidRPr="003D5F11">
        <w:rPr>
          <w:u w:val="single"/>
          <w:rtl/>
        </w:rPr>
        <w:t xml:space="preserve"> </w:t>
      </w:r>
      <w:r w:rsidRPr="003D5F11">
        <w:rPr>
          <w:rFonts w:hint="cs"/>
          <w:u w:val="single"/>
          <w:rtl/>
        </w:rPr>
        <w:t>التوصية</w:t>
      </w:r>
      <w:r w:rsidRPr="003D5F11">
        <w:rPr>
          <w:u w:val="single"/>
          <w:rtl/>
        </w:rPr>
        <w:t xml:space="preserve"> </w:t>
      </w:r>
      <w:r w:rsidRPr="003D5F11">
        <w:rPr>
          <w:u w:val="single"/>
        </w:rPr>
        <w:t>ITU-R</w:t>
      </w:r>
      <w:r w:rsidR="00B200E9">
        <w:rPr>
          <w:u w:val="single"/>
        </w:rPr>
        <w:t> </w:t>
      </w:r>
      <w:r w:rsidRPr="003D5F11">
        <w:rPr>
          <w:u w:val="single"/>
        </w:rPr>
        <w:t>P.533-13</w:t>
      </w:r>
      <w:r w:rsidR="00317A5B" w:rsidRPr="003D5F11">
        <w:rPr>
          <w:rFonts w:hint="cs"/>
          <w:rtl/>
        </w:rPr>
        <w:tab/>
        <w:t>الوثيقة </w:t>
      </w:r>
      <w:r w:rsidRPr="003D5F11">
        <w:t>3/93</w:t>
      </w:r>
    </w:p>
    <w:p w:rsidR="00317A5B" w:rsidRPr="003D5F11" w:rsidRDefault="0096253C" w:rsidP="00AA7356">
      <w:pPr>
        <w:pStyle w:val="Rectitle"/>
        <w:spacing w:before="360"/>
        <w:rPr>
          <w:rtl/>
          <w:lang w:bidi="ar-EG"/>
        </w:rPr>
      </w:pPr>
      <w:r w:rsidRPr="003D5F11">
        <w:rPr>
          <w:rFonts w:hint="cs"/>
          <w:rtl/>
        </w:rPr>
        <w:t xml:space="preserve">طريقة التنبؤ بأداء الدارات العاملة بالموجات الديكامترية </w:t>
      </w:r>
      <w:r w:rsidRPr="003D5F11">
        <w:t>(HF)</w:t>
      </w:r>
    </w:p>
    <w:p w:rsidR="00317A5B" w:rsidRPr="003D5F11" w:rsidRDefault="0096253C" w:rsidP="008B2697">
      <w:pPr>
        <w:rPr>
          <w:rtl/>
          <w:lang w:bidi="ar-EG"/>
        </w:rPr>
      </w:pPr>
      <w:r w:rsidRPr="003D5F11">
        <w:rPr>
          <w:rFonts w:hint="cs"/>
          <w:rtl/>
          <w:lang w:bidi="ar-EG"/>
        </w:rPr>
        <w:t>ت</w:t>
      </w:r>
      <w:r w:rsidR="00B200E9">
        <w:rPr>
          <w:rFonts w:hint="cs"/>
          <w:rtl/>
          <w:lang w:bidi="ar-EG"/>
        </w:rPr>
        <w:t>ُ</w:t>
      </w:r>
      <w:r w:rsidRPr="003D5F11">
        <w:rPr>
          <w:rFonts w:hint="cs"/>
          <w:rtl/>
          <w:lang w:bidi="ar-EG"/>
        </w:rPr>
        <w:t>قترح تعديلات طفيفة لتحسين النمذجة للخسارة فوق أقصى تردد مستعمل ولتصويب المعادلات في الاحتمالات الشهرية.</w:t>
      </w:r>
    </w:p>
    <w:p w:rsidR="0096253C" w:rsidRPr="003D5F11" w:rsidRDefault="0096253C" w:rsidP="009B37AB">
      <w:pPr>
        <w:tabs>
          <w:tab w:val="right" w:pos="9639"/>
        </w:tabs>
        <w:spacing w:before="360"/>
        <w:rPr>
          <w:rtl/>
        </w:rPr>
      </w:pPr>
      <w:r w:rsidRPr="003D5F11">
        <w:rPr>
          <w:rFonts w:hint="cs"/>
          <w:u w:val="single"/>
          <w:rtl/>
          <w:lang w:bidi="ar-EG"/>
        </w:rPr>
        <w:t>مشروع مراجعة</w:t>
      </w:r>
      <w:r w:rsidRPr="003D5F11">
        <w:rPr>
          <w:u w:val="single"/>
          <w:rtl/>
        </w:rPr>
        <w:t xml:space="preserve"> </w:t>
      </w:r>
      <w:r w:rsidRPr="003D5F11">
        <w:rPr>
          <w:rFonts w:hint="cs"/>
          <w:u w:val="single"/>
          <w:rtl/>
        </w:rPr>
        <w:t>التوصية</w:t>
      </w:r>
      <w:r w:rsidRPr="003D5F11">
        <w:rPr>
          <w:u w:val="single"/>
          <w:rtl/>
        </w:rPr>
        <w:t xml:space="preserve"> </w:t>
      </w:r>
      <w:r w:rsidRPr="003D5F11">
        <w:rPr>
          <w:u w:val="single"/>
        </w:rPr>
        <w:t>ITU-R</w:t>
      </w:r>
      <w:r w:rsidR="009B37AB">
        <w:rPr>
          <w:u w:val="single"/>
        </w:rPr>
        <w:t> </w:t>
      </w:r>
      <w:r w:rsidRPr="003D5F11">
        <w:rPr>
          <w:u w:val="single"/>
        </w:rPr>
        <w:t>P.372-13</w:t>
      </w:r>
      <w:r w:rsidRPr="003D5F11">
        <w:rPr>
          <w:rFonts w:hint="cs"/>
          <w:rtl/>
        </w:rPr>
        <w:tab/>
        <w:t>الوثيقة </w:t>
      </w:r>
      <w:r w:rsidRPr="003D5F11">
        <w:t>3/94(Rev.1)</w:t>
      </w:r>
    </w:p>
    <w:p w:rsidR="0096253C" w:rsidRPr="003D5F11" w:rsidRDefault="0096253C" w:rsidP="00AA7356">
      <w:pPr>
        <w:pStyle w:val="Rectitle"/>
        <w:spacing w:before="360"/>
        <w:rPr>
          <w:rtl/>
          <w:lang w:bidi="ar-EG"/>
        </w:rPr>
      </w:pPr>
      <w:bookmarkStart w:id="0" w:name="_Toc490472179"/>
      <w:r w:rsidRPr="003D5F11">
        <w:rPr>
          <w:rFonts w:hint="cs"/>
          <w:rtl/>
        </w:rPr>
        <w:t>الضوضاء الراديوية</w:t>
      </w:r>
      <w:bookmarkEnd w:id="0"/>
    </w:p>
    <w:p w:rsidR="008B7FF3" w:rsidRPr="003D5F11" w:rsidRDefault="008B7FF3" w:rsidP="008B2697">
      <w:pPr>
        <w:rPr>
          <w:rtl/>
          <w:lang w:bidi="ar-EG"/>
        </w:rPr>
      </w:pPr>
      <w:r w:rsidRPr="003D5F11">
        <w:rPr>
          <w:rFonts w:hint="cs"/>
          <w:rtl/>
          <w:lang w:bidi="ar-EG"/>
        </w:rPr>
        <w:t xml:space="preserve">لا </w:t>
      </w:r>
      <w:r w:rsidR="008B2697">
        <w:rPr>
          <w:rFonts w:hint="cs"/>
          <w:rtl/>
          <w:lang w:bidi="ar-EG"/>
        </w:rPr>
        <w:t>يتضمن</w:t>
      </w:r>
      <w:r w:rsidRPr="003D5F11">
        <w:rPr>
          <w:rtl/>
          <w:lang w:bidi="ar-EG"/>
        </w:rPr>
        <w:t xml:space="preserve"> مشروع المراجعة هذا </w:t>
      </w:r>
      <w:r w:rsidRPr="003D5F11">
        <w:rPr>
          <w:rFonts w:hint="cs"/>
          <w:rtl/>
          <w:lang w:bidi="ar-EG"/>
        </w:rPr>
        <w:t>تعديلات</w:t>
      </w:r>
      <w:r w:rsidRPr="003D5F11">
        <w:rPr>
          <w:rtl/>
          <w:lang w:bidi="ar-EG"/>
        </w:rPr>
        <w:t xml:space="preserve"> جوهرية على المعلومات الموصى بها ولكنه يقترح تقسيم النص إلى عدة أجزاء </w:t>
      </w:r>
      <w:r w:rsidR="008B2697">
        <w:rPr>
          <w:rFonts w:hint="cs"/>
          <w:rtl/>
          <w:lang w:bidi="ar-EG"/>
        </w:rPr>
        <w:t>منفصلة</w:t>
      </w:r>
      <w:r w:rsidRPr="003D5F11">
        <w:rPr>
          <w:rtl/>
          <w:lang w:bidi="ar-EG"/>
        </w:rPr>
        <w:t xml:space="preserve"> </w:t>
      </w:r>
      <w:r w:rsidRPr="003D5F11">
        <w:rPr>
          <w:rFonts w:hint="cs"/>
          <w:rtl/>
          <w:lang w:bidi="ar-EG"/>
        </w:rPr>
        <w:t>لتسهيل</w:t>
      </w:r>
      <w:r w:rsidRPr="003D5F11">
        <w:rPr>
          <w:rtl/>
          <w:lang w:bidi="ar-EG"/>
        </w:rPr>
        <w:t xml:space="preserve"> </w:t>
      </w:r>
      <w:r w:rsidRPr="003D5F11">
        <w:rPr>
          <w:rFonts w:hint="cs"/>
          <w:rtl/>
          <w:lang w:bidi="ar-EG"/>
        </w:rPr>
        <w:t>استعماله</w:t>
      </w:r>
      <w:r w:rsidRPr="003D5F11">
        <w:rPr>
          <w:rtl/>
          <w:lang w:bidi="ar-EG"/>
        </w:rPr>
        <w:t xml:space="preserve">. </w:t>
      </w:r>
      <w:r w:rsidR="000150B6" w:rsidRPr="003D5F11">
        <w:rPr>
          <w:rFonts w:hint="cs"/>
          <w:rtl/>
          <w:lang w:bidi="ar-EG"/>
        </w:rPr>
        <w:t>ف</w:t>
      </w:r>
      <w:r w:rsidRPr="003D5F11">
        <w:rPr>
          <w:rtl/>
          <w:lang w:bidi="ar-EG"/>
        </w:rPr>
        <w:t>بعد</w:t>
      </w:r>
      <w:r w:rsidR="000150B6" w:rsidRPr="003D5F11">
        <w:rPr>
          <w:rFonts w:hint="cs"/>
          <w:rtl/>
          <w:lang w:bidi="ar-EG"/>
        </w:rPr>
        <w:t xml:space="preserve"> التمهيد</w:t>
      </w:r>
      <w:r w:rsidRPr="003D5F11">
        <w:rPr>
          <w:rtl/>
          <w:lang w:bidi="ar-EG"/>
        </w:rPr>
        <w:t xml:space="preserve"> </w:t>
      </w:r>
      <w:r w:rsidR="000150B6" w:rsidRPr="003D5F11">
        <w:rPr>
          <w:rFonts w:hint="cs"/>
          <w:rtl/>
          <w:lang w:bidi="ar-EG"/>
        </w:rPr>
        <w:t>ب</w:t>
      </w:r>
      <w:r w:rsidR="000150B6" w:rsidRPr="003D5F11">
        <w:rPr>
          <w:rtl/>
          <w:lang w:bidi="ar-EG"/>
        </w:rPr>
        <w:t>جزء عام</w:t>
      </w:r>
      <w:r w:rsidR="000150B6" w:rsidRPr="003D5F11">
        <w:rPr>
          <w:rFonts w:hint="cs"/>
          <w:rtl/>
          <w:lang w:bidi="ar-EG"/>
        </w:rPr>
        <w:t xml:space="preserve"> </w:t>
      </w:r>
      <w:r w:rsidR="008B2697">
        <w:rPr>
          <w:rFonts w:hint="cs"/>
          <w:rtl/>
          <w:lang w:bidi="ar-EG"/>
        </w:rPr>
        <w:t>أضيفت فيه</w:t>
      </w:r>
      <w:r w:rsidR="000150B6" w:rsidRPr="003D5F11">
        <w:rPr>
          <w:rFonts w:hint="cs"/>
          <w:rtl/>
          <w:lang w:bidi="ar-EG"/>
        </w:rPr>
        <w:t xml:space="preserve"> </w:t>
      </w:r>
      <w:r w:rsidRPr="003D5F11">
        <w:rPr>
          <w:rtl/>
          <w:lang w:bidi="ar-EG"/>
        </w:rPr>
        <w:t xml:space="preserve">بعض </w:t>
      </w:r>
      <w:r w:rsidR="000150B6" w:rsidRPr="003D5F11">
        <w:rPr>
          <w:rFonts w:hint="cs"/>
          <w:rtl/>
          <w:lang w:bidi="ar-EG"/>
        </w:rPr>
        <w:t xml:space="preserve">العبارات </w:t>
      </w:r>
      <w:r w:rsidR="008B2697">
        <w:rPr>
          <w:rFonts w:hint="cs"/>
          <w:rtl/>
          <w:lang w:bidi="ar-EG"/>
        </w:rPr>
        <w:t>المقترحة</w:t>
      </w:r>
      <w:r w:rsidR="000150B6" w:rsidRPr="003D5F11">
        <w:rPr>
          <w:rFonts w:hint="cs"/>
          <w:rtl/>
          <w:lang w:bidi="ar-EG"/>
        </w:rPr>
        <w:t xml:space="preserve"> </w:t>
      </w:r>
      <w:r w:rsidRPr="003D5F11">
        <w:rPr>
          <w:rtl/>
          <w:lang w:bidi="ar-EG"/>
        </w:rPr>
        <w:t xml:space="preserve">لتوضيح محتوى </w:t>
      </w:r>
      <w:r w:rsidR="000150B6" w:rsidRPr="003D5F11">
        <w:rPr>
          <w:rtl/>
          <w:lang w:bidi="ar-EG"/>
        </w:rPr>
        <w:t>التوصية</w:t>
      </w:r>
      <w:r w:rsidR="00A379CF" w:rsidRPr="003D5F11">
        <w:rPr>
          <w:rtl/>
        </w:rPr>
        <w:t xml:space="preserve"> </w:t>
      </w:r>
      <w:r w:rsidR="00A379CF" w:rsidRPr="003D5F11">
        <w:rPr>
          <w:rtl/>
          <w:lang w:bidi="ar-EG"/>
        </w:rPr>
        <w:t>ونطاق</w:t>
      </w:r>
      <w:r w:rsidR="00A379CF" w:rsidRPr="003D5F11">
        <w:rPr>
          <w:rFonts w:hint="cs"/>
          <w:rtl/>
          <w:lang w:bidi="ar-EG"/>
        </w:rPr>
        <w:t>ها</w:t>
      </w:r>
      <w:r w:rsidRPr="003D5F11">
        <w:rPr>
          <w:rtl/>
          <w:lang w:bidi="ar-EG"/>
        </w:rPr>
        <w:t xml:space="preserve">، </w:t>
      </w:r>
      <w:r w:rsidR="00E352CF" w:rsidRPr="003D5F11">
        <w:rPr>
          <w:rFonts w:hint="cs"/>
          <w:rtl/>
          <w:lang w:bidi="ar-EG"/>
        </w:rPr>
        <w:t>تتناول</w:t>
      </w:r>
      <w:r w:rsidRPr="003D5F11">
        <w:rPr>
          <w:rtl/>
          <w:lang w:bidi="ar-EG"/>
        </w:rPr>
        <w:t xml:space="preserve"> الأجزاء </w:t>
      </w:r>
      <w:r w:rsidR="00E352CF" w:rsidRPr="003D5F11">
        <w:rPr>
          <w:rFonts w:hint="cs"/>
          <w:rtl/>
          <w:lang w:bidi="ar-EG"/>
        </w:rPr>
        <w:t>الأخرى</w:t>
      </w:r>
      <w:r w:rsidR="00E352CF" w:rsidRPr="003D5F11">
        <w:rPr>
          <w:rtl/>
          <w:lang w:bidi="ar-EG"/>
        </w:rPr>
        <w:t xml:space="preserve"> الضوضاء الراديوية الطبيعية</w:t>
      </w:r>
      <w:r w:rsidRPr="003D5F11">
        <w:rPr>
          <w:rtl/>
          <w:lang w:bidi="ar-EG"/>
        </w:rPr>
        <w:t>،</w:t>
      </w:r>
      <w:r w:rsidR="00E352CF" w:rsidRPr="003D5F11">
        <w:rPr>
          <w:rtl/>
          <w:lang w:bidi="ar-EG"/>
        </w:rPr>
        <w:t xml:space="preserve"> </w:t>
      </w:r>
      <w:r w:rsidR="00E352CF" w:rsidRPr="003D5F11">
        <w:rPr>
          <w:rFonts w:hint="cs"/>
          <w:rtl/>
          <w:lang w:bidi="ar-EG"/>
        </w:rPr>
        <w:t xml:space="preserve">بتصنيفها </w:t>
      </w:r>
      <w:r w:rsidR="007E683A">
        <w:rPr>
          <w:rtl/>
          <w:lang w:bidi="ar-EG"/>
        </w:rPr>
        <w:t>تقريب</w:t>
      </w:r>
      <w:r w:rsidR="007E683A">
        <w:rPr>
          <w:rFonts w:hint="cs"/>
          <w:rtl/>
          <w:lang w:bidi="ar-EG"/>
        </w:rPr>
        <w:t>اً</w:t>
      </w:r>
      <w:r w:rsidR="00E352CF" w:rsidRPr="003D5F11">
        <w:rPr>
          <w:rtl/>
          <w:lang w:bidi="ar-EG"/>
        </w:rPr>
        <w:t xml:space="preserve"> </w:t>
      </w:r>
      <w:r w:rsidR="00E352CF" w:rsidRPr="003D5F11">
        <w:rPr>
          <w:rFonts w:hint="cs"/>
          <w:rtl/>
          <w:lang w:bidi="ar-EG"/>
        </w:rPr>
        <w:t>حسب ال</w:t>
      </w:r>
      <w:r w:rsidR="00E352CF" w:rsidRPr="003D5F11">
        <w:rPr>
          <w:rtl/>
          <w:lang w:bidi="ar-EG"/>
        </w:rPr>
        <w:t>ترتيب التنازلي</w:t>
      </w:r>
      <w:r w:rsidR="00E352CF" w:rsidRPr="003D5F11">
        <w:rPr>
          <w:rFonts w:hint="cs"/>
          <w:rtl/>
          <w:lang w:bidi="ar-EG"/>
        </w:rPr>
        <w:t xml:space="preserve"> للترددات</w:t>
      </w:r>
      <w:r w:rsidRPr="003D5F11">
        <w:rPr>
          <w:rtl/>
          <w:lang w:bidi="ar-EG"/>
        </w:rPr>
        <w:t xml:space="preserve">، </w:t>
      </w:r>
      <w:r w:rsidR="008B2697">
        <w:rPr>
          <w:rFonts w:hint="cs"/>
          <w:rtl/>
          <w:lang w:bidi="ar-EG"/>
        </w:rPr>
        <w:t>ثم</w:t>
      </w:r>
      <w:r w:rsidRPr="003D5F11">
        <w:rPr>
          <w:rtl/>
          <w:lang w:bidi="ar-EG"/>
        </w:rPr>
        <w:t xml:space="preserve"> الضوضاء </w:t>
      </w:r>
      <w:r w:rsidR="002C2BF8" w:rsidRPr="003D5F11">
        <w:rPr>
          <w:rFonts w:hint="cs"/>
          <w:rtl/>
          <w:lang w:bidi="ar-EG"/>
        </w:rPr>
        <w:t>الاصطناعية</w:t>
      </w:r>
      <w:r w:rsidRPr="003D5F11">
        <w:rPr>
          <w:rtl/>
          <w:lang w:bidi="ar-EG"/>
        </w:rPr>
        <w:t>، وأخيرا</w:t>
      </w:r>
      <w:r w:rsidR="008256DA">
        <w:rPr>
          <w:rFonts w:hint="cs"/>
          <w:rtl/>
          <w:lang w:bidi="ar-EG"/>
        </w:rPr>
        <w:t>ً</w:t>
      </w:r>
      <w:r w:rsidRPr="003D5F11">
        <w:rPr>
          <w:rtl/>
          <w:lang w:bidi="ar-EG"/>
        </w:rPr>
        <w:t xml:space="preserve"> </w:t>
      </w:r>
      <w:r w:rsidR="00981C3D" w:rsidRPr="003D5F11">
        <w:rPr>
          <w:rFonts w:hint="cs"/>
          <w:rtl/>
          <w:lang w:bidi="ar-EG"/>
        </w:rPr>
        <w:t>الطريقة</w:t>
      </w:r>
      <w:r w:rsidR="00E352CF" w:rsidRPr="003D5F11">
        <w:rPr>
          <w:rtl/>
          <w:lang w:bidi="ar-EG"/>
        </w:rPr>
        <w:t xml:space="preserve"> المناسب</w:t>
      </w:r>
      <w:r w:rsidR="00981C3D" w:rsidRPr="003D5F11">
        <w:rPr>
          <w:rFonts w:hint="cs"/>
          <w:rtl/>
          <w:lang w:bidi="ar-EG"/>
        </w:rPr>
        <w:t>ة</w:t>
      </w:r>
      <w:r w:rsidRPr="003D5F11">
        <w:rPr>
          <w:rtl/>
          <w:lang w:bidi="ar-EG"/>
        </w:rPr>
        <w:t xml:space="preserve"> لدمج </w:t>
      </w:r>
      <w:r w:rsidR="008B2697">
        <w:rPr>
          <w:rFonts w:hint="cs"/>
          <w:rtl/>
          <w:lang w:bidi="ar-EG"/>
        </w:rPr>
        <w:t>نتائج الضوضاء الناجمة</w:t>
      </w:r>
      <w:r w:rsidR="00E352CF" w:rsidRPr="003D5F11">
        <w:rPr>
          <w:rFonts w:hint="cs"/>
          <w:rtl/>
          <w:lang w:bidi="ar-EG"/>
        </w:rPr>
        <w:t xml:space="preserve"> عن</w:t>
      </w:r>
      <w:r w:rsidRPr="003D5F11">
        <w:rPr>
          <w:rtl/>
          <w:lang w:bidi="ar-EG"/>
        </w:rPr>
        <w:t xml:space="preserve"> عدة أنواع من المصادر.</w:t>
      </w:r>
    </w:p>
    <w:p w:rsidR="0096253C" w:rsidRPr="003D5F11" w:rsidRDefault="0096253C" w:rsidP="009B37AB">
      <w:pPr>
        <w:tabs>
          <w:tab w:val="right" w:pos="9639"/>
        </w:tabs>
        <w:spacing w:before="360"/>
        <w:rPr>
          <w:rtl/>
          <w:lang w:bidi="ar-EG"/>
        </w:rPr>
      </w:pPr>
      <w:r w:rsidRPr="003D5F11">
        <w:rPr>
          <w:rFonts w:hint="cs"/>
          <w:u w:val="single"/>
          <w:rtl/>
          <w:lang w:bidi="ar-EG"/>
        </w:rPr>
        <w:t>مشروع مراجعة</w:t>
      </w:r>
      <w:r w:rsidRPr="003D5F11">
        <w:rPr>
          <w:u w:val="single"/>
          <w:rtl/>
        </w:rPr>
        <w:t xml:space="preserve"> </w:t>
      </w:r>
      <w:r w:rsidRPr="003D5F11">
        <w:rPr>
          <w:rFonts w:hint="cs"/>
          <w:u w:val="single"/>
          <w:rtl/>
        </w:rPr>
        <w:t>التوصية</w:t>
      </w:r>
      <w:r w:rsidRPr="003D5F11">
        <w:rPr>
          <w:u w:val="single"/>
          <w:rtl/>
        </w:rPr>
        <w:t xml:space="preserve"> </w:t>
      </w:r>
      <w:r w:rsidRPr="003D5F11">
        <w:rPr>
          <w:u w:val="single"/>
        </w:rPr>
        <w:t>ITU-R</w:t>
      </w:r>
      <w:r w:rsidR="009B37AB">
        <w:rPr>
          <w:u w:val="single"/>
        </w:rPr>
        <w:t> </w:t>
      </w:r>
      <w:r w:rsidRPr="003D5F11">
        <w:rPr>
          <w:u w:val="single"/>
        </w:rPr>
        <w:t>P.341-6</w:t>
      </w:r>
      <w:r w:rsidRPr="003D5F11">
        <w:rPr>
          <w:rFonts w:hint="cs"/>
          <w:rtl/>
        </w:rPr>
        <w:tab/>
        <w:t>الوثيقة </w:t>
      </w:r>
      <w:r w:rsidRPr="003D5F11">
        <w:t>3/95(Rev.1)</w:t>
      </w:r>
    </w:p>
    <w:p w:rsidR="0096253C" w:rsidRPr="003D5F11" w:rsidRDefault="0096253C" w:rsidP="00AA7356">
      <w:pPr>
        <w:pStyle w:val="Rectitle"/>
        <w:spacing w:before="360"/>
        <w:rPr>
          <w:rtl/>
        </w:rPr>
      </w:pPr>
      <w:bookmarkStart w:id="1" w:name="_Toc489281248"/>
      <w:r w:rsidRPr="003D5F11">
        <w:rPr>
          <w:rtl/>
        </w:rPr>
        <w:t>مفهوم خسارة الإرسال في الوصلات الراديوية</w:t>
      </w:r>
      <w:bookmarkEnd w:id="1"/>
    </w:p>
    <w:p w:rsidR="0096253C" w:rsidRPr="003D5F11" w:rsidRDefault="0096253C" w:rsidP="008B2697">
      <w:pPr>
        <w:pStyle w:val="Normalaftertitle"/>
        <w:rPr>
          <w:rtl/>
          <w:lang w:bidi="ar-EG"/>
        </w:rPr>
      </w:pPr>
      <w:r w:rsidRPr="003D5F11">
        <w:rPr>
          <w:rFonts w:hint="cs"/>
          <w:rtl/>
          <w:lang w:bidi="ar-EG"/>
        </w:rPr>
        <w:t xml:space="preserve">إجمالاً، التعديلات المقترحة </w:t>
      </w:r>
      <w:r w:rsidR="008B2697">
        <w:rPr>
          <w:rFonts w:hint="cs"/>
          <w:rtl/>
          <w:lang w:bidi="ar-EG"/>
        </w:rPr>
        <w:t>ل</w:t>
      </w:r>
      <w:r w:rsidRPr="003D5F11">
        <w:rPr>
          <w:rFonts w:hint="cs"/>
          <w:rtl/>
          <w:lang w:bidi="ar-EG"/>
        </w:rPr>
        <w:t>هذه التوصية هي:</w:t>
      </w:r>
    </w:p>
    <w:p w:rsidR="0096253C" w:rsidRPr="003D5F11" w:rsidRDefault="0096253C" w:rsidP="008B2697">
      <w:pPr>
        <w:pStyle w:val="enumlev10"/>
        <w:rPr>
          <w:rtl/>
        </w:rPr>
      </w:pPr>
      <w:r w:rsidRPr="003D5F11">
        <w:rPr>
          <w:rtl/>
        </w:rPr>
        <w:t>•</w:t>
      </w:r>
      <w:r w:rsidRPr="003D5F11">
        <w:rPr>
          <w:rtl/>
        </w:rPr>
        <w:tab/>
      </w:r>
      <w:r w:rsidRPr="003D5F11">
        <w:rPr>
          <w:rFonts w:hint="cs"/>
          <w:rtl/>
        </w:rPr>
        <w:t>إعادة الترتيب المقدم به المصطلحات والتعاريف</w:t>
      </w:r>
      <w:r w:rsidR="008B2697">
        <w:rPr>
          <w:rFonts w:hint="cs"/>
          <w:rtl/>
        </w:rPr>
        <w:t>.</w:t>
      </w:r>
      <w:r w:rsidRPr="003D5F11">
        <w:rPr>
          <w:rFonts w:hint="cs"/>
          <w:rtl/>
        </w:rPr>
        <w:t xml:space="preserve"> </w:t>
      </w:r>
      <w:r w:rsidR="008B2697">
        <w:rPr>
          <w:rFonts w:hint="cs"/>
          <w:rtl/>
        </w:rPr>
        <w:t>وليس القصد إجراء</w:t>
      </w:r>
      <w:r w:rsidRPr="003D5F11">
        <w:rPr>
          <w:rFonts w:hint="cs"/>
          <w:rtl/>
        </w:rPr>
        <w:t xml:space="preserve"> تغييرات جوهرية في</w:t>
      </w:r>
      <w:r w:rsidRPr="003D5F11">
        <w:rPr>
          <w:rFonts w:hint="eastAsia"/>
          <w:rtl/>
        </w:rPr>
        <w:t> </w:t>
      </w:r>
      <w:r w:rsidRPr="003D5F11">
        <w:rPr>
          <w:rFonts w:hint="cs"/>
          <w:rtl/>
        </w:rPr>
        <w:t>عملية إعادة الترتيب هذه؛</w:t>
      </w:r>
    </w:p>
    <w:p w:rsidR="0096253C" w:rsidRPr="003D5F11" w:rsidRDefault="0096253C" w:rsidP="008B2697">
      <w:pPr>
        <w:pStyle w:val="enumlev10"/>
        <w:rPr>
          <w:rtl/>
        </w:rPr>
      </w:pPr>
      <w:r w:rsidRPr="003D5F11">
        <w:rPr>
          <w:rFonts w:ascii="Traditional Arabic" w:hAnsi="Traditional Arabic"/>
          <w:rtl/>
        </w:rPr>
        <w:t>•</w:t>
      </w:r>
      <w:r w:rsidRPr="003D5F11">
        <w:rPr>
          <w:rtl/>
        </w:rPr>
        <w:tab/>
      </w:r>
      <w:r w:rsidR="008B2697">
        <w:rPr>
          <w:rFonts w:hint="cs"/>
          <w:rtl/>
        </w:rPr>
        <w:t>مواءمة</w:t>
      </w:r>
      <w:r w:rsidRPr="003D5F11">
        <w:rPr>
          <w:rFonts w:hint="cs"/>
          <w:rtl/>
        </w:rPr>
        <w:t xml:space="preserve"> الرموز </w:t>
      </w:r>
      <w:r w:rsidR="008B2697">
        <w:rPr>
          <w:rFonts w:hint="cs"/>
          <w:rtl/>
        </w:rPr>
        <w:t xml:space="preserve">مع </w:t>
      </w:r>
      <w:r w:rsidRPr="003D5F11">
        <w:rPr>
          <w:rFonts w:hint="cs"/>
          <w:rtl/>
        </w:rPr>
        <w:t>المصطلحات المرتبطة بها؛</w:t>
      </w:r>
    </w:p>
    <w:p w:rsidR="0096253C" w:rsidRPr="003D5F11" w:rsidRDefault="0096253C" w:rsidP="0096253C">
      <w:pPr>
        <w:pStyle w:val="enumlev10"/>
        <w:rPr>
          <w:rtl/>
        </w:rPr>
      </w:pPr>
      <w:r w:rsidRPr="003D5F11">
        <w:rPr>
          <w:rFonts w:ascii="Traditional Arabic" w:hAnsi="Traditional Arabic"/>
          <w:rtl/>
        </w:rPr>
        <w:t>•</w:t>
      </w:r>
      <w:r w:rsidRPr="003D5F11">
        <w:rPr>
          <w:rtl/>
        </w:rPr>
        <w:tab/>
      </w:r>
      <w:r w:rsidRPr="003D5F11">
        <w:rPr>
          <w:rFonts w:hint="cs"/>
          <w:rtl/>
        </w:rPr>
        <w:t>إعادة تعريف مصطلح</w:t>
      </w:r>
      <w:r w:rsidR="008B2697">
        <w:rPr>
          <w:rFonts w:hint="cs"/>
          <w:rtl/>
        </w:rPr>
        <w:t>ي</w:t>
      </w:r>
      <w:r w:rsidRPr="003D5F11">
        <w:rPr>
          <w:rFonts w:hint="cs"/>
          <w:rtl/>
        </w:rPr>
        <w:t xml:space="preserve"> "الخسارة الكلية" و"خسارة الإرسال الأساسية"؛</w:t>
      </w:r>
    </w:p>
    <w:p w:rsidR="0096253C" w:rsidRPr="003D5F11" w:rsidRDefault="0096253C" w:rsidP="0096253C">
      <w:pPr>
        <w:pStyle w:val="enumlev10"/>
        <w:rPr>
          <w:rtl/>
        </w:rPr>
      </w:pPr>
      <w:r w:rsidRPr="003D5F11">
        <w:rPr>
          <w:rFonts w:ascii="Traditional Arabic" w:hAnsi="Traditional Arabic"/>
          <w:rtl/>
        </w:rPr>
        <w:t>•</w:t>
      </w:r>
      <w:r w:rsidRPr="003D5F11">
        <w:rPr>
          <w:rtl/>
        </w:rPr>
        <w:tab/>
      </w:r>
      <w:r w:rsidRPr="003D5F11">
        <w:rPr>
          <w:rFonts w:hint="cs"/>
          <w:rtl/>
        </w:rPr>
        <w:t>إضافة ملحق جديد بالتوصية لتقديم طريقة لتحديد كثافة تدفق القدرة وشدة المجال؛</w:t>
      </w:r>
    </w:p>
    <w:p w:rsidR="00AA7356" w:rsidRDefault="0096253C" w:rsidP="0096253C">
      <w:pPr>
        <w:pStyle w:val="enumlev10"/>
        <w:rPr>
          <w:rtl/>
        </w:rPr>
      </w:pPr>
      <w:r w:rsidRPr="003D5F11">
        <w:rPr>
          <w:rFonts w:ascii="Traditional Arabic" w:hAnsi="Traditional Arabic"/>
          <w:rtl/>
        </w:rPr>
        <w:t>•</w:t>
      </w:r>
      <w:r w:rsidRPr="003D5F11">
        <w:rPr>
          <w:rtl/>
        </w:rPr>
        <w:tab/>
      </w:r>
      <w:r w:rsidRPr="003D5F11">
        <w:rPr>
          <w:rFonts w:hint="cs"/>
          <w:rtl/>
        </w:rPr>
        <w:t>إعادة ترقيم الملحقات والمعادلات حسب الاقتضاء.</w:t>
      </w:r>
    </w:p>
    <w:p w:rsidR="00AA7356" w:rsidRDefault="00AA7356">
      <w:pPr>
        <w:tabs>
          <w:tab w:val="clear" w:pos="1134"/>
        </w:tabs>
        <w:bidi w:val="0"/>
        <w:spacing w:before="0" w:after="160" w:line="259" w:lineRule="auto"/>
        <w:jc w:val="left"/>
        <w:rPr>
          <w:rFonts w:eastAsiaTheme="minorEastAsia"/>
          <w:rtl/>
          <w:lang w:eastAsia="zh-CN" w:bidi="ar-SY"/>
        </w:rPr>
      </w:pPr>
      <w:r>
        <w:rPr>
          <w:rtl/>
        </w:rPr>
        <w:br w:type="page"/>
      </w:r>
    </w:p>
    <w:p w:rsidR="0096253C" w:rsidRPr="003D5F11" w:rsidRDefault="0096253C" w:rsidP="009B37AB">
      <w:pPr>
        <w:tabs>
          <w:tab w:val="right" w:pos="9639"/>
        </w:tabs>
        <w:spacing w:before="360"/>
        <w:rPr>
          <w:rtl/>
        </w:rPr>
      </w:pPr>
      <w:r w:rsidRPr="003D5F11">
        <w:rPr>
          <w:rFonts w:hint="cs"/>
          <w:u w:val="single"/>
          <w:rtl/>
          <w:lang w:bidi="ar-EG"/>
        </w:rPr>
        <w:lastRenderedPageBreak/>
        <w:t>مشروع مراجعة</w:t>
      </w:r>
      <w:r w:rsidRPr="003D5F11">
        <w:rPr>
          <w:u w:val="single"/>
          <w:rtl/>
        </w:rPr>
        <w:t xml:space="preserve"> </w:t>
      </w:r>
      <w:r w:rsidRPr="003D5F11">
        <w:rPr>
          <w:rFonts w:hint="cs"/>
          <w:u w:val="single"/>
          <w:rtl/>
        </w:rPr>
        <w:t>التوصية</w:t>
      </w:r>
      <w:r w:rsidRPr="003D5F11">
        <w:rPr>
          <w:u w:val="single"/>
          <w:rtl/>
        </w:rPr>
        <w:t xml:space="preserve"> </w:t>
      </w:r>
      <w:r w:rsidRPr="003D5F11">
        <w:rPr>
          <w:u w:val="single"/>
        </w:rPr>
        <w:t>ITU-R</w:t>
      </w:r>
      <w:r w:rsidR="009B37AB">
        <w:rPr>
          <w:u w:val="single"/>
        </w:rPr>
        <w:t> </w:t>
      </w:r>
      <w:r w:rsidRPr="003D5F11">
        <w:rPr>
          <w:u w:val="single"/>
        </w:rPr>
        <w:t>P.525-3</w:t>
      </w:r>
      <w:r w:rsidRPr="003D5F11">
        <w:rPr>
          <w:rFonts w:hint="cs"/>
          <w:rtl/>
        </w:rPr>
        <w:tab/>
        <w:t>الوثيقة </w:t>
      </w:r>
      <w:r w:rsidRPr="003D5F11">
        <w:t>3/97(Rev.1)</w:t>
      </w:r>
    </w:p>
    <w:p w:rsidR="0096253C" w:rsidRPr="003D5F11" w:rsidRDefault="0096253C" w:rsidP="00AA7356">
      <w:pPr>
        <w:pStyle w:val="Rectitle"/>
        <w:spacing w:before="360"/>
        <w:rPr>
          <w:rtl/>
        </w:rPr>
      </w:pPr>
      <w:r w:rsidRPr="003D5F11">
        <w:rPr>
          <w:rFonts w:hint="cs"/>
          <w:rtl/>
          <w:lang w:bidi="ar-EG"/>
        </w:rPr>
        <w:t>حساب التوهين في الفضاء الحر</w:t>
      </w:r>
    </w:p>
    <w:p w:rsidR="0096253C" w:rsidRPr="003D5F11" w:rsidRDefault="0096253C" w:rsidP="007E683A">
      <w:pPr>
        <w:rPr>
          <w:rtl/>
          <w:lang w:bidi="ar-EG"/>
        </w:rPr>
      </w:pPr>
      <w:r w:rsidRPr="003D5F11">
        <w:rPr>
          <w:rFonts w:hint="cs"/>
          <w:rtl/>
          <w:lang w:bidi="ar-EG"/>
        </w:rPr>
        <w:t>تقدّم هذه المراجعة تعريفين للمصطلحين "الفضاء الحر" و"الانتشار في</w:t>
      </w:r>
      <w:r w:rsidRPr="003D5F11">
        <w:rPr>
          <w:rFonts w:hint="eastAsia"/>
          <w:rtl/>
          <w:lang w:bidi="ar-EG"/>
        </w:rPr>
        <w:t> </w:t>
      </w:r>
      <w:r w:rsidRPr="003D5F11">
        <w:rPr>
          <w:rFonts w:hint="cs"/>
          <w:rtl/>
          <w:lang w:bidi="ar-EG"/>
        </w:rPr>
        <w:t>الفضاء الحر". وتجري المراجعة أيضاً مواءمة للرموز المستعملة في</w:t>
      </w:r>
      <w:r w:rsidRPr="003D5F11">
        <w:rPr>
          <w:rFonts w:hint="eastAsia"/>
          <w:rtl/>
          <w:lang w:bidi="ar-EG"/>
        </w:rPr>
        <w:t> </w:t>
      </w:r>
      <w:r w:rsidRPr="003D5F11">
        <w:rPr>
          <w:rFonts w:hint="cs"/>
          <w:rtl/>
          <w:lang w:bidi="ar-EG"/>
        </w:rPr>
        <w:t>التوصية مع تلك المحددة في</w:t>
      </w:r>
      <w:r w:rsidRPr="003D5F11">
        <w:rPr>
          <w:rFonts w:hint="eastAsia"/>
          <w:rtl/>
          <w:lang w:bidi="ar-EG"/>
        </w:rPr>
        <w:t> </w:t>
      </w:r>
      <w:r w:rsidRPr="003D5F11">
        <w:rPr>
          <w:rFonts w:hint="cs"/>
          <w:rtl/>
          <w:lang w:bidi="ar-EG"/>
        </w:rPr>
        <w:t>المشروع التمهيدي لمراجعة التوصية</w:t>
      </w:r>
      <w:r w:rsidRPr="003D5F11">
        <w:rPr>
          <w:rFonts w:hint="eastAsia"/>
          <w:rtl/>
          <w:lang w:bidi="ar-EG"/>
        </w:rPr>
        <w:t> </w:t>
      </w:r>
      <w:hyperlink r:id="rId19" w:history="1">
        <w:r w:rsidRPr="005670DA">
          <w:t>ITU</w:t>
        </w:r>
        <w:r w:rsidRPr="005670DA">
          <w:noBreakHyphen/>
          <w:t>R P.341</w:t>
        </w:r>
        <w:r w:rsidRPr="005670DA">
          <w:noBreakHyphen/>
          <w:t>6</w:t>
        </w:r>
      </w:hyperlink>
      <w:r w:rsidRPr="003D5F11">
        <w:rPr>
          <w:rFonts w:hint="cs"/>
          <w:rtl/>
          <w:lang w:bidi="ar-EG"/>
        </w:rPr>
        <w:t xml:space="preserve"> (الوثيقة</w:t>
      </w:r>
      <w:r w:rsidRPr="003D5F11">
        <w:rPr>
          <w:rFonts w:hint="eastAsia"/>
          <w:rtl/>
          <w:lang w:bidi="ar-EG"/>
        </w:rPr>
        <w:t> </w:t>
      </w:r>
      <w:hyperlink r:id="rId20" w:history="1">
        <w:r w:rsidRPr="003D5F11">
          <w:rPr>
            <w:rStyle w:val="Hyperlink"/>
            <w:rFonts w:ascii="Calibri" w:hAnsi="Calibri"/>
            <w:lang w:bidi="ar-EG"/>
          </w:rPr>
          <w:t>3/9</w:t>
        </w:r>
      </w:hyperlink>
      <w:r w:rsidR="00981C3D" w:rsidRPr="003D5F11">
        <w:rPr>
          <w:rStyle w:val="Hyperlink"/>
          <w:rFonts w:ascii="Calibri" w:hAnsi="Calibri"/>
          <w:lang w:bidi="ar-EG"/>
        </w:rPr>
        <w:t>5</w:t>
      </w:r>
      <w:r w:rsidRPr="003D5F11">
        <w:rPr>
          <w:rFonts w:hint="cs"/>
          <w:rtl/>
          <w:lang w:bidi="ar-EG"/>
        </w:rPr>
        <w:t>). وتم في القسم</w:t>
      </w:r>
      <w:r w:rsidRPr="003D5F11">
        <w:rPr>
          <w:rFonts w:hint="eastAsia"/>
          <w:rtl/>
          <w:lang w:bidi="ar-EG"/>
        </w:rPr>
        <w:t> </w:t>
      </w:r>
      <w:r w:rsidRPr="003D5F11">
        <w:rPr>
          <w:lang w:bidi="ar-EG"/>
        </w:rPr>
        <w:t>4</w:t>
      </w:r>
      <w:r w:rsidRPr="003D5F11">
        <w:rPr>
          <w:rFonts w:hint="cs"/>
          <w:rtl/>
          <w:lang w:bidi="ar-EG"/>
        </w:rPr>
        <w:t xml:space="preserve"> تنقيح تعريف القدرة المستقب</w:t>
      </w:r>
      <w:r w:rsidR="008B2697">
        <w:rPr>
          <w:rFonts w:hint="cs"/>
          <w:rtl/>
          <w:lang w:bidi="ar-EG"/>
        </w:rPr>
        <w:t>َ</w:t>
      </w:r>
      <w:r w:rsidRPr="003D5F11">
        <w:rPr>
          <w:rFonts w:hint="cs"/>
          <w:rtl/>
          <w:lang w:bidi="ar-EG"/>
        </w:rPr>
        <w:t xml:space="preserve">لة لاستخدام هوائي متوائم ترافقياً بدلاً من هوائي </w:t>
      </w:r>
      <w:r w:rsidR="007E683A">
        <w:rPr>
          <w:rFonts w:hint="cs"/>
          <w:rtl/>
          <w:lang w:bidi="ar-EG"/>
        </w:rPr>
        <w:t>متناحٍ</w:t>
      </w:r>
      <w:r w:rsidRPr="003D5F11">
        <w:rPr>
          <w:rFonts w:hint="cs"/>
          <w:rtl/>
          <w:lang w:bidi="ar-EG"/>
        </w:rPr>
        <w:t>.</w:t>
      </w:r>
    </w:p>
    <w:p w:rsidR="0096253C" w:rsidRPr="003D5F11" w:rsidRDefault="0096253C" w:rsidP="009B37AB">
      <w:pPr>
        <w:tabs>
          <w:tab w:val="right" w:pos="9639"/>
        </w:tabs>
        <w:spacing w:before="360"/>
        <w:rPr>
          <w:rtl/>
        </w:rPr>
      </w:pPr>
      <w:r w:rsidRPr="003D5F11">
        <w:rPr>
          <w:rFonts w:hint="cs"/>
          <w:u w:val="single"/>
          <w:rtl/>
          <w:lang w:bidi="ar-EG"/>
        </w:rPr>
        <w:t>مشروع مراجعة</w:t>
      </w:r>
      <w:r w:rsidRPr="003D5F11">
        <w:rPr>
          <w:u w:val="single"/>
          <w:rtl/>
        </w:rPr>
        <w:t xml:space="preserve"> </w:t>
      </w:r>
      <w:r w:rsidRPr="003D5F11">
        <w:rPr>
          <w:rFonts w:hint="cs"/>
          <w:u w:val="single"/>
          <w:rtl/>
        </w:rPr>
        <w:t>التوصية</w:t>
      </w:r>
      <w:r w:rsidRPr="003D5F11">
        <w:rPr>
          <w:u w:val="single"/>
          <w:rtl/>
        </w:rPr>
        <w:t xml:space="preserve"> </w:t>
      </w:r>
      <w:r w:rsidRPr="003D5F11">
        <w:rPr>
          <w:u w:val="single"/>
        </w:rPr>
        <w:t>ITU-R</w:t>
      </w:r>
      <w:r w:rsidR="009B37AB">
        <w:rPr>
          <w:u w:val="single"/>
        </w:rPr>
        <w:t> </w:t>
      </w:r>
      <w:r w:rsidRPr="003D5F11">
        <w:rPr>
          <w:u w:val="single"/>
        </w:rPr>
        <w:t>P.840-7</w:t>
      </w:r>
      <w:r w:rsidRPr="003D5F11">
        <w:rPr>
          <w:rFonts w:hint="cs"/>
          <w:rtl/>
        </w:rPr>
        <w:tab/>
        <w:t>الوثيقة </w:t>
      </w:r>
      <w:r w:rsidRPr="003D5F11">
        <w:t>3/98(Rev.1)</w:t>
      </w:r>
    </w:p>
    <w:p w:rsidR="0096253C" w:rsidRPr="003D5F11" w:rsidRDefault="0096253C" w:rsidP="00AA7356">
      <w:pPr>
        <w:pStyle w:val="Rectitle"/>
        <w:spacing w:before="360"/>
        <w:rPr>
          <w:rtl/>
        </w:rPr>
      </w:pPr>
      <w:r w:rsidRPr="003D5F11">
        <w:rPr>
          <w:rFonts w:hint="cs"/>
          <w:rtl/>
          <w:lang w:bidi="ar-EG"/>
        </w:rPr>
        <w:t>التوهين الناجم عن السحب والضباب</w:t>
      </w:r>
    </w:p>
    <w:p w:rsidR="0096253C" w:rsidRPr="00D369B9" w:rsidRDefault="007F2F9D" w:rsidP="006E31CB">
      <w:pPr>
        <w:rPr>
          <w:rtl/>
          <w:lang w:bidi="ar-EG"/>
        </w:rPr>
      </w:pPr>
      <w:r w:rsidRPr="00D369B9">
        <w:rPr>
          <w:rFonts w:hint="cs"/>
          <w:rtl/>
        </w:rPr>
        <w:t xml:space="preserve">يتمثل </w:t>
      </w:r>
      <w:r w:rsidRPr="00D369B9">
        <w:rPr>
          <w:rtl/>
          <w:lang w:bidi="ar-EG"/>
        </w:rPr>
        <w:t xml:space="preserve">غرض هذه الوثيقة </w:t>
      </w:r>
      <w:r w:rsidRPr="00D369B9">
        <w:rPr>
          <w:rFonts w:hint="cs"/>
          <w:rtl/>
          <w:lang w:bidi="ar-EG"/>
        </w:rPr>
        <w:t>في</w:t>
      </w:r>
      <w:r w:rsidRPr="00D369B9">
        <w:rPr>
          <w:rtl/>
          <w:lang w:bidi="ar-EG"/>
        </w:rPr>
        <w:t xml:space="preserve"> اقتراح </w:t>
      </w:r>
      <w:r w:rsidRPr="00D369B9">
        <w:rPr>
          <w:rFonts w:hint="cs"/>
          <w:rtl/>
          <w:lang w:bidi="ar-EG"/>
        </w:rPr>
        <w:t xml:space="preserve">تعديلات </w:t>
      </w:r>
      <w:r w:rsidR="008B2697" w:rsidRPr="00D369B9">
        <w:rPr>
          <w:rFonts w:hint="cs"/>
          <w:rtl/>
          <w:lang w:bidi="ar-EG"/>
        </w:rPr>
        <w:t>في</w:t>
      </w:r>
      <w:r w:rsidRPr="00D369B9">
        <w:rPr>
          <w:rtl/>
          <w:lang w:bidi="ar-EG"/>
        </w:rPr>
        <w:t xml:space="preserve"> </w:t>
      </w:r>
      <w:r w:rsidRPr="00D369B9">
        <w:rPr>
          <w:rFonts w:hint="cs"/>
          <w:rtl/>
          <w:lang w:bidi="ar-EG"/>
        </w:rPr>
        <w:t>ا</w:t>
      </w:r>
      <w:r w:rsidRPr="00D369B9">
        <w:rPr>
          <w:rtl/>
          <w:lang w:bidi="ar-EG"/>
        </w:rPr>
        <w:t xml:space="preserve">لملحق </w:t>
      </w:r>
      <w:r w:rsidRPr="00D369B9">
        <w:rPr>
          <w:lang w:bidi="ar-EG"/>
        </w:rPr>
        <w:t>3</w:t>
      </w:r>
      <w:r w:rsidR="00981C3D" w:rsidRPr="00D369B9">
        <w:rPr>
          <w:rtl/>
          <w:lang w:bidi="ar-EG"/>
        </w:rPr>
        <w:t xml:space="preserve"> </w:t>
      </w:r>
      <w:r w:rsidR="008B2697" w:rsidRPr="00D369B9">
        <w:rPr>
          <w:rFonts w:hint="cs"/>
          <w:rtl/>
          <w:lang w:bidi="ar-EG"/>
        </w:rPr>
        <w:t>بالتوصية</w:t>
      </w:r>
      <w:r w:rsidRPr="00D369B9">
        <w:rPr>
          <w:rtl/>
          <w:lang w:bidi="ar-EG"/>
        </w:rPr>
        <w:t xml:space="preserve"> </w:t>
      </w:r>
      <w:r w:rsidRPr="00D369B9">
        <w:t>ITU-R</w:t>
      </w:r>
      <w:r w:rsidR="006E31CB">
        <w:t> </w:t>
      </w:r>
      <w:r w:rsidRPr="00D369B9">
        <w:t>P.840</w:t>
      </w:r>
      <w:r w:rsidR="008B2697" w:rsidRPr="00D369B9">
        <w:t>-</w:t>
      </w:r>
      <w:r w:rsidRPr="00D369B9">
        <w:t>7</w:t>
      </w:r>
      <w:r w:rsidRPr="00D369B9">
        <w:rPr>
          <w:rFonts w:hint="cs"/>
          <w:rtl/>
        </w:rPr>
        <w:t xml:space="preserve"> </w:t>
      </w:r>
      <w:r w:rsidR="008B2697" w:rsidRPr="00D369B9">
        <w:rPr>
          <w:rFonts w:hint="cs"/>
          <w:rtl/>
          <w:lang w:bidi="ar-EG"/>
        </w:rPr>
        <w:t>من أجل</w:t>
      </w:r>
      <w:r w:rsidRPr="00D369B9">
        <w:rPr>
          <w:rtl/>
          <w:lang w:bidi="ar-EG"/>
        </w:rPr>
        <w:t>:</w:t>
      </w:r>
    </w:p>
    <w:p w:rsidR="0096253C" w:rsidRPr="00D369B9" w:rsidRDefault="0096253C" w:rsidP="008B2697">
      <w:pPr>
        <w:pStyle w:val="enumlev10"/>
        <w:rPr>
          <w:rtl/>
          <w:lang w:bidi="ar-EG"/>
        </w:rPr>
      </w:pPr>
      <w:r w:rsidRPr="00D369B9">
        <w:rPr>
          <w:rFonts w:hint="cs"/>
          <w:rtl/>
          <w:lang w:bidi="ar-EG"/>
        </w:rPr>
        <w:t>-</w:t>
      </w:r>
      <w:r w:rsidRPr="00D369B9">
        <w:rPr>
          <w:rtl/>
          <w:lang w:bidi="ar-EG"/>
        </w:rPr>
        <w:tab/>
      </w:r>
      <w:r w:rsidR="008B2697" w:rsidRPr="00D369B9">
        <w:rPr>
          <w:rFonts w:hint="cs"/>
          <w:rtl/>
          <w:lang w:bidi="ar-EG"/>
        </w:rPr>
        <w:t>تحديد</w:t>
      </w:r>
      <w:r w:rsidR="00FE417C" w:rsidRPr="00D369B9">
        <w:rPr>
          <w:rtl/>
          <w:lang w:bidi="ar-EG"/>
        </w:rPr>
        <w:t xml:space="preserve"> </w:t>
      </w:r>
      <w:r w:rsidR="00FE417C" w:rsidRPr="00D369B9">
        <w:rPr>
          <w:rFonts w:hint="cs"/>
          <w:rtl/>
          <w:lang w:bidi="ar-EG"/>
        </w:rPr>
        <w:t>مدى</w:t>
      </w:r>
      <w:r w:rsidR="00FE417C" w:rsidRPr="00D369B9">
        <w:rPr>
          <w:rtl/>
          <w:lang w:bidi="ar-EG"/>
        </w:rPr>
        <w:t xml:space="preserve"> الاحتمال</w:t>
      </w:r>
      <w:r w:rsidR="008B2697" w:rsidRPr="00D369B9">
        <w:rPr>
          <w:rFonts w:hint="cs"/>
          <w:rtl/>
          <w:lang w:bidi="ar-EG"/>
        </w:rPr>
        <w:t>ات</w:t>
      </w:r>
      <w:r w:rsidR="00FE417C" w:rsidRPr="00D369B9">
        <w:rPr>
          <w:rtl/>
          <w:lang w:bidi="ar-EG"/>
        </w:rPr>
        <w:t xml:space="preserve"> </w:t>
      </w:r>
      <w:r w:rsidR="00FE417C" w:rsidRPr="00D369B9">
        <w:rPr>
          <w:rFonts w:hint="cs"/>
          <w:rtl/>
          <w:lang w:bidi="ar-EG"/>
        </w:rPr>
        <w:t>القابل للتطبيق</w:t>
      </w:r>
      <w:r w:rsidR="00FE417C" w:rsidRPr="00D369B9">
        <w:rPr>
          <w:rtl/>
          <w:lang w:bidi="ar-EG"/>
        </w:rPr>
        <w:t>؛</w:t>
      </w:r>
    </w:p>
    <w:p w:rsidR="0096253C" w:rsidRPr="00D369B9" w:rsidRDefault="0096253C" w:rsidP="008B2697">
      <w:pPr>
        <w:pStyle w:val="enumlev10"/>
        <w:rPr>
          <w:rtl/>
          <w:lang w:bidi="ar-EG"/>
        </w:rPr>
      </w:pPr>
      <w:r w:rsidRPr="00D369B9">
        <w:rPr>
          <w:rFonts w:hint="cs"/>
          <w:rtl/>
          <w:lang w:bidi="ar-EG"/>
        </w:rPr>
        <w:t>-</w:t>
      </w:r>
      <w:r w:rsidRPr="00D369B9">
        <w:rPr>
          <w:rtl/>
          <w:lang w:bidi="ar-EG"/>
        </w:rPr>
        <w:tab/>
      </w:r>
      <w:r w:rsidR="008B2697" w:rsidRPr="00D369B9">
        <w:rPr>
          <w:rFonts w:hint="cs"/>
          <w:rtl/>
          <w:lang w:bidi="ar-EG"/>
        </w:rPr>
        <w:t>اختبار ما</w:t>
      </w:r>
      <w:r w:rsidR="00FE417C" w:rsidRPr="00D369B9">
        <w:rPr>
          <w:rtl/>
          <w:lang w:bidi="ar-EG"/>
        </w:rPr>
        <w:t xml:space="preserve"> إذا كانت </w:t>
      </w:r>
      <w:r w:rsidR="00FE417C" w:rsidRPr="00D369B9">
        <w:rPr>
          <w:i/>
          <w:iCs/>
        </w:rPr>
        <w:t>P</w:t>
      </w:r>
      <w:r w:rsidR="00040AFC" w:rsidRPr="00D369B9">
        <w:rPr>
          <w:rtl/>
          <w:lang w:bidi="ar-EG"/>
        </w:rPr>
        <w:t xml:space="preserve"> أكبر من</w:t>
      </w:r>
      <w:r w:rsidR="00040AFC" w:rsidRPr="00D369B9">
        <w:rPr>
          <w:rFonts w:hint="cs"/>
          <w:rtl/>
          <w:lang w:bidi="ar-EG"/>
        </w:rPr>
        <w:t xml:space="preserve"> </w:t>
      </w:r>
      <m:oMath>
        <m:sSub>
          <m:sSubPr>
            <m:ctrlPr>
              <w:rPr>
                <w:rFonts w:ascii="Cambria Math" w:eastAsia="Times New Roman" w:hAnsi="Cambria Math"/>
                <w:sz w:val="24"/>
                <w:szCs w:val="20"/>
                <w:lang w:val="en-GB" w:eastAsia="en-US" w:bidi="ar-SA"/>
              </w:rPr>
            </m:ctrlPr>
          </m:sSubPr>
          <m:e>
            <m:r>
              <w:rPr>
                <w:rFonts w:ascii="Cambria Math" w:eastAsia="Times New Roman" w:hAnsi="Cambria Math"/>
                <w:sz w:val="24"/>
                <w:szCs w:val="20"/>
                <w:lang w:val="en-GB" w:eastAsia="en-US" w:bidi="ar-SA"/>
              </w:rPr>
              <m:t>P</m:t>
            </m:r>
          </m:e>
          <m:sub>
            <m:r>
              <w:rPr>
                <w:rFonts w:ascii="Cambria Math" w:eastAsia="Times New Roman" w:hAnsi="Cambria Math"/>
                <w:sz w:val="24"/>
                <w:szCs w:val="20"/>
                <w:lang w:val="en-GB" w:eastAsia="en-US" w:bidi="ar-SA"/>
              </w:rPr>
              <m:t>CLW</m:t>
            </m:r>
          </m:sub>
        </m:sSub>
      </m:oMath>
      <w:r w:rsidR="001D29DA" w:rsidRPr="00D369B9">
        <w:rPr>
          <w:rtl/>
          <w:lang w:bidi="ar-EG"/>
        </w:rPr>
        <w:t>، وإذا كان</w:t>
      </w:r>
      <w:r w:rsidR="001D29DA" w:rsidRPr="00D369B9">
        <w:rPr>
          <w:rFonts w:hint="cs"/>
          <w:rtl/>
          <w:lang w:bidi="ar-EG"/>
        </w:rPr>
        <w:t xml:space="preserve">ت كذلك </w:t>
      </w:r>
      <w:r w:rsidR="008B2697" w:rsidRPr="00D369B9">
        <w:rPr>
          <w:rFonts w:hint="cs"/>
          <w:rtl/>
          <w:lang w:bidi="ar-EG"/>
        </w:rPr>
        <w:t>تحديد</w:t>
      </w:r>
      <w:r w:rsidR="00015CEB" w:rsidRPr="00D369B9">
        <w:rPr>
          <w:rFonts w:hint="cs"/>
          <w:rtl/>
          <w:lang w:bidi="ar-EG"/>
        </w:rPr>
        <w:t xml:space="preserve"> </w:t>
      </w:r>
      <m:oMath>
        <m:sSub>
          <m:sSubPr>
            <m:ctrlPr>
              <w:rPr>
                <w:rFonts w:ascii="Cambria Math" w:eastAsia="Times New Roman" w:hAnsi="Cambria Math"/>
                <w:sz w:val="24"/>
                <w:szCs w:val="20"/>
                <w:lang w:val="en-GB" w:eastAsia="en-US" w:bidi="ar-SA"/>
              </w:rPr>
            </m:ctrlPr>
          </m:sSubPr>
          <m:e>
            <m:r>
              <w:rPr>
                <w:rFonts w:ascii="Cambria Math" w:eastAsia="Times New Roman" w:hAnsi="Cambria Math"/>
                <w:sz w:val="24"/>
                <w:szCs w:val="20"/>
                <w:lang w:val="en-GB" w:eastAsia="en-US" w:bidi="ar-SA"/>
              </w:rPr>
              <m:t>L</m:t>
            </m:r>
          </m:e>
          <m:sub>
            <m:r>
              <w:rPr>
                <w:rFonts w:ascii="Cambria Math" w:eastAsia="Times New Roman" w:hAnsi="Cambria Math"/>
                <w:sz w:val="24"/>
                <w:szCs w:val="20"/>
                <w:lang w:val="en-GB" w:eastAsia="en-US" w:bidi="ar-SA"/>
              </w:rPr>
              <m:t>red</m:t>
            </m:r>
          </m:sub>
        </m:sSub>
        <m:r>
          <m:rPr>
            <m:sty m:val="p"/>
          </m:rPr>
          <w:rPr>
            <w:rFonts w:ascii="Cambria Math" w:eastAsia="Times New Roman" w:hAnsi="Cambria Math"/>
            <w:sz w:val="24"/>
            <w:szCs w:val="20"/>
            <w:lang w:val="en-GB" w:eastAsia="en-US" w:bidi="ar-SA"/>
          </w:rPr>
          <m:t>=0</m:t>
        </m:r>
      </m:oMath>
      <w:r w:rsidR="00FE417C" w:rsidRPr="00D369B9">
        <w:rPr>
          <w:rtl/>
          <w:lang w:bidi="ar-EG"/>
        </w:rPr>
        <w:t>؛</w:t>
      </w:r>
    </w:p>
    <w:p w:rsidR="0096253C" w:rsidRPr="00D369B9" w:rsidRDefault="0096253C" w:rsidP="00004ECF">
      <w:pPr>
        <w:pStyle w:val="enumlev10"/>
        <w:rPr>
          <w:rtl/>
          <w:lang w:bidi="ar-EG"/>
        </w:rPr>
      </w:pPr>
      <w:r w:rsidRPr="00D369B9">
        <w:rPr>
          <w:rFonts w:hint="cs"/>
          <w:rtl/>
          <w:lang w:bidi="ar-EG"/>
        </w:rPr>
        <w:t>-</w:t>
      </w:r>
      <w:r w:rsidRPr="00D369B9">
        <w:rPr>
          <w:rtl/>
          <w:lang w:bidi="ar-EG"/>
        </w:rPr>
        <w:tab/>
      </w:r>
      <w:r w:rsidR="00004ECF" w:rsidRPr="00D369B9">
        <w:rPr>
          <w:rFonts w:hint="cs"/>
          <w:rtl/>
          <w:lang w:bidi="ar-EG"/>
        </w:rPr>
        <w:t>مواءمة</w:t>
      </w:r>
      <w:r w:rsidR="00FE417C" w:rsidRPr="00D369B9">
        <w:rPr>
          <w:rtl/>
          <w:lang w:bidi="ar-EG"/>
        </w:rPr>
        <w:t xml:space="preserve"> الن</w:t>
      </w:r>
      <w:r w:rsidR="00015CEB" w:rsidRPr="00D369B9">
        <w:rPr>
          <w:rtl/>
          <w:lang w:bidi="ar-EG"/>
        </w:rPr>
        <w:t>ص مع الأقسام السابقة في التوصية</w:t>
      </w:r>
      <w:r w:rsidR="00FE417C" w:rsidRPr="00D369B9">
        <w:rPr>
          <w:rtl/>
          <w:lang w:bidi="ar-EG"/>
        </w:rPr>
        <w:t>؛</w:t>
      </w:r>
    </w:p>
    <w:p w:rsidR="0096253C" w:rsidRPr="00D369B9" w:rsidRDefault="0096253C" w:rsidP="006E31CB">
      <w:pPr>
        <w:pStyle w:val="enumlev10"/>
        <w:rPr>
          <w:rtl/>
          <w:lang w:bidi="ar-EG"/>
        </w:rPr>
      </w:pPr>
      <w:r w:rsidRPr="00D369B9">
        <w:rPr>
          <w:rFonts w:hint="cs"/>
          <w:rtl/>
        </w:rPr>
        <w:t>-</w:t>
      </w:r>
      <w:r w:rsidRPr="00D369B9">
        <w:rPr>
          <w:rtl/>
        </w:rPr>
        <w:tab/>
      </w:r>
      <w:r w:rsidR="008B2697" w:rsidRPr="00D369B9">
        <w:rPr>
          <w:rFonts w:hint="cs"/>
          <w:rtl/>
        </w:rPr>
        <w:t xml:space="preserve">مواءمة </w:t>
      </w:r>
      <w:r w:rsidR="00015CEB" w:rsidRPr="00D369B9">
        <w:rPr>
          <w:rtl/>
        </w:rPr>
        <w:t xml:space="preserve">طريقة الاستكمال الداخلي مع </w:t>
      </w:r>
      <w:r w:rsidR="001B0D53" w:rsidRPr="00D369B9">
        <w:rPr>
          <w:rtl/>
        </w:rPr>
        <w:t>طريقة تركيب السلاسل الزمنية للمحتوى المتكامل من الماء السائل في</w:t>
      </w:r>
      <w:r w:rsidR="00D369B9" w:rsidRPr="00D369B9">
        <w:rPr>
          <w:rFonts w:hint="cs"/>
          <w:rtl/>
        </w:rPr>
        <w:t> </w:t>
      </w:r>
      <w:r w:rsidR="001B0D53" w:rsidRPr="00D369B9">
        <w:rPr>
          <w:rtl/>
        </w:rPr>
        <w:t xml:space="preserve">السحب </w:t>
      </w:r>
      <w:r w:rsidR="00015CEB" w:rsidRPr="00D369B9">
        <w:rPr>
          <w:rtl/>
        </w:rPr>
        <w:t>في</w:t>
      </w:r>
      <w:r w:rsidR="00D369B9" w:rsidRPr="00D369B9">
        <w:rPr>
          <w:rFonts w:hint="cs"/>
          <w:rtl/>
        </w:rPr>
        <w:t> </w:t>
      </w:r>
      <w:r w:rsidR="00015CEB" w:rsidRPr="00D369B9">
        <w:rPr>
          <w:rtl/>
        </w:rPr>
        <w:t xml:space="preserve">التوصية </w:t>
      </w:r>
      <w:r w:rsidR="00015CEB" w:rsidRPr="00D369B9">
        <w:t>ITU-R</w:t>
      </w:r>
      <w:r w:rsidR="006E31CB">
        <w:t> </w:t>
      </w:r>
      <w:r w:rsidR="00015CEB" w:rsidRPr="00D369B9">
        <w:t>P.1853</w:t>
      </w:r>
      <w:r w:rsidR="00015CEB" w:rsidRPr="00D369B9">
        <w:rPr>
          <w:rtl/>
        </w:rPr>
        <w:t xml:space="preserve"> التي تتطلب </w:t>
      </w:r>
      <m:oMath>
        <m:r>
          <w:rPr>
            <w:rFonts w:ascii="Cambria Math" w:hAnsi="Cambria Math"/>
            <w:lang w:val="en-GB"/>
          </w:rPr>
          <m:t>m</m:t>
        </m:r>
      </m:oMath>
      <w:r w:rsidR="006C0256" w:rsidRPr="00D369B9">
        <w:rPr>
          <w:rtl/>
        </w:rPr>
        <w:t xml:space="preserve"> و</w:t>
      </w:r>
      <m:oMath>
        <m:r>
          <w:rPr>
            <w:rFonts w:ascii="Cambria Math" w:eastAsia="Times New Roman" w:hAnsi="Cambria Math" w:cstheme="minorHAnsi"/>
            <w:sz w:val="24"/>
            <w:szCs w:val="20"/>
            <w:lang w:val="en-GB" w:eastAsia="en-US" w:bidi="ar-SA"/>
          </w:rPr>
          <m:t xml:space="preserve"> </m:t>
        </m:r>
        <m:r>
          <w:rPr>
            <w:rFonts w:ascii="Cambria Math" w:hAnsi="Cambria Math"/>
            <w:lang w:val="en-GB"/>
          </w:rPr>
          <m:t>σ</m:t>
        </m:r>
      </m:oMath>
      <w:r w:rsidR="00040AFC" w:rsidRPr="00D369B9">
        <w:rPr>
          <w:rtl/>
        </w:rPr>
        <w:t xml:space="preserve"> و</w:t>
      </w:r>
      <m:oMath>
        <m:sSub>
          <m:sSubPr>
            <m:ctrlPr>
              <w:rPr>
                <w:rFonts w:ascii="Cambria Math" w:eastAsia="Times New Roman" w:hAnsi="Cambria Math"/>
                <w:i/>
                <w:sz w:val="24"/>
                <w:szCs w:val="20"/>
                <w:lang w:val="en-GB" w:eastAsia="en-US" w:bidi="ar-SA"/>
              </w:rPr>
            </m:ctrlPr>
          </m:sSubPr>
          <m:e>
            <m:r>
              <w:rPr>
                <w:rFonts w:ascii="Cambria Math" w:eastAsia="Times New Roman" w:hAnsi="Cambria Math"/>
                <w:sz w:val="24"/>
                <w:szCs w:val="20"/>
                <w:lang w:val="en-GB" w:eastAsia="en-US" w:bidi="ar-SA"/>
              </w:rPr>
              <m:t>P</m:t>
            </m:r>
          </m:e>
          <m:sub>
            <m:r>
              <w:rPr>
                <w:rFonts w:ascii="Cambria Math" w:eastAsia="Times New Roman" w:hAnsi="Cambria Math"/>
                <w:sz w:val="24"/>
                <w:szCs w:val="20"/>
                <w:lang w:val="en-GB" w:eastAsia="en-US" w:bidi="ar-SA"/>
              </w:rPr>
              <m:t>CLW</m:t>
            </m:r>
          </m:sub>
        </m:sSub>
      </m:oMath>
      <w:r w:rsidR="006C0256" w:rsidRPr="00D369B9">
        <w:rPr>
          <w:rFonts w:hint="cs"/>
          <w:rtl/>
        </w:rPr>
        <w:t xml:space="preserve"> </w:t>
      </w:r>
      <w:r w:rsidR="00015CEB" w:rsidRPr="00D369B9">
        <w:rPr>
          <w:rtl/>
        </w:rPr>
        <w:t xml:space="preserve">في الموقع </w:t>
      </w:r>
      <w:r w:rsidR="006C0256" w:rsidRPr="00D369B9">
        <w:rPr>
          <w:rFonts w:hint="cs"/>
          <w:rtl/>
        </w:rPr>
        <w:t>المعني</w:t>
      </w:r>
      <w:r w:rsidR="00015CEB" w:rsidRPr="00D369B9">
        <w:rPr>
          <w:rtl/>
        </w:rPr>
        <w:t xml:space="preserve"> (أي عن طريق </w:t>
      </w:r>
      <w:r w:rsidR="006C0256" w:rsidRPr="00D369B9">
        <w:rPr>
          <w:rFonts w:hint="cs"/>
          <w:rtl/>
        </w:rPr>
        <w:t>استعمال الاستكمال الداخلي</w:t>
      </w:r>
      <w:r w:rsidR="00015CEB" w:rsidRPr="00D369B9">
        <w:rPr>
          <w:rtl/>
        </w:rPr>
        <w:t xml:space="preserve"> </w:t>
      </w:r>
      <w:r w:rsidR="006C0256" w:rsidRPr="00D369B9">
        <w:rPr>
          <w:rFonts w:hint="cs"/>
          <w:rtl/>
        </w:rPr>
        <w:t>مكانياً</w:t>
      </w:r>
      <w:r w:rsidR="00015CEB" w:rsidRPr="00D369B9">
        <w:rPr>
          <w:rtl/>
        </w:rPr>
        <w:t xml:space="preserve"> لقيم </w:t>
      </w:r>
      <m:oMath>
        <m:r>
          <w:rPr>
            <w:rFonts w:ascii="Cambria Math" w:hAnsi="Cambria Math"/>
            <w:lang w:val="en-GB"/>
          </w:rPr>
          <m:t>m</m:t>
        </m:r>
      </m:oMath>
      <w:r w:rsidR="006C0256" w:rsidRPr="00D369B9">
        <w:rPr>
          <w:rtl/>
        </w:rPr>
        <w:t xml:space="preserve"> و</w:t>
      </w:r>
      <m:oMath>
        <m:r>
          <w:rPr>
            <w:rFonts w:ascii="Cambria Math" w:eastAsia="Times New Roman" w:hAnsi="Cambria Math" w:cstheme="minorHAnsi"/>
            <w:sz w:val="24"/>
            <w:szCs w:val="20"/>
            <w:lang w:val="en-GB" w:eastAsia="en-US" w:bidi="ar-SA"/>
          </w:rPr>
          <m:t xml:space="preserve"> </m:t>
        </m:r>
        <m:r>
          <w:rPr>
            <w:rFonts w:ascii="Cambria Math" w:hAnsi="Cambria Math"/>
            <w:lang w:val="en-GB"/>
          </w:rPr>
          <m:t>σ</m:t>
        </m:r>
      </m:oMath>
      <w:r w:rsidR="00015CEB" w:rsidRPr="00D369B9">
        <w:rPr>
          <w:rtl/>
        </w:rPr>
        <w:t xml:space="preserve"> و</w:t>
      </w:r>
      <m:oMath>
        <m:sSub>
          <m:sSubPr>
            <m:ctrlPr>
              <w:rPr>
                <w:rFonts w:ascii="Cambria Math" w:eastAsia="Times New Roman" w:hAnsi="Cambria Math"/>
                <w:i/>
                <w:szCs w:val="22"/>
                <w:lang w:val="en-GB" w:eastAsia="en-US" w:bidi="ar-SA"/>
              </w:rPr>
            </m:ctrlPr>
          </m:sSubPr>
          <m:e>
            <m:r>
              <w:rPr>
                <w:rFonts w:ascii="Cambria Math" w:eastAsia="Times New Roman" w:hAnsi="Cambria Math"/>
                <w:szCs w:val="22"/>
                <w:lang w:val="en-GB" w:eastAsia="en-US" w:bidi="ar-SA"/>
              </w:rPr>
              <m:t>P</m:t>
            </m:r>
          </m:e>
          <m:sub>
            <m:r>
              <w:rPr>
                <w:rFonts w:ascii="Cambria Math" w:eastAsia="Times New Roman" w:hAnsi="Cambria Math"/>
                <w:szCs w:val="22"/>
                <w:lang w:val="en-GB" w:eastAsia="en-US" w:bidi="ar-SA"/>
              </w:rPr>
              <m:t>CLW</m:t>
            </m:r>
          </m:sub>
        </m:sSub>
      </m:oMath>
      <w:r w:rsidR="006C0256" w:rsidRPr="00D369B9">
        <w:rPr>
          <w:rFonts w:hint="cs"/>
          <w:rtl/>
        </w:rPr>
        <w:t xml:space="preserve"> </w:t>
      </w:r>
      <w:r w:rsidR="00015CEB" w:rsidRPr="00D369B9">
        <w:rPr>
          <w:rtl/>
        </w:rPr>
        <w:t xml:space="preserve">عند </w:t>
      </w:r>
      <w:r w:rsidR="004C5430" w:rsidRPr="00D369B9">
        <w:rPr>
          <w:rFonts w:hint="cs"/>
          <w:rtl/>
        </w:rPr>
        <w:t>ال</w:t>
      </w:r>
      <w:r w:rsidR="00015CEB" w:rsidRPr="00D369B9">
        <w:rPr>
          <w:rtl/>
        </w:rPr>
        <w:t>نقاط الشبك</w:t>
      </w:r>
      <w:r w:rsidR="004C5430" w:rsidRPr="00D369B9">
        <w:rPr>
          <w:rFonts w:hint="cs"/>
          <w:rtl/>
        </w:rPr>
        <w:t>ي</w:t>
      </w:r>
      <w:r w:rsidR="008B2697" w:rsidRPr="00D369B9">
        <w:rPr>
          <w:rtl/>
        </w:rPr>
        <w:t>ة الأربع</w:t>
      </w:r>
      <w:r w:rsidR="00015CEB" w:rsidRPr="00D369B9">
        <w:rPr>
          <w:rtl/>
        </w:rPr>
        <w:t xml:space="preserve"> المحيطة وتحديد </w:t>
      </w:r>
      <m:oMath>
        <m:sSub>
          <m:sSubPr>
            <m:ctrlPr>
              <w:rPr>
                <w:rFonts w:ascii="Cambria Math" w:eastAsia="Times New Roman" w:hAnsi="Cambria Math"/>
                <w:i/>
                <w:sz w:val="24"/>
                <w:szCs w:val="20"/>
                <w:lang w:val="en-GB" w:eastAsia="en-US" w:bidi="ar-SA"/>
              </w:rPr>
            </m:ctrlPr>
          </m:sSubPr>
          <m:e>
            <m:r>
              <w:rPr>
                <w:rFonts w:ascii="Cambria Math" w:eastAsia="Times New Roman" w:hAnsi="Cambria Math"/>
                <w:sz w:val="24"/>
                <w:szCs w:val="20"/>
                <w:lang w:val="en-GB" w:eastAsia="en-US" w:bidi="ar-SA"/>
              </w:rPr>
              <m:t>L</m:t>
            </m:r>
          </m:e>
          <m:sub>
            <m:r>
              <w:rPr>
                <w:rFonts w:ascii="Cambria Math" w:eastAsia="Times New Roman" w:hAnsi="Cambria Math"/>
                <w:sz w:val="24"/>
                <w:szCs w:val="20"/>
                <w:lang w:val="en-GB" w:eastAsia="en-US" w:bidi="ar-SA"/>
              </w:rPr>
              <m:t>red</m:t>
            </m:r>
          </m:sub>
        </m:sSub>
      </m:oMath>
      <w:r w:rsidR="004C5430" w:rsidRPr="00D369B9">
        <w:rPr>
          <w:rFonts w:hint="cs"/>
          <w:sz w:val="24"/>
          <w:szCs w:val="20"/>
          <w:rtl/>
          <w:lang w:val="en-GB" w:eastAsia="en-US" w:bidi="ar-SA"/>
        </w:rPr>
        <w:t xml:space="preserve"> </w:t>
      </w:r>
      <w:r w:rsidR="00015CEB" w:rsidRPr="00D369B9">
        <w:rPr>
          <w:rtl/>
        </w:rPr>
        <w:t xml:space="preserve">في </w:t>
      </w:r>
      <w:r w:rsidR="004C5430" w:rsidRPr="00D369B9">
        <w:rPr>
          <w:rtl/>
        </w:rPr>
        <w:t>الموقع</w:t>
      </w:r>
      <w:r w:rsidR="004C5430" w:rsidRPr="00D369B9">
        <w:rPr>
          <w:rFonts w:hint="cs"/>
          <w:rtl/>
        </w:rPr>
        <w:t xml:space="preserve"> المعني</w:t>
      </w:r>
      <w:r w:rsidR="004C5430" w:rsidRPr="00D369B9">
        <w:rPr>
          <w:rtl/>
        </w:rPr>
        <w:t xml:space="preserve"> عن طريق استعمال الاستكمال الداخلي مكانياً لقيم</w:t>
      </w:r>
      <w:r w:rsidR="00015CEB" w:rsidRPr="00D369B9">
        <w:rPr>
          <w:rtl/>
        </w:rPr>
        <w:t xml:space="preserve"> </w:t>
      </w:r>
      <m:oMath>
        <m:r>
          <w:rPr>
            <w:rFonts w:ascii="Cambria Math" w:hAnsi="Cambria Math"/>
            <w:lang w:val="en-GB"/>
          </w:rPr>
          <m:t>m</m:t>
        </m:r>
      </m:oMath>
      <w:r w:rsidR="004C5430" w:rsidRPr="00D369B9">
        <w:rPr>
          <w:rtl/>
        </w:rPr>
        <w:t xml:space="preserve"> و</w:t>
      </w:r>
      <m:oMath>
        <m:r>
          <w:rPr>
            <w:rFonts w:ascii="Cambria Math" w:eastAsia="Times New Roman" w:hAnsi="Cambria Math" w:cstheme="minorHAnsi"/>
            <w:sz w:val="24"/>
            <w:szCs w:val="20"/>
            <w:lang w:val="en-GB" w:eastAsia="en-US" w:bidi="ar-SA"/>
          </w:rPr>
          <m:t xml:space="preserve"> </m:t>
        </m:r>
        <m:r>
          <w:rPr>
            <w:rFonts w:ascii="Cambria Math" w:hAnsi="Cambria Math"/>
            <w:lang w:val="en-GB"/>
          </w:rPr>
          <m:t>σ</m:t>
        </m:r>
      </m:oMath>
      <w:r w:rsidR="00040AFC" w:rsidRPr="00D369B9">
        <w:rPr>
          <w:rtl/>
        </w:rPr>
        <w:t xml:space="preserve"> و</w:t>
      </w:r>
      <m:oMath>
        <m:sSub>
          <m:sSubPr>
            <m:ctrlPr>
              <w:rPr>
                <w:rFonts w:ascii="Cambria Math" w:eastAsia="Times New Roman" w:hAnsi="Cambria Math"/>
                <w:i/>
                <w:sz w:val="24"/>
                <w:szCs w:val="20"/>
                <w:lang w:val="en-GB" w:eastAsia="en-US" w:bidi="ar-SA"/>
              </w:rPr>
            </m:ctrlPr>
          </m:sSubPr>
          <m:e>
            <m:r>
              <w:rPr>
                <w:rFonts w:ascii="Cambria Math" w:eastAsia="Times New Roman" w:hAnsi="Cambria Math"/>
                <w:sz w:val="24"/>
                <w:szCs w:val="20"/>
                <w:lang w:val="en-GB" w:eastAsia="en-US" w:bidi="ar-SA"/>
              </w:rPr>
              <m:t>P</m:t>
            </m:r>
          </m:e>
          <m:sub>
            <m:r>
              <w:rPr>
                <w:rFonts w:ascii="Cambria Math" w:eastAsia="Times New Roman" w:hAnsi="Cambria Math"/>
                <w:sz w:val="24"/>
                <w:szCs w:val="20"/>
                <w:lang w:val="en-GB" w:eastAsia="en-US" w:bidi="ar-SA"/>
              </w:rPr>
              <m:t>CLW</m:t>
            </m:r>
          </m:sub>
        </m:sSub>
      </m:oMath>
      <w:r w:rsidR="00015CEB" w:rsidRPr="00D369B9">
        <w:rPr>
          <w:rtl/>
        </w:rPr>
        <w:t xml:space="preserve"> بدلاً من تحديد </w:t>
      </w:r>
      <m:oMath>
        <m:sSub>
          <m:sSubPr>
            <m:ctrlPr>
              <w:rPr>
                <w:rFonts w:ascii="Cambria Math" w:eastAsia="Times New Roman" w:hAnsi="Cambria Math"/>
                <w:i/>
                <w:sz w:val="24"/>
                <w:szCs w:val="20"/>
                <w:lang w:val="en-GB" w:eastAsia="en-US" w:bidi="ar-SA"/>
              </w:rPr>
            </m:ctrlPr>
          </m:sSubPr>
          <m:e>
            <m:r>
              <w:rPr>
                <w:rFonts w:ascii="Cambria Math" w:eastAsia="Times New Roman" w:hAnsi="Cambria Math"/>
                <w:sz w:val="24"/>
                <w:szCs w:val="20"/>
                <w:lang w:val="en-GB" w:eastAsia="en-US" w:bidi="ar-SA"/>
              </w:rPr>
              <m:t>L</m:t>
            </m:r>
          </m:e>
          <m:sub>
            <m:r>
              <w:rPr>
                <w:rFonts w:ascii="Cambria Math" w:eastAsia="Times New Roman" w:hAnsi="Cambria Math"/>
                <w:sz w:val="24"/>
                <w:szCs w:val="20"/>
                <w:lang w:val="en-GB" w:eastAsia="en-US" w:bidi="ar-SA"/>
              </w:rPr>
              <m:t>red</m:t>
            </m:r>
          </m:sub>
        </m:sSub>
      </m:oMath>
      <w:r w:rsidR="004C5430" w:rsidRPr="00D369B9">
        <w:rPr>
          <w:rFonts w:hint="cs"/>
          <w:sz w:val="24"/>
          <w:szCs w:val="20"/>
          <w:rtl/>
          <w:lang w:val="en-GB" w:eastAsia="en-US" w:bidi="ar-SA"/>
        </w:rPr>
        <w:t xml:space="preserve"> </w:t>
      </w:r>
      <w:r w:rsidR="00015CEB" w:rsidRPr="00D369B9">
        <w:rPr>
          <w:rtl/>
        </w:rPr>
        <w:t xml:space="preserve">في </w:t>
      </w:r>
      <w:r w:rsidR="004C5430" w:rsidRPr="00D369B9">
        <w:rPr>
          <w:rtl/>
        </w:rPr>
        <w:t>الموقع المعني عن طريق استعمال الاستكمال الداخلي مكانياً ل</w:t>
      </w:r>
      <w:r w:rsidR="004C5430" w:rsidRPr="00D369B9">
        <w:rPr>
          <w:rFonts w:hint="cs"/>
          <w:rtl/>
        </w:rPr>
        <w:t>ل</w:t>
      </w:r>
      <w:r w:rsidR="004C5430" w:rsidRPr="00D369B9">
        <w:rPr>
          <w:rtl/>
        </w:rPr>
        <w:t xml:space="preserve">قيم </w:t>
      </w:r>
      <w:r w:rsidR="008B2697" w:rsidRPr="00D369B9">
        <w:rPr>
          <w:rtl/>
        </w:rPr>
        <w:t>المحسوبة</w:t>
      </w:r>
      <w:r w:rsidR="00015CEB" w:rsidRPr="00D369B9">
        <w:rPr>
          <w:rtl/>
        </w:rPr>
        <w:t xml:space="preserve"> </w:t>
      </w:r>
      <m:oMath>
        <m:sSub>
          <m:sSubPr>
            <m:ctrlPr>
              <w:rPr>
                <w:rFonts w:ascii="Cambria Math" w:eastAsia="Times New Roman" w:hAnsi="Cambria Math"/>
                <w:i/>
                <w:sz w:val="24"/>
                <w:szCs w:val="20"/>
                <w:lang w:val="en-GB" w:eastAsia="en-US" w:bidi="ar-SA"/>
              </w:rPr>
            </m:ctrlPr>
          </m:sSubPr>
          <m:e>
            <m:r>
              <w:rPr>
                <w:rFonts w:ascii="Cambria Math" w:eastAsia="Times New Roman" w:hAnsi="Cambria Math"/>
                <w:sz w:val="24"/>
                <w:szCs w:val="20"/>
                <w:lang w:val="en-GB" w:eastAsia="en-US" w:bidi="ar-SA"/>
              </w:rPr>
              <m:t>L</m:t>
            </m:r>
          </m:e>
          <m:sub>
            <m:r>
              <w:rPr>
                <w:rFonts w:ascii="Cambria Math" w:eastAsia="Times New Roman" w:hAnsi="Cambria Math"/>
                <w:sz w:val="24"/>
                <w:szCs w:val="20"/>
                <w:lang w:val="en-GB" w:eastAsia="en-US" w:bidi="ar-SA"/>
              </w:rPr>
              <m:t>red</m:t>
            </m:r>
          </m:sub>
        </m:sSub>
      </m:oMath>
      <w:r w:rsidR="004C5430" w:rsidRPr="00D369B9">
        <w:rPr>
          <w:rFonts w:hint="cs"/>
          <w:rtl/>
        </w:rPr>
        <w:t xml:space="preserve"> </w:t>
      </w:r>
      <w:r w:rsidR="00015CEB" w:rsidRPr="00D369B9">
        <w:rPr>
          <w:rtl/>
        </w:rPr>
        <w:t xml:space="preserve">في </w:t>
      </w:r>
      <w:r w:rsidR="004C5430" w:rsidRPr="00D369B9">
        <w:rPr>
          <w:rFonts w:hint="cs"/>
          <w:rtl/>
        </w:rPr>
        <w:t>ال</w:t>
      </w:r>
      <w:r w:rsidR="00015CEB" w:rsidRPr="00D369B9">
        <w:rPr>
          <w:rtl/>
        </w:rPr>
        <w:t>نقاط الشبك</w:t>
      </w:r>
      <w:r w:rsidR="004C5430" w:rsidRPr="00D369B9">
        <w:rPr>
          <w:rFonts w:hint="cs"/>
          <w:rtl/>
        </w:rPr>
        <w:t>ي</w:t>
      </w:r>
      <w:r w:rsidR="008B2697" w:rsidRPr="00D369B9">
        <w:rPr>
          <w:rtl/>
        </w:rPr>
        <w:t>ة الأربع</w:t>
      </w:r>
      <w:r w:rsidR="00015CEB" w:rsidRPr="00D369B9">
        <w:rPr>
          <w:rtl/>
        </w:rPr>
        <w:t xml:space="preserve"> المحيطة)</w:t>
      </w:r>
      <w:r w:rsidR="001B0D53" w:rsidRPr="00D369B9">
        <w:rPr>
          <w:rFonts w:hint="cs"/>
          <w:rtl/>
        </w:rPr>
        <w:t>.</w:t>
      </w:r>
    </w:p>
    <w:p w:rsidR="004C5430" w:rsidRPr="00D369B9" w:rsidRDefault="004C5430" w:rsidP="00873D47">
      <w:pPr>
        <w:rPr>
          <w:rtl/>
        </w:rPr>
      </w:pPr>
      <w:r w:rsidRPr="00D369B9">
        <w:rPr>
          <w:rFonts w:hint="cs"/>
          <w:rtl/>
        </w:rPr>
        <w:t>ويورد</w:t>
      </w:r>
      <w:r w:rsidRPr="00D369B9">
        <w:rPr>
          <w:rtl/>
        </w:rPr>
        <w:t xml:space="preserve"> القسم </w:t>
      </w:r>
      <w:r w:rsidRPr="00D369B9">
        <w:t>4</w:t>
      </w:r>
      <w:r w:rsidRPr="00D369B9">
        <w:rPr>
          <w:rtl/>
        </w:rPr>
        <w:t xml:space="preserve"> من التوصية </w:t>
      </w:r>
      <w:r w:rsidRPr="00D369B9">
        <w:t>ITU-R P.840-7</w:t>
      </w:r>
      <w:r w:rsidRPr="00D369B9">
        <w:rPr>
          <w:rtl/>
        </w:rPr>
        <w:t xml:space="preserve"> </w:t>
      </w:r>
      <w:r w:rsidRPr="00D369B9">
        <w:rPr>
          <w:rFonts w:hint="cs"/>
          <w:rtl/>
        </w:rPr>
        <w:t>ال</w:t>
      </w:r>
      <w:r w:rsidRPr="00D369B9">
        <w:rPr>
          <w:rtl/>
        </w:rPr>
        <w:t xml:space="preserve">قيم </w:t>
      </w:r>
      <m:oMath>
        <m:r>
          <w:rPr>
            <w:rFonts w:ascii="Cambria Math" w:hAnsi="Cambria Math"/>
            <w:lang w:val="en-GB"/>
          </w:rPr>
          <m:t>m</m:t>
        </m:r>
      </m:oMath>
      <w:r w:rsidRPr="00D369B9">
        <w:rPr>
          <w:rtl/>
        </w:rPr>
        <w:t xml:space="preserve"> و</w:t>
      </w:r>
      <m:oMath>
        <m:r>
          <w:rPr>
            <w:rFonts w:ascii="Cambria Math" w:hAnsi="Cambria Math" w:cstheme="minorHAnsi"/>
            <w:sz w:val="24"/>
            <w:szCs w:val="20"/>
            <w:lang w:val="en-GB"/>
          </w:rPr>
          <m:t xml:space="preserve"> </m:t>
        </m:r>
        <m:r>
          <w:rPr>
            <w:rFonts w:ascii="Cambria Math" w:hAnsi="Cambria Math"/>
            <w:lang w:val="en-GB"/>
          </w:rPr>
          <m:t>σ</m:t>
        </m:r>
      </m:oMath>
      <w:r w:rsidRPr="00D369B9">
        <w:rPr>
          <w:rtl/>
        </w:rPr>
        <w:t xml:space="preserve"> </w:t>
      </w:r>
      <w:r w:rsidR="00040AFC" w:rsidRPr="00D369B9">
        <w:rPr>
          <w:rtl/>
        </w:rPr>
        <w:t>و</w:t>
      </w:r>
      <m:oMath>
        <m:sSub>
          <m:sSubPr>
            <m:ctrlPr>
              <w:rPr>
                <w:rFonts w:ascii="Cambria Math" w:hAnsi="Cambria Math"/>
                <w:i/>
                <w:sz w:val="24"/>
                <w:szCs w:val="20"/>
                <w:lang w:val="en-GB"/>
              </w:rPr>
            </m:ctrlPr>
          </m:sSubPr>
          <m:e>
            <m:r>
              <w:rPr>
                <w:rFonts w:ascii="Cambria Math" w:hAnsi="Cambria Math"/>
                <w:sz w:val="24"/>
                <w:szCs w:val="20"/>
                <w:lang w:val="en-GB"/>
              </w:rPr>
              <m:t>P</m:t>
            </m:r>
          </m:e>
          <m:sub>
            <m:r>
              <w:rPr>
                <w:rFonts w:ascii="Cambria Math" w:hAnsi="Cambria Math"/>
                <w:sz w:val="24"/>
                <w:szCs w:val="20"/>
                <w:lang w:val="en-GB"/>
              </w:rPr>
              <m:t>CLW</m:t>
            </m:r>
          </m:sub>
        </m:sSub>
      </m:oMath>
      <w:r w:rsidR="00C6774A" w:rsidRPr="00D369B9">
        <w:rPr>
          <w:rFonts w:hint="cs"/>
          <w:rtl/>
        </w:rPr>
        <w:t xml:space="preserve"> </w:t>
      </w:r>
      <w:r w:rsidRPr="00D369B9">
        <w:rPr>
          <w:rtl/>
        </w:rPr>
        <w:t xml:space="preserve">في الموقع </w:t>
      </w:r>
      <w:r w:rsidR="00ED54BD" w:rsidRPr="00D369B9">
        <w:rPr>
          <w:rFonts w:hint="cs"/>
          <w:rtl/>
        </w:rPr>
        <w:t>المرغوب</w:t>
      </w:r>
      <w:r w:rsidRPr="00D369B9">
        <w:rPr>
          <w:rtl/>
        </w:rPr>
        <w:t xml:space="preserve"> الذي </w:t>
      </w:r>
      <w:r w:rsidR="00C6774A" w:rsidRPr="00D369B9">
        <w:rPr>
          <w:rFonts w:hint="cs"/>
          <w:rtl/>
        </w:rPr>
        <w:t>يتطلبه</w:t>
      </w:r>
      <w:r w:rsidRPr="00D369B9">
        <w:rPr>
          <w:rtl/>
        </w:rPr>
        <w:t xml:space="preserve"> مولد السلاسل الزمنية للتوهين السحابي في التوصية </w:t>
      </w:r>
      <w:r w:rsidRPr="00D369B9">
        <w:t>ITU-R</w:t>
      </w:r>
      <w:r w:rsidR="009A53F9">
        <w:t> </w:t>
      </w:r>
      <w:r w:rsidRPr="00D369B9">
        <w:t>P.1853</w:t>
      </w:r>
      <w:r w:rsidR="008A6235" w:rsidRPr="00D369B9">
        <w:rPr>
          <w:rFonts w:hint="cs"/>
          <w:rtl/>
        </w:rPr>
        <w:t>؛</w:t>
      </w:r>
      <w:r w:rsidR="00C6774A" w:rsidRPr="00D369B9">
        <w:rPr>
          <w:rFonts w:hint="cs"/>
          <w:rtl/>
        </w:rPr>
        <w:t xml:space="preserve"> وترد </w:t>
      </w:r>
      <w:r w:rsidRPr="00D369B9">
        <w:rPr>
          <w:rtl/>
        </w:rPr>
        <w:t xml:space="preserve">القيمة </w:t>
      </w:r>
      <m:oMath>
        <m:sSub>
          <m:sSubPr>
            <m:ctrlPr>
              <w:rPr>
                <w:rFonts w:ascii="Cambria Math" w:hAnsi="Cambria Math"/>
                <w:i/>
                <w:sz w:val="24"/>
                <w:szCs w:val="20"/>
                <w:lang w:val="en-GB"/>
              </w:rPr>
            </m:ctrlPr>
          </m:sSubPr>
          <m:e>
            <m:r>
              <w:rPr>
                <w:rFonts w:ascii="Cambria Math" w:hAnsi="Cambria Math"/>
                <w:sz w:val="24"/>
                <w:szCs w:val="20"/>
                <w:lang w:val="en-GB"/>
              </w:rPr>
              <m:t>L</m:t>
            </m:r>
          </m:e>
          <m:sub>
            <m:r>
              <w:rPr>
                <w:rFonts w:ascii="Cambria Math" w:hAnsi="Cambria Math"/>
                <w:sz w:val="24"/>
                <w:szCs w:val="20"/>
                <w:lang w:val="en-GB"/>
              </w:rPr>
              <m:t>red</m:t>
            </m:r>
          </m:sub>
        </m:sSub>
      </m:oMath>
      <w:r w:rsidR="00C6774A" w:rsidRPr="00D369B9">
        <w:rPr>
          <w:rFonts w:hint="cs"/>
          <w:rtl/>
        </w:rPr>
        <w:t xml:space="preserve"> ذات الصلة</w:t>
      </w:r>
      <w:r w:rsidR="00C6774A" w:rsidRPr="00D369B9">
        <w:rPr>
          <w:rtl/>
        </w:rPr>
        <w:t xml:space="preserve"> </w:t>
      </w:r>
      <w:r w:rsidRPr="00D369B9">
        <w:rPr>
          <w:rtl/>
        </w:rPr>
        <w:t xml:space="preserve">كمرجع فقط. </w:t>
      </w:r>
      <w:r w:rsidR="00C6774A" w:rsidRPr="00D369B9">
        <w:rPr>
          <w:rFonts w:hint="cs"/>
          <w:rtl/>
        </w:rPr>
        <w:t>و</w:t>
      </w:r>
      <w:r w:rsidR="008B2697" w:rsidRPr="00D369B9">
        <w:rPr>
          <w:rFonts w:hint="cs"/>
          <w:rtl/>
        </w:rPr>
        <w:t>ينبغي</w:t>
      </w:r>
      <w:r w:rsidRPr="00D369B9">
        <w:rPr>
          <w:rtl/>
        </w:rPr>
        <w:t xml:space="preserve"> </w:t>
      </w:r>
      <w:r w:rsidR="00C6774A" w:rsidRPr="00D369B9">
        <w:rPr>
          <w:rFonts w:hint="cs"/>
          <w:rtl/>
        </w:rPr>
        <w:t>استعمال</w:t>
      </w:r>
      <w:r w:rsidRPr="00D369B9">
        <w:rPr>
          <w:rtl/>
        </w:rPr>
        <w:t xml:space="preserve"> القسم</w:t>
      </w:r>
      <w:r w:rsidR="00873D47">
        <w:rPr>
          <w:rFonts w:hint="cs"/>
          <w:rtl/>
        </w:rPr>
        <w:t> </w:t>
      </w:r>
      <w:r w:rsidR="00C6774A" w:rsidRPr="00D369B9">
        <w:t>3</w:t>
      </w:r>
      <w:r w:rsidRPr="00D369B9">
        <w:rPr>
          <w:rtl/>
        </w:rPr>
        <w:t xml:space="preserve"> </w:t>
      </w:r>
      <w:r w:rsidR="00C6774A" w:rsidRPr="00D369B9">
        <w:rPr>
          <w:rtl/>
        </w:rPr>
        <w:t xml:space="preserve">لحساب </w:t>
      </w:r>
      <m:oMath>
        <m:sSub>
          <m:sSubPr>
            <m:ctrlPr>
              <w:rPr>
                <w:rFonts w:ascii="Cambria Math" w:hAnsi="Cambria Math"/>
                <w:i/>
                <w:sz w:val="24"/>
                <w:szCs w:val="20"/>
                <w:lang w:val="en-GB"/>
              </w:rPr>
            </m:ctrlPr>
          </m:sSubPr>
          <m:e>
            <m:r>
              <w:rPr>
                <w:rFonts w:ascii="Cambria Math" w:hAnsi="Cambria Math"/>
                <w:sz w:val="24"/>
                <w:szCs w:val="20"/>
                <w:lang w:val="en-GB"/>
              </w:rPr>
              <m:t>L</m:t>
            </m:r>
          </m:e>
          <m:sub>
            <m:r>
              <w:rPr>
                <w:rFonts w:ascii="Cambria Math" w:hAnsi="Cambria Math"/>
                <w:sz w:val="24"/>
                <w:szCs w:val="20"/>
                <w:lang w:val="en-GB"/>
              </w:rPr>
              <m:t>red</m:t>
            </m:r>
          </m:sub>
        </m:sSub>
      </m:oMath>
      <w:r w:rsidR="00C6774A" w:rsidRPr="00D369B9">
        <w:rPr>
          <w:rFonts w:hint="cs"/>
          <w:sz w:val="24"/>
          <w:szCs w:val="20"/>
          <w:rtl/>
          <w:lang w:val="en-GB"/>
        </w:rPr>
        <w:t xml:space="preserve"> </w:t>
      </w:r>
      <w:r w:rsidR="00C6774A" w:rsidRPr="00D369B9">
        <w:rPr>
          <w:rtl/>
        </w:rPr>
        <w:t>في</w:t>
      </w:r>
      <w:r w:rsidR="008B2697" w:rsidRPr="00D369B9">
        <w:rPr>
          <w:rFonts w:hint="cs"/>
          <w:rtl/>
        </w:rPr>
        <w:t> </w:t>
      </w:r>
      <w:r w:rsidR="00C6774A" w:rsidRPr="00D369B9">
        <w:rPr>
          <w:rtl/>
        </w:rPr>
        <w:t xml:space="preserve">جميع الحالات الأخرى </w:t>
      </w:r>
      <w:r w:rsidRPr="00D369B9">
        <w:rPr>
          <w:rtl/>
        </w:rPr>
        <w:t xml:space="preserve">بدلاً من </w:t>
      </w:r>
      <w:r w:rsidR="00C6774A" w:rsidRPr="00D369B9">
        <w:rPr>
          <w:rFonts w:hint="cs"/>
          <w:rtl/>
        </w:rPr>
        <w:t>الحساب التقريبي الوارد</w:t>
      </w:r>
      <w:r w:rsidRPr="00D369B9">
        <w:rPr>
          <w:rtl/>
        </w:rPr>
        <w:t xml:space="preserve"> في القسم </w:t>
      </w:r>
      <w:r w:rsidR="00C6774A" w:rsidRPr="00D369B9">
        <w:t>4</w:t>
      </w:r>
      <w:r w:rsidRPr="00D369B9">
        <w:rPr>
          <w:rtl/>
        </w:rPr>
        <w:t>.</w:t>
      </w:r>
    </w:p>
    <w:p w:rsidR="001B0D53" w:rsidRPr="00D369B9" w:rsidRDefault="00040AFC" w:rsidP="008A6235">
      <w:pPr>
        <w:rPr>
          <w:rtl/>
        </w:rPr>
      </w:pPr>
      <w:r w:rsidRPr="00D369B9">
        <w:rPr>
          <w:rFonts w:hint="cs"/>
          <w:rtl/>
        </w:rPr>
        <w:t>و</w:t>
      </w:r>
      <w:r w:rsidR="004C5430" w:rsidRPr="00D369B9">
        <w:rPr>
          <w:rtl/>
        </w:rPr>
        <w:t xml:space="preserve">يحل الملحق محل القسم </w:t>
      </w:r>
      <w:r w:rsidRPr="00D369B9">
        <w:t>4</w:t>
      </w:r>
      <w:r w:rsidR="004C5430" w:rsidRPr="00D369B9">
        <w:rPr>
          <w:rtl/>
        </w:rPr>
        <w:t xml:space="preserve"> بأكمله.</w:t>
      </w:r>
    </w:p>
    <w:p w:rsidR="00AF70F6" w:rsidRDefault="00AF70F6" w:rsidP="00AF70F6">
      <w:pPr>
        <w:spacing w:before="600"/>
        <w:jc w:val="center"/>
        <w:rPr>
          <w:rtl/>
          <w:lang w:bidi="ar-EG"/>
        </w:rPr>
      </w:pPr>
      <w:r w:rsidRPr="003D5F11">
        <w:rPr>
          <w:rtl/>
          <w:lang w:bidi="ar-EG"/>
        </w:rPr>
        <w:t>____</w:t>
      </w:r>
      <w:bookmarkStart w:id="2" w:name="_GoBack"/>
      <w:bookmarkEnd w:id="2"/>
      <w:r w:rsidRPr="003D5F11">
        <w:rPr>
          <w:rtl/>
          <w:lang w:bidi="ar-EG"/>
        </w:rPr>
        <w:t>_______</w:t>
      </w:r>
    </w:p>
    <w:sectPr w:rsidR="00AF70F6" w:rsidSect="008B5B5D">
      <w:head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259" w:rsidRDefault="003E3259" w:rsidP="00E07379">
      <w:pPr>
        <w:spacing w:before="0" w:line="240" w:lineRule="auto"/>
      </w:pPr>
      <w:r>
        <w:separator/>
      </w:r>
    </w:p>
  </w:endnote>
  <w:endnote w:type="continuationSeparator" w:id="0">
    <w:p w:rsidR="003E3259" w:rsidRDefault="003E325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259" w:rsidRDefault="003E3259" w:rsidP="00E07379">
      <w:pPr>
        <w:spacing w:before="0" w:line="240" w:lineRule="auto"/>
      </w:pPr>
      <w:r>
        <w:separator/>
      </w:r>
    </w:p>
  </w:footnote>
  <w:footnote w:type="continuationSeparator" w:id="0">
    <w:p w:rsidR="003E3259" w:rsidRDefault="003E325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5670DA">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rsidTr="001E3739">
      <w:trPr>
        <w:jc w:val="center"/>
      </w:trPr>
      <w:tc>
        <w:tcPr>
          <w:tcW w:w="2472" w:type="pct"/>
          <w:vAlign w:val="center"/>
        </w:tcPr>
        <w:p w:rsidR="00BD72FA" w:rsidRDefault="00BD72FA"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C31F7F" w:rsidRPr="00F36590" w:rsidRDefault="00C31F7F" w:rsidP="00BD72FA">
          <w:pPr>
            <w:pStyle w:val="Header"/>
            <w:jc w:val="left"/>
            <w:rPr>
              <w:lang w:val="en-GB" w:bidi="ar-EG"/>
            </w:rPr>
          </w:pPr>
        </w:p>
      </w:tc>
      <w:tc>
        <w:tcPr>
          <w:tcW w:w="2528" w:type="pct"/>
          <w:vAlign w:val="center"/>
        </w:tcPr>
        <w:p w:rsidR="00BD72FA" w:rsidRPr="00F36590" w:rsidRDefault="00BD72FA"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SA" w:vendorID="64" w:dllVersion="131078" w:nlCheck="1" w:checkStyle="0"/>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5B"/>
    <w:rsid w:val="00004ECF"/>
    <w:rsid w:val="000124CC"/>
    <w:rsid w:val="000150B6"/>
    <w:rsid w:val="00015CEB"/>
    <w:rsid w:val="00040AFC"/>
    <w:rsid w:val="00041F8B"/>
    <w:rsid w:val="00046444"/>
    <w:rsid w:val="00050184"/>
    <w:rsid w:val="0006023B"/>
    <w:rsid w:val="0008638B"/>
    <w:rsid w:val="00090574"/>
    <w:rsid w:val="00092FC2"/>
    <w:rsid w:val="000A1677"/>
    <w:rsid w:val="000B407F"/>
    <w:rsid w:val="000C13C2"/>
    <w:rsid w:val="000F0B1C"/>
    <w:rsid w:val="000F1D42"/>
    <w:rsid w:val="000F4D07"/>
    <w:rsid w:val="00102A03"/>
    <w:rsid w:val="001040A3"/>
    <w:rsid w:val="001566EA"/>
    <w:rsid w:val="001606BF"/>
    <w:rsid w:val="00173915"/>
    <w:rsid w:val="001B0D53"/>
    <w:rsid w:val="001D29DA"/>
    <w:rsid w:val="001F2ED3"/>
    <w:rsid w:val="0021544D"/>
    <w:rsid w:val="0022345D"/>
    <w:rsid w:val="00225854"/>
    <w:rsid w:val="0023283D"/>
    <w:rsid w:val="00252E0C"/>
    <w:rsid w:val="00266E13"/>
    <w:rsid w:val="00276881"/>
    <w:rsid w:val="002916BE"/>
    <w:rsid w:val="002978F4"/>
    <w:rsid w:val="002B028D"/>
    <w:rsid w:val="002B435E"/>
    <w:rsid w:val="002C2BF8"/>
    <w:rsid w:val="002C4DAE"/>
    <w:rsid w:val="002D4DD1"/>
    <w:rsid w:val="002D6669"/>
    <w:rsid w:val="002E6541"/>
    <w:rsid w:val="002E7A05"/>
    <w:rsid w:val="002F5560"/>
    <w:rsid w:val="002F7232"/>
    <w:rsid w:val="0030486B"/>
    <w:rsid w:val="00317A5B"/>
    <w:rsid w:val="003231B9"/>
    <w:rsid w:val="003275AC"/>
    <w:rsid w:val="00333D29"/>
    <w:rsid w:val="003409F4"/>
    <w:rsid w:val="00357185"/>
    <w:rsid w:val="003857FB"/>
    <w:rsid w:val="003C475F"/>
    <w:rsid w:val="003D3507"/>
    <w:rsid w:val="003D5F11"/>
    <w:rsid w:val="003E3259"/>
    <w:rsid w:val="003E4132"/>
    <w:rsid w:val="003F678F"/>
    <w:rsid w:val="0042686F"/>
    <w:rsid w:val="004367CE"/>
    <w:rsid w:val="00443869"/>
    <w:rsid w:val="004712C6"/>
    <w:rsid w:val="00497703"/>
    <w:rsid w:val="004C5430"/>
    <w:rsid w:val="004F0F06"/>
    <w:rsid w:val="00501E0E"/>
    <w:rsid w:val="005204D7"/>
    <w:rsid w:val="00530420"/>
    <w:rsid w:val="00541680"/>
    <w:rsid w:val="00552BC5"/>
    <w:rsid w:val="0055516A"/>
    <w:rsid w:val="0056374C"/>
    <w:rsid w:val="0056614F"/>
    <w:rsid w:val="005670DA"/>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80F08"/>
    <w:rsid w:val="006C0256"/>
    <w:rsid w:val="006C1556"/>
    <w:rsid w:val="006E31CB"/>
    <w:rsid w:val="006F267F"/>
    <w:rsid w:val="006F63F7"/>
    <w:rsid w:val="006F6F03"/>
    <w:rsid w:val="00706D7A"/>
    <w:rsid w:val="00726AEC"/>
    <w:rsid w:val="007530CA"/>
    <w:rsid w:val="00766211"/>
    <w:rsid w:val="00783A16"/>
    <w:rsid w:val="0079553D"/>
    <w:rsid w:val="007B01CC"/>
    <w:rsid w:val="007E683A"/>
    <w:rsid w:val="007E7C6C"/>
    <w:rsid w:val="007F2F9D"/>
    <w:rsid w:val="007F6238"/>
    <w:rsid w:val="007F646C"/>
    <w:rsid w:val="00801FCD"/>
    <w:rsid w:val="00803D7E"/>
    <w:rsid w:val="00803F08"/>
    <w:rsid w:val="008235CD"/>
    <w:rsid w:val="00823A07"/>
    <w:rsid w:val="008256DA"/>
    <w:rsid w:val="008260B2"/>
    <w:rsid w:val="00835FEC"/>
    <w:rsid w:val="008513CB"/>
    <w:rsid w:val="00873D47"/>
    <w:rsid w:val="00874D9C"/>
    <w:rsid w:val="008A1810"/>
    <w:rsid w:val="008A6235"/>
    <w:rsid w:val="008B0945"/>
    <w:rsid w:val="008B2697"/>
    <w:rsid w:val="008B5B5D"/>
    <w:rsid w:val="008B7FF3"/>
    <w:rsid w:val="00917694"/>
    <w:rsid w:val="00921471"/>
    <w:rsid w:val="00923199"/>
    <w:rsid w:val="009263CD"/>
    <w:rsid w:val="00930E6D"/>
    <w:rsid w:val="00933E83"/>
    <w:rsid w:val="0096253C"/>
    <w:rsid w:val="00972CA2"/>
    <w:rsid w:val="009734C8"/>
    <w:rsid w:val="00981C3D"/>
    <w:rsid w:val="00982B28"/>
    <w:rsid w:val="00984EA5"/>
    <w:rsid w:val="00992593"/>
    <w:rsid w:val="009A53F9"/>
    <w:rsid w:val="009B37AB"/>
    <w:rsid w:val="009C17E1"/>
    <w:rsid w:val="009C35ED"/>
    <w:rsid w:val="009D6BA4"/>
    <w:rsid w:val="009F1C12"/>
    <w:rsid w:val="00A124CB"/>
    <w:rsid w:val="00A2167A"/>
    <w:rsid w:val="00A25A43"/>
    <w:rsid w:val="00A3295B"/>
    <w:rsid w:val="00A379CF"/>
    <w:rsid w:val="00A42AE5"/>
    <w:rsid w:val="00A52B61"/>
    <w:rsid w:val="00A64820"/>
    <w:rsid w:val="00A71DD6"/>
    <w:rsid w:val="00A723C7"/>
    <w:rsid w:val="00A80E11"/>
    <w:rsid w:val="00A97F94"/>
    <w:rsid w:val="00AA7356"/>
    <w:rsid w:val="00AB1309"/>
    <w:rsid w:val="00AC2C52"/>
    <w:rsid w:val="00AD1503"/>
    <w:rsid w:val="00AE7244"/>
    <w:rsid w:val="00AF3FEE"/>
    <w:rsid w:val="00AF70F6"/>
    <w:rsid w:val="00B02F46"/>
    <w:rsid w:val="00B2000C"/>
    <w:rsid w:val="00B200E9"/>
    <w:rsid w:val="00B20ADE"/>
    <w:rsid w:val="00B31F96"/>
    <w:rsid w:val="00B55CE4"/>
    <w:rsid w:val="00B66B9A"/>
    <w:rsid w:val="00B82089"/>
    <w:rsid w:val="00B970AE"/>
    <w:rsid w:val="00BA1427"/>
    <w:rsid w:val="00BD72FA"/>
    <w:rsid w:val="00BE49D0"/>
    <w:rsid w:val="00BF2C38"/>
    <w:rsid w:val="00C23331"/>
    <w:rsid w:val="00C265DA"/>
    <w:rsid w:val="00C31F7F"/>
    <w:rsid w:val="00C442F2"/>
    <w:rsid w:val="00C56968"/>
    <w:rsid w:val="00C64A0E"/>
    <w:rsid w:val="00C674FE"/>
    <w:rsid w:val="00C6774A"/>
    <w:rsid w:val="00C7297D"/>
    <w:rsid w:val="00C75633"/>
    <w:rsid w:val="00C8242E"/>
    <w:rsid w:val="00C82615"/>
    <w:rsid w:val="00C867DB"/>
    <w:rsid w:val="00C938A9"/>
    <w:rsid w:val="00CA2A38"/>
    <w:rsid w:val="00CA50FF"/>
    <w:rsid w:val="00CC3CD2"/>
    <w:rsid w:val="00CC43BE"/>
    <w:rsid w:val="00CD123C"/>
    <w:rsid w:val="00CD2085"/>
    <w:rsid w:val="00CD2B78"/>
    <w:rsid w:val="00CE2EE1"/>
    <w:rsid w:val="00CE352F"/>
    <w:rsid w:val="00CE3EBC"/>
    <w:rsid w:val="00CF3FFD"/>
    <w:rsid w:val="00CF5ED3"/>
    <w:rsid w:val="00D0494C"/>
    <w:rsid w:val="00D14BEB"/>
    <w:rsid w:val="00D21C89"/>
    <w:rsid w:val="00D34647"/>
    <w:rsid w:val="00D369B9"/>
    <w:rsid w:val="00D37B45"/>
    <w:rsid w:val="00D45542"/>
    <w:rsid w:val="00D77D0F"/>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352CF"/>
    <w:rsid w:val="00E45211"/>
    <w:rsid w:val="00E7380C"/>
    <w:rsid w:val="00E74BE7"/>
    <w:rsid w:val="00E81B8B"/>
    <w:rsid w:val="00E8688E"/>
    <w:rsid w:val="00E86CC9"/>
    <w:rsid w:val="00E96624"/>
    <w:rsid w:val="00ED54BD"/>
    <w:rsid w:val="00F126F1"/>
    <w:rsid w:val="00F2106A"/>
    <w:rsid w:val="00F36D8B"/>
    <w:rsid w:val="00F401D0"/>
    <w:rsid w:val="00F45F2B"/>
    <w:rsid w:val="00F57AE4"/>
    <w:rsid w:val="00F66688"/>
    <w:rsid w:val="00F67150"/>
    <w:rsid w:val="00F81C3F"/>
    <w:rsid w:val="00F84366"/>
    <w:rsid w:val="00F85089"/>
    <w:rsid w:val="00F85564"/>
    <w:rsid w:val="00F86650"/>
    <w:rsid w:val="00F86CFA"/>
    <w:rsid w:val="00FA1A7B"/>
    <w:rsid w:val="00FD58BD"/>
    <w:rsid w:val="00FE4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DAC63E6-8B18-4D64-9C58-2BB206EC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317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17A5B"/>
    <w:pPr>
      <w:keepNext/>
      <w:keepLines/>
      <w:spacing w:before="120" w:after="360"/>
    </w:pPr>
    <w:rPr>
      <w:b/>
      <w:bCs/>
      <w:sz w:val="28"/>
      <w:szCs w:val="40"/>
    </w:rPr>
  </w:style>
  <w:style w:type="paragraph" w:customStyle="1" w:styleId="enumlev10">
    <w:name w:val="enumlev 1"/>
    <w:basedOn w:val="Normal"/>
    <w:qFormat/>
    <w:rsid w:val="0096253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character" w:styleId="FollowedHyperlink">
    <w:name w:val="FollowedHyperlink"/>
    <w:basedOn w:val="DefaultParagraphFont"/>
    <w:uiPriority w:val="99"/>
    <w:semiHidden/>
    <w:unhideWhenUsed/>
    <w:rsid w:val="00981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3-C-0093/en" TargetMode="External"/><Relationship Id="rId18" Type="http://schemas.openxmlformats.org/officeDocument/2006/relationships/hyperlink" Target="https://www.itu.int/md/R15-SG03-C/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en/ITU-T/ipr/Pages/policy.aspx" TargetMode="External"/><Relationship Id="rId17" Type="http://schemas.openxmlformats.org/officeDocument/2006/relationships/hyperlink" Target="https://www.itu.int/md/R15-SG03-C-0098/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SG03-C-0097/en" TargetMode="External"/><Relationship Id="rId20" Type="http://schemas.openxmlformats.org/officeDocument/2006/relationships/hyperlink" Target="https://www.itu.int/md/R15-SG03-C-0095/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RE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R15-SG03-C-0095/en" TargetMode="External"/><Relationship Id="rId23" Type="http://schemas.openxmlformats.org/officeDocument/2006/relationships/footer" Target="footer1.xml"/><Relationship Id="rId10" Type="http://schemas.openxmlformats.org/officeDocument/2006/relationships/hyperlink" Target="mailto:brsgd@itu.int" TargetMode="External"/><Relationship Id="rId19" Type="http://schemas.openxmlformats.org/officeDocument/2006/relationships/hyperlink" Target="https://www.itu.int/rec/R-REC-P.34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3-C-0094/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6639\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03ED4D10-A407-4F8B-BBA8-845EE276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103</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Limousin, Catherine</cp:lastModifiedBy>
  <cp:revision>39</cp:revision>
  <cp:lastPrinted>2019-06-11T15:16:00Z</cp:lastPrinted>
  <dcterms:created xsi:type="dcterms:W3CDTF">2019-06-11T14:02:00Z</dcterms:created>
  <dcterms:modified xsi:type="dcterms:W3CDTF">2019-06-12T14:52:00Z</dcterms:modified>
  <cp:category>Conference document</cp:category>
</cp:coreProperties>
</file>