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245D82">
              <w:rPr>
                <w:b/>
                <w:bCs/>
                <w:szCs w:val="24"/>
                <w:lang w:val="es-ES_tradnl"/>
              </w:rPr>
              <w:t>901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245D82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14 de junio de 2019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572A1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245D82">
              <w:rPr>
                <w:b/>
                <w:bCs/>
                <w:lang w:val="es-ES_tradnl"/>
              </w:rPr>
              <w:t>7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4A72A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245D82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FB0863">
              <w:rPr>
                <w:b/>
                <w:lang w:val="es-ES_tradnl"/>
              </w:rPr>
              <w:t xml:space="preserve">7 </w:t>
            </w:r>
            <w:r w:rsidRPr="00D00AD1">
              <w:rPr>
                <w:b/>
                <w:lang w:val="es-ES_tradnl"/>
              </w:rPr>
              <w:t>de Radiocomunicaciones</w:t>
            </w:r>
            <w:r w:rsidR="00470826">
              <w:rPr>
                <w:b/>
                <w:lang w:val="es-ES_tradnl"/>
              </w:rPr>
              <w:t xml:space="preserve"> (</w:t>
            </w:r>
            <w:r w:rsidR="00245D82" w:rsidRPr="00245D82">
              <w:rPr>
                <w:b/>
                <w:lang w:val="es-ES_tradnl"/>
              </w:rPr>
              <w:t>Servicios científicos</w:t>
            </w:r>
            <w:r w:rsidR="00470826">
              <w:rPr>
                <w:b/>
                <w:lang w:val="es-ES_tradnl"/>
              </w:rPr>
              <w:t>)</w:t>
            </w:r>
          </w:p>
          <w:p w:rsidR="002E6646" w:rsidRPr="003428EF" w:rsidRDefault="002E6646" w:rsidP="00572A16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3B4CF0">
              <w:rPr>
                <w:b/>
                <w:bCs/>
                <w:lang w:val="es-ES"/>
              </w:rPr>
              <w:t>4</w:t>
            </w:r>
            <w:r w:rsidRPr="003428EF">
              <w:rPr>
                <w:b/>
                <w:bCs/>
                <w:lang w:val="es-ES"/>
              </w:rPr>
              <w:t xml:space="preserve"> proyectos de Recomendaciones UIT-R revisadas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  <w:p w:rsidR="002E6646" w:rsidRPr="00D00AD1" w:rsidRDefault="002E6646" w:rsidP="00572A16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>–</w:t>
            </w:r>
            <w:r w:rsidRPr="00D00AD1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3B4CF0">
              <w:rPr>
                <w:b/>
                <w:bCs/>
                <w:lang w:val="es-ES_tradnl"/>
              </w:rPr>
              <w:t>2</w:t>
            </w:r>
            <w:r w:rsidRPr="00D00AD1">
              <w:rPr>
                <w:b/>
                <w:bCs/>
                <w:lang w:val="es-ES_tradnl"/>
              </w:rPr>
              <w:t xml:space="preserve"> Recomendaciones UIT-R</w:t>
            </w:r>
          </w:p>
        </w:tc>
      </w:tr>
      <w:tr w:rsidR="00E53DCE" w:rsidRPr="004A72A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4A72A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Default="002E6646" w:rsidP="00FB0863">
      <w:pPr>
        <w:spacing w:before="240"/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3B4CF0">
        <w:rPr>
          <w:lang w:val="es-ES_tradnl"/>
        </w:rPr>
        <w:t>7</w:t>
      </w:r>
      <w:r w:rsidRPr="00D00AD1">
        <w:rPr>
          <w:lang w:val="es-ES_tradnl"/>
        </w:rPr>
        <w:t xml:space="preserve"> de Radiocomunicaciones celebrada el </w:t>
      </w:r>
      <w:r w:rsidR="003B4CF0">
        <w:rPr>
          <w:lang w:val="es-ES_tradnl"/>
        </w:rPr>
        <w:t>5</w:t>
      </w:r>
      <w:r w:rsidRPr="00D00AD1">
        <w:rPr>
          <w:lang w:val="es-ES_tradnl"/>
        </w:rPr>
        <w:t xml:space="preserve"> de </w:t>
      </w:r>
      <w:r w:rsidR="003B4CF0">
        <w:rPr>
          <w:lang w:val="es-ES_tradnl"/>
        </w:rPr>
        <w:t>junio</w:t>
      </w:r>
      <w:r w:rsidRPr="00D00AD1">
        <w:rPr>
          <w:lang w:val="es-ES_tradnl"/>
        </w:rPr>
        <w:t xml:space="preserve"> de 201</w:t>
      </w:r>
      <w:r w:rsidR="003B4CF0">
        <w:rPr>
          <w:lang w:val="es-ES_tradnl"/>
        </w:rPr>
        <w:t>9</w:t>
      </w:r>
      <w:r w:rsidRPr="00D00AD1">
        <w:rPr>
          <w:lang w:val="es-ES_tradnl"/>
        </w:rPr>
        <w:t xml:space="preserve">, la Comisión de Estudio decidió solicitar la adopción de </w:t>
      </w:r>
      <w:r w:rsidR="003B4CF0">
        <w:rPr>
          <w:lang w:val="es-ES_tradnl"/>
        </w:rPr>
        <w:t>4</w:t>
      </w:r>
      <w:r w:rsidRPr="00D00AD1">
        <w:rPr>
          <w:lang w:val="es-ES_tradnl"/>
        </w:rPr>
        <w:t xml:space="preserve"> proyectos de Recomendaciones UIT-R revisadas por correspondencia (§ A2.6.2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(PAAS</w:t>
      </w:r>
      <w:r w:rsidR="00470826">
        <w:rPr>
          <w:lang w:val="es-ES_tradnl"/>
        </w:rPr>
        <w:t xml:space="preserve">, </w:t>
      </w:r>
      <w:r w:rsidRPr="00D00AD1">
        <w:rPr>
          <w:lang w:val="es-ES_tradnl"/>
        </w:rPr>
        <w:t>§ A2.6.2.4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Los títulos y resúmenes de los proyectos de Recomendaciones aparecen en el Anexo </w:t>
      </w:r>
      <w:r w:rsidR="007D5338">
        <w:rPr>
          <w:lang w:val="es-ES_tradnl"/>
        </w:rPr>
        <w:t>1</w:t>
      </w:r>
      <w:r w:rsidRPr="00D00AD1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  <w:r w:rsidR="001D522A">
        <w:rPr>
          <w:lang w:val="es-ES_tradnl"/>
        </w:rPr>
        <w:t xml:space="preserve"> </w:t>
      </w:r>
    </w:p>
    <w:p w:rsidR="002E6646" w:rsidRPr="00D00AD1" w:rsidRDefault="00CD1697" w:rsidP="00572A16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D54555">
        <w:rPr>
          <w:u w:val="single"/>
          <w:lang w:val="es-ES_tradnl"/>
        </w:rPr>
        <w:t>14</w:t>
      </w:r>
      <w:r w:rsidRPr="00CD1697">
        <w:rPr>
          <w:u w:val="single"/>
          <w:lang w:val="es-ES_tradnl"/>
        </w:rPr>
        <w:t xml:space="preserve"> </w:t>
      </w:r>
      <w:r w:rsidR="00D54555">
        <w:rPr>
          <w:u w:val="single"/>
          <w:lang w:val="es-ES_tradnl"/>
        </w:rPr>
        <w:t>de agosto</w:t>
      </w:r>
      <w:r w:rsidRPr="00CD1697">
        <w:rPr>
          <w:u w:val="single"/>
          <w:lang w:val="es-ES_tradnl"/>
        </w:rPr>
        <w:t xml:space="preserve"> de 201</w:t>
      </w:r>
      <w:r w:rsidR="00D54555">
        <w:rPr>
          <w:u w:val="single"/>
          <w:lang w:val="es-ES_tradnl"/>
        </w:rPr>
        <w:t>9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>Si durante este periodo no se reciben objeciones de los Estados Miembros, se considerará</w:t>
      </w:r>
      <w:r>
        <w:rPr>
          <w:lang w:val="es-ES_tradnl"/>
        </w:rPr>
        <w:t>n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adoptados</w:t>
      </w:r>
      <w:r w:rsidRPr="00CD1697">
        <w:rPr>
          <w:lang w:val="es-ES_tradnl"/>
        </w:rPr>
        <w:t xml:space="preserve"> los proyectos de Recomendación por la Comisión de Estudio </w:t>
      </w:r>
      <w:r w:rsidR="0088729E">
        <w:rPr>
          <w:lang w:val="es-ES_tradnl"/>
        </w:rPr>
        <w:t>7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proofErr w:type="spellStart"/>
      <w:r w:rsidRPr="00CD1697">
        <w:rPr>
          <w:lang w:val="es-ES_tradnl"/>
        </w:rPr>
        <w:t>PAAS</w:t>
      </w:r>
      <w:proofErr w:type="spellEnd"/>
      <w:r w:rsidRPr="00CD1697">
        <w:rPr>
          <w:lang w:val="es-ES_tradnl"/>
        </w:rPr>
        <w:t>, los proyectos de Recomendación también se considerarán aprobados.</w:t>
      </w:r>
    </w:p>
    <w:p w:rsidR="002E6646" w:rsidRPr="00D00AD1" w:rsidRDefault="002E6646" w:rsidP="00572A16">
      <w:pPr>
        <w:rPr>
          <w:lang w:val="es-ES_tradnl"/>
        </w:rPr>
      </w:pPr>
      <w:r w:rsidRPr="00D00AD1">
        <w:rPr>
          <w:lang w:val="es-ES_tradnl"/>
        </w:rPr>
        <w:t xml:space="preserve">Además, la Comisión de Estudio propuso la supresión de </w:t>
      </w:r>
      <w:r w:rsidR="0088729E">
        <w:rPr>
          <w:lang w:val="es-ES_tradnl"/>
        </w:rPr>
        <w:t>2</w:t>
      </w:r>
      <w:r w:rsidRPr="00D00AD1">
        <w:rPr>
          <w:lang w:val="es-ES_tradnl"/>
        </w:rPr>
        <w:t xml:space="preserve"> Recomendaci</w:t>
      </w:r>
      <w:r w:rsidR="0088729E">
        <w:rPr>
          <w:lang w:val="es-ES_tradnl"/>
        </w:rPr>
        <w:t>o</w:t>
      </w:r>
      <w:r w:rsidRPr="00D00AD1">
        <w:rPr>
          <w:lang w:val="es-ES_tradnl"/>
        </w:rPr>
        <w:t>nes que se enumeran en el Anexo 2. Todo Estado Miembro que objete la supresión de un</w:t>
      </w:r>
      <w:r w:rsidR="0012191D">
        <w:rPr>
          <w:lang w:val="es-ES_tradnl"/>
        </w:rPr>
        <w:t>a</w:t>
      </w:r>
      <w:r w:rsidRPr="00D00AD1">
        <w:rPr>
          <w:lang w:val="es-ES_tradnl"/>
        </w:rPr>
        <w:t xml:space="preserve"> Recomendación debe informar al Director y al Presidente de la Comisión de Estudio de los motivos de dicha objeción.</w:t>
      </w:r>
    </w:p>
    <w:p w:rsidR="00CD1697" w:rsidRDefault="00CD1697" w:rsidP="00572A16">
      <w:pPr>
        <w:rPr>
          <w:lang w:val="es-ES_tradnl"/>
        </w:rPr>
      </w:pPr>
      <w:r w:rsidRPr="00CD1697">
        <w:rPr>
          <w:lang w:val="es-ES_tradnl"/>
        </w:rPr>
        <w:t xml:space="preserve">El periodo de consideración se extenderá durante 2 meses finalizando el </w:t>
      </w:r>
      <w:r w:rsidR="0088729E">
        <w:rPr>
          <w:u w:val="single"/>
          <w:lang w:val="es-ES_tradnl"/>
        </w:rPr>
        <w:t>14 de</w:t>
      </w:r>
      <w:r w:rsidRPr="004B6204">
        <w:rPr>
          <w:u w:val="single"/>
          <w:lang w:val="es-ES_tradnl"/>
        </w:rPr>
        <w:t xml:space="preserve"> </w:t>
      </w:r>
      <w:r w:rsidR="00572A16">
        <w:rPr>
          <w:u w:val="single"/>
          <w:lang w:val="es-ES_tradnl"/>
        </w:rPr>
        <w:t>agosto</w:t>
      </w:r>
      <w:r w:rsidRPr="004B6204">
        <w:rPr>
          <w:u w:val="single"/>
          <w:lang w:val="es-ES_tradnl"/>
        </w:rPr>
        <w:t xml:space="preserve"> de 201</w:t>
      </w:r>
      <w:r w:rsidR="00901D06">
        <w:rPr>
          <w:u w:val="single"/>
          <w:lang w:val="es-ES_tradnl"/>
        </w:rPr>
        <w:t>9</w:t>
      </w:r>
      <w:r w:rsidRPr="00CD1697">
        <w:rPr>
          <w:lang w:val="es-ES_tradnl"/>
        </w:rPr>
        <w:t>. Si durante este periodo no se reciben objeciones de los Estados Miembros a la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propuesta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de supresión, se considerará que la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 Recomendaci</w:t>
      </w:r>
      <w:r w:rsidR="00901D06">
        <w:rPr>
          <w:lang w:val="es-ES_tradnl"/>
        </w:rPr>
        <w:t>o</w:t>
      </w:r>
      <w:r w:rsidRPr="00CD1697">
        <w:rPr>
          <w:lang w:val="es-ES_tradnl"/>
        </w:rPr>
        <w:t>n</w:t>
      </w:r>
      <w:r w:rsidR="004B6204">
        <w:rPr>
          <w:lang w:val="es-ES_tradnl"/>
        </w:rPr>
        <w:t>es</w:t>
      </w:r>
      <w:r w:rsidRPr="00CD1697">
        <w:rPr>
          <w:lang w:val="es-ES_tradnl"/>
        </w:rPr>
        <w:t xml:space="preserve"> queda</w:t>
      </w:r>
      <w:r w:rsidR="004B6204">
        <w:rPr>
          <w:lang w:val="es-ES_tradnl"/>
        </w:rPr>
        <w:t>n</w:t>
      </w:r>
      <w:r w:rsidRPr="00CD1697">
        <w:rPr>
          <w:lang w:val="es-ES_tradnl"/>
        </w:rPr>
        <w:t xml:space="preserve"> suprimida</w:t>
      </w:r>
      <w:r w:rsidR="004B6204">
        <w:rPr>
          <w:lang w:val="es-ES_tradnl"/>
        </w:rPr>
        <w:t>s</w:t>
      </w:r>
      <w:r w:rsidRPr="00CD1697">
        <w:rPr>
          <w:lang w:val="es-ES_tradnl"/>
        </w:rPr>
        <w:t xml:space="preserve">. </w:t>
      </w:r>
    </w:p>
    <w:p w:rsidR="002E6646" w:rsidRPr="00D00AD1" w:rsidRDefault="002E6646" w:rsidP="00F9075E">
      <w:pPr>
        <w:keepNext/>
        <w:rPr>
          <w:lang w:val="es-ES_tradnl"/>
        </w:rPr>
      </w:pPr>
      <w:r w:rsidRPr="00D00AD1">
        <w:rPr>
          <w:lang w:val="es-ES_tradnl"/>
        </w:rPr>
        <w:lastRenderedPageBreak/>
        <w:t xml:space="preserve">Tras la fecha límite mencionada, los resultados </w:t>
      </w:r>
      <w:r w:rsidR="00D45A40">
        <w:rPr>
          <w:lang w:val="es-ES_tradnl"/>
        </w:rPr>
        <w:t xml:space="preserve">de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Recomendaci</w:t>
      </w:r>
      <w:r w:rsidR="00901D06">
        <w:rPr>
          <w:lang w:val="es-ES_tradnl"/>
        </w:rPr>
        <w:t>o</w:t>
      </w:r>
      <w:r w:rsidRPr="00D00AD1">
        <w:rPr>
          <w:lang w:val="es-ES_tradnl"/>
        </w:rPr>
        <w:t xml:space="preserve">nes 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:rsidR="006A124F" w:rsidRDefault="002E6646" w:rsidP="00F9075E">
      <w:pPr>
        <w:keepLines/>
        <w:spacing w:before="120"/>
        <w:rPr>
          <w:lang w:val="es-ES_tradnl"/>
        </w:rPr>
      </w:pPr>
      <w:r w:rsidRPr="00D00AD1">
        <w:rPr>
          <w:lang w:val="es-ES_tradnl"/>
        </w:rPr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Pages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:rsidR="002E6646" w:rsidRPr="0062522E" w:rsidRDefault="00320724" w:rsidP="00FB0863">
      <w:pPr>
        <w:spacing w:before="1920" w:line="240" w:lineRule="auto"/>
        <w:jc w:val="left"/>
        <w:rPr>
          <w:szCs w:val="24"/>
          <w:lang w:val="es-ES_tradnl"/>
        </w:rPr>
      </w:pPr>
      <w:r w:rsidRPr="00572A16">
        <w:rPr>
          <w:szCs w:val="24"/>
          <w:lang w:val="es-ES"/>
        </w:rPr>
        <w:t xml:space="preserve">Mario </w:t>
      </w:r>
      <w:proofErr w:type="spellStart"/>
      <w:r w:rsidRPr="00572A16">
        <w:rPr>
          <w:szCs w:val="24"/>
          <w:lang w:val="es-ES"/>
        </w:rPr>
        <w:t>Maniewicz</w:t>
      </w:r>
      <w:proofErr w:type="spellEnd"/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:rsidR="002E6646" w:rsidRPr="00D00AD1" w:rsidRDefault="002E6646" w:rsidP="00F9075E">
      <w:pPr>
        <w:spacing w:before="2040"/>
        <w:rPr>
          <w:lang w:val="es-ES_tradnl"/>
        </w:rPr>
      </w:pPr>
      <w:r w:rsidRPr="00D00AD1">
        <w:rPr>
          <w:b/>
          <w:bCs/>
          <w:lang w:val="es-ES_tradnl"/>
        </w:rPr>
        <w:t>Anexo 1: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Títulos y res</w:t>
      </w:r>
      <w:r w:rsidR="00901D06">
        <w:rPr>
          <w:lang w:val="es-ES_tradnl"/>
        </w:rPr>
        <w:t>ú</w:t>
      </w:r>
      <w:r w:rsidRPr="00D00AD1">
        <w:rPr>
          <w:lang w:val="es-ES_tradnl"/>
        </w:rPr>
        <w:t>menes de los proyectos de Recomendación</w:t>
      </w:r>
    </w:p>
    <w:p w:rsidR="002E6646" w:rsidRDefault="002E6646" w:rsidP="0009485C">
      <w:pPr>
        <w:spacing w:before="120"/>
        <w:rPr>
          <w:lang w:val="es-ES_tradnl"/>
        </w:rPr>
      </w:pPr>
      <w:r w:rsidRPr="00D00AD1">
        <w:rPr>
          <w:b/>
          <w:bCs/>
          <w:lang w:val="es-ES_tradnl"/>
        </w:rPr>
        <w:t>Anexo 2: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Recomendaci</w:t>
      </w:r>
      <w:r w:rsidR="00901D06">
        <w:rPr>
          <w:lang w:val="es-ES_tradnl"/>
        </w:rPr>
        <w:t>o</w:t>
      </w:r>
      <w:r w:rsidRPr="00D00AD1">
        <w:rPr>
          <w:lang w:val="es-ES_tradnl"/>
        </w:rPr>
        <w:t>nes cuya supresión se propone</w:t>
      </w:r>
    </w:p>
    <w:p w:rsidR="002E6646" w:rsidRPr="00572A16" w:rsidRDefault="002E6646" w:rsidP="00F9075E">
      <w:pPr>
        <w:spacing w:before="1320"/>
        <w:rPr>
          <w:lang w:val="es-ES"/>
        </w:rPr>
      </w:pPr>
      <w:r w:rsidRPr="00D00AD1">
        <w:rPr>
          <w:b/>
          <w:bCs/>
          <w:lang w:val="es-ES_tradnl"/>
        </w:rPr>
        <w:t>Documentos: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Documento</w:t>
      </w:r>
      <w:r w:rsidR="00901D06">
        <w:rPr>
          <w:lang w:val="es-ES_tradnl"/>
        </w:rPr>
        <w:t>s</w:t>
      </w:r>
      <w:r w:rsidRPr="00D00AD1">
        <w:rPr>
          <w:lang w:val="es-ES_tradnl"/>
        </w:rPr>
        <w:t xml:space="preserve"> </w:t>
      </w:r>
      <w:r w:rsidR="00901D06" w:rsidRPr="00572A16">
        <w:rPr>
          <w:szCs w:val="24"/>
          <w:lang w:val="es-ES"/>
        </w:rPr>
        <w:t>7/109(</w:t>
      </w:r>
      <w:proofErr w:type="spellStart"/>
      <w:r w:rsidR="00901D06" w:rsidRPr="00572A16">
        <w:rPr>
          <w:szCs w:val="24"/>
          <w:lang w:val="es-ES"/>
        </w:rPr>
        <w:t>Rev.1</w:t>
      </w:r>
      <w:proofErr w:type="spellEnd"/>
      <w:r w:rsidR="00901D06" w:rsidRPr="00572A16">
        <w:rPr>
          <w:szCs w:val="24"/>
          <w:lang w:val="es-ES"/>
        </w:rPr>
        <w:t>), 7/110(</w:t>
      </w:r>
      <w:proofErr w:type="spellStart"/>
      <w:r w:rsidR="00901D06" w:rsidRPr="00572A16">
        <w:rPr>
          <w:szCs w:val="24"/>
          <w:lang w:val="es-ES"/>
        </w:rPr>
        <w:t>Rev.1</w:t>
      </w:r>
      <w:proofErr w:type="spellEnd"/>
      <w:r w:rsidR="00901D06" w:rsidRPr="00572A16">
        <w:rPr>
          <w:szCs w:val="24"/>
          <w:lang w:val="es-ES"/>
        </w:rPr>
        <w:t>), 7/111(</w:t>
      </w:r>
      <w:proofErr w:type="spellStart"/>
      <w:r w:rsidR="00901D06" w:rsidRPr="00572A16">
        <w:rPr>
          <w:szCs w:val="24"/>
          <w:lang w:val="es-ES"/>
        </w:rPr>
        <w:t>Rev.1</w:t>
      </w:r>
      <w:proofErr w:type="spellEnd"/>
      <w:r w:rsidR="00901D06" w:rsidRPr="00572A16">
        <w:rPr>
          <w:szCs w:val="24"/>
          <w:lang w:val="es-ES"/>
        </w:rPr>
        <w:t>), 7/112(</w:t>
      </w:r>
      <w:proofErr w:type="spellStart"/>
      <w:r w:rsidR="00901D06" w:rsidRPr="00572A16">
        <w:rPr>
          <w:szCs w:val="24"/>
          <w:lang w:val="es-ES"/>
        </w:rPr>
        <w:t>Rev.1</w:t>
      </w:r>
      <w:proofErr w:type="spellEnd"/>
      <w:r w:rsidR="00901D06" w:rsidRPr="00572A16">
        <w:rPr>
          <w:szCs w:val="24"/>
          <w:lang w:val="es-ES"/>
        </w:rPr>
        <w:t>), 7/107</w:t>
      </w:r>
    </w:p>
    <w:p w:rsidR="002E6646" w:rsidRPr="00D00AD1" w:rsidRDefault="002E6646" w:rsidP="0009485C">
      <w:pPr>
        <w:spacing w:before="120"/>
        <w:jc w:val="left"/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901D06">
        <w:rPr>
          <w:lang w:val="es-ES_tradnl"/>
        </w:rPr>
        <w:t xml:space="preserve"> </w:t>
      </w:r>
      <w:hyperlink r:id="rId10" w:history="1">
        <w:r w:rsidR="00901D06" w:rsidRPr="00A01917">
          <w:rPr>
            <w:rStyle w:val="Hyperlink"/>
            <w:lang w:val="es-ES_tradnl"/>
          </w:rPr>
          <w:t>https://</w:t>
        </w:r>
        <w:proofErr w:type="spellStart"/>
        <w:r w:rsidR="00901D06" w:rsidRPr="00A01917">
          <w:rPr>
            <w:rStyle w:val="Hyperlink"/>
            <w:lang w:val="es-ES_tradnl"/>
          </w:rPr>
          <w:t>www.itu.int</w:t>
        </w:r>
        <w:proofErr w:type="spellEnd"/>
        <w:r w:rsidR="00901D06" w:rsidRPr="00A01917">
          <w:rPr>
            <w:rStyle w:val="Hyperlink"/>
            <w:lang w:val="es-ES_tradnl"/>
          </w:rPr>
          <w:t>/md/</w:t>
        </w:r>
        <w:proofErr w:type="spellStart"/>
        <w:r w:rsidR="00901D06" w:rsidRPr="00A01917">
          <w:rPr>
            <w:rStyle w:val="Hyperlink"/>
            <w:lang w:val="es-ES_tradnl"/>
          </w:rPr>
          <w:t>R15</w:t>
        </w:r>
        <w:proofErr w:type="spellEnd"/>
        <w:r w:rsidR="00901D06" w:rsidRPr="00A01917">
          <w:rPr>
            <w:rStyle w:val="Hyperlink"/>
            <w:lang w:val="es-ES_tradnl"/>
          </w:rPr>
          <w:t>-</w:t>
        </w:r>
        <w:proofErr w:type="spellStart"/>
        <w:r w:rsidR="00901D06" w:rsidRPr="00A01917">
          <w:rPr>
            <w:rStyle w:val="Hyperlink"/>
            <w:lang w:val="es-ES_tradnl"/>
          </w:rPr>
          <w:t>SG07</w:t>
        </w:r>
        <w:proofErr w:type="spellEnd"/>
        <w:r w:rsidR="00901D06" w:rsidRPr="00A01917">
          <w:rPr>
            <w:rStyle w:val="Hyperlink"/>
            <w:lang w:val="es-ES_tradnl"/>
          </w:rPr>
          <w:t>-C/es</w:t>
        </w:r>
      </w:hyperlink>
      <w:r w:rsidR="00901D06">
        <w:rPr>
          <w:lang w:val="es-ES_tradnl"/>
        </w:rPr>
        <w:t xml:space="preserve"> </w:t>
      </w:r>
    </w:p>
    <w:p w:rsidR="002E6646" w:rsidRPr="00D00AD1" w:rsidRDefault="002E6646" w:rsidP="00F9075E">
      <w:pPr>
        <w:tabs>
          <w:tab w:val="left" w:pos="284"/>
          <w:tab w:val="left" w:pos="568"/>
        </w:tabs>
        <w:spacing w:before="180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 w:rsidR="00421D59">
        <w:rPr>
          <w:sz w:val="18"/>
          <w:szCs w:val="18"/>
          <w:lang w:val="es-ES_tradnl"/>
        </w:rPr>
        <w:t xml:space="preserve">Miembros de la UIT y </w:t>
      </w:r>
      <w:r w:rsidRPr="00D00AD1">
        <w:rPr>
          <w:sz w:val="18"/>
          <w:szCs w:val="18"/>
          <w:lang w:val="es-ES_tradnl"/>
        </w:rPr>
        <w:t xml:space="preserve">Miembros del Sector de Radiocomunicaciones </w:t>
      </w:r>
      <w:r w:rsidR="00551683">
        <w:rPr>
          <w:sz w:val="18"/>
          <w:szCs w:val="18"/>
          <w:lang w:val="es-ES_tradnl"/>
        </w:rPr>
        <w:br/>
      </w:r>
      <w:r w:rsidRPr="00D00AD1">
        <w:rPr>
          <w:sz w:val="18"/>
          <w:szCs w:val="18"/>
          <w:lang w:val="es-ES_tradnl"/>
        </w:rPr>
        <w:t xml:space="preserve">que participan en los trabajos de la Comisión de Estudio </w:t>
      </w:r>
      <w:r w:rsidR="00980750">
        <w:rPr>
          <w:sz w:val="18"/>
          <w:szCs w:val="18"/>
          <w:lang w:val="es-ES_tradnl"/>
        </w:rPr>
        <w:t>7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980750">
        <w:rPr>
          <w:sz w:val="18"/>
          <w:szCs w:val="18"/>
          <w:lang w:val="es-ES_tradnl"/>
        </w:rPr>
        <w:t>7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Instituciones Académicas de la UIT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D00AD1" w:rsidRDefault="002E6646" w:rsidP="0055168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551683">
        <w:rPr>
          <w:sz w:val="18"/>
          <w:szCs w:val="18"/>
          <w:lang w:val="es-ES_tradnl"/>
        </w:rPr>
        <w:br/>
      </w:r>
      <w:r w:rsidRPr="00D00AD1">
        <w:rPr>
          <w:sz w:val="18"/>
          <w:szCs w:val="18"/>
          <w:lang w:val="es-ES_tradnl"/>
        </w:rPr>
        <w:t>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864706" w:rsidRPr="00925AD7" w:rsidRDefault="00864706" w:rsidP="00864706">
      <w:pPr>
        <w:pStyle w:val="AnnexNoTitle"/>
        <w:rPr>
          <w:sz w:val="28"/>
          <w:szCs w:val="24"/>
          <w:lang w:val="es-ES_tradnl"/>
        </w:rPr>
      </w:pPr>
      <w:r w:rsidRPr="00925AD7">
        <w:rPr>
          <w:sz w:val="28"/>
          <w:szCs w:val="24"/>
          <w:lang w:val="es-ES_tradnl"/>
        </w:rPr>
        <w:lastRenderedPageBreak/>
        <w:t>Anexo 1</w:t>
      </w:r>
      <w:r w:rsidRPr="00925AD7">
        <w:rPr>
          <w:sz w:val="28"/>
          <w:szCs w:val="24"/>
          <w:lang w:val="es-ES_tradnl"/>
        </w:rPr>
        <w:br/>
      </w:r>
      <w:r w:rsidRPr="00925AD7">
        <w:rPr>
          <w:sz w:val="28"/>
          <w:szCs w:val="24"/>
          <w:lang w:val="es-ES_tradnl"/>
        </w:rPr>
        <w:br/>
        <w:t xml:space="preserve">Títulos y resúmenes de los proyectos de </w:t>
      </w:r>
      <w:r w:rsidR="004A72AB" w:rsidRPr="00925AD7">
        <w:rPr>
          <w:sz w:val="28"/>
          <w:szCs w:val="24"/>
          <w:lang w:val="es-ES_tradnl"/>
        </w:rPr>
        <w:t>Recomendaci</w:t>
      </w:r>
      <w:r w:rsidR="004A72AB">
        <w:rPr>
          <w:sz w:val="28"/>
          <w:szCs w:val="24"/>
          <w:lang w:val="es-ES_tradnl"/>
        </w:rPr>
        <w:t>ón</w:t>
      </w:r>
      <w:bookmarkStart w:id="0" w:name="_GoBack"/>
      <w:bookmarkEnd w:id="0"/>
    </w:p>
    <w:p w:rsidR="00864706" w:rsidRPr="00925AD7" w:rsidRDefault="00864706" w:rsidP="0055168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925AD7">
        <w:rPr>
          <w:rFonts w:eastAsia="SimSun"/>
          <w:szCs w:val="24"/>
          <w:u w:val="single"/>
          <w:lang w:val="es-ES_tradnl" w:eastAsia="zh-CN"/>
        </w:rPr>
        <w:t>SA.1016</w:t>
      </w:r>
      <w:proofErr w:type="spellEnd"/>
      <w:r w:rsidRPr="00925AD7">
        <w:rPr>
          <w:rFonts w:eastAsia="SimSun"/>
          <w:szCs w:val="24"/>
          <w:u w:val="single"/>
          <w:lang w:val="es-ES_tradnl" w:eastAsia="zh-CN"/>
        </w:rPr>
        <w:t>-0</w:t>
      </w:r>
      <w:r w:rsidRPr="00925AD7">
        <w:rPr>
          <w:rFonts w:eastAsia="SimSun"/>
          <w:szCs w:val="24"/>
          <w:lang w:val="es-ES_tradnl" w:eastAsia="zh-CN"/>
        </w:rPr>
        <w:tab/>
        <w:t>Doc. 7/109(</w:t>
      </w:r>
      <w:proofErr w:type="spellStart"/>
      <w:r w:rsidRPr="00925AD7">
        <w:rPr>
          <w:rFonts w:eastAsia="SimSun"/>
          <w:szCs w:val="24"/>
          <w:lang w:val="es-ES_tradnl" w:eastAsia="zh-CN"/>
        </w:rPr>
        <w:t>Rev.1</w:t>
      </w:r>
      <w:proofErr w:type="spellEnd"/>
      <w:r w:rsidRPr="00925AD7">
        <w:rPr>
          <w:rFonts w:eastAsia="SimSun"/>
          <w:szCs w:val="24"/>
          <w:lang w:val="es-ES_tradnl" w:eastAsia="zh-CN"/>
        </w:rPr>
        <w:t>)</w:t>
      </w:r>
    </w:p>
    <w:p w:rsidR="00864706" w:rsidRPr="00925AD7" w:rsidRDefault="00864706" w:rsidP="00864706">
      <w:pPr>
        <w:pStyle w:val="Rectitle"/>
        <w:rPr>
          <w:rFonts w:eastAsia="MS Mincho"/>
          <w:lang w:val="es-ES_tradnl"/>
        </w:rPr>
      </w:pPr>
      <w:r w:rsidRPr="00925AD7">
        <w:rPr>
          <w:lang w:val="es-ES_tradnl"/>
        </w:rPr>
        <w:t>Consideraciones sobre compartición en relación con el servicio</w:t>
      </w:r>
      <w:r w:rsidRPr="00925AD7">
        <w:rPr>
          <w:lang w:val="es-ES_tradnl"/>
        </w:rPr>
        <w:br/>
        <w:t>de investigación espacial (espacio lejano)</w:t>
      </w:r>
    </w:p>
    <w:p w:rsidR="00864706" w:rsidRPr="00925AD7" w:rsidRDefault="00864706" w:rsidP="00864706">
      <w:pPr>
        <w:rPr>
          <w:lang w:val="es-ES_tradnl"/>
        </w:rPr>
      </w:pPr>
      <w:r w:rsidRPr="00925AD7">
        <w:rPr>
          <w:rFonts w:eastAsia="SimSun"/>
          <w:szCs w:val="24"/>
          <w:lang w:val="es-ES_tradnl" w:eastAsia="zh-CN"/>
        </w:rPr>
        <w:t xml:space="preserve">Esta Recomendación se ha revisado </w:t>
      </w:r>
      <w:r w:rsidRPr="00925AD7">
        <w:rPr>
          <w:rFonts w:eastAsia="SimSun"/>
          <w:lang w:val="es-ES_tradnl"/>
        </w:rPr>
        <w:t xml:space="preserve">para incluir un preámbulo con el alcance, las palabras clave y las Recomendaciones e Informes UIT-R conexos. Se han sustituido las referencias a antiguos Informes </w:t>
      </w:r>
      <w:proofErr w:type="spellStart"/>
      <w:r w:rsidRPr="00925AD7">
        <w:rPr>
          <w:rFonts w:eastAsia="SimSun"/>
          <w:lang w:val="es-ES_tradnl"/>
        </w:rPr>
        <w:t>CCIR</w:t>
      </w:r>
      <w:proofErr w:type="spellEnd"/>
      <w:r w:rsidRPr="00925AD7">
        <w:rPr>
          <w:rFonts w:eastAsia="SimSun"/>
          <w:lang w:val="es-ES_tradnl"/>
        </w:rPr>
        <w:t xml:space="preserve"> por las de los actuales Informes UIT-R. Se ha copiado en el Anexo 2, revisado, el contenido del Informe </w:t>
      </w:r>
      <w:proofErr w:type="spellStart"/>
      <w:r w:rsidRPr="00925AD7">
        <w:rPr>
          <w:rFonts w:eastAsia="SimSun"/>
          <w:lang w:val="es-ES_tradnl"/>
        </w:rPr>
        <w:t>CCIR</w:t>
      </w:r>
      <w:proofErr w:type="spellEnd"/>
      <w:r w:rsidRPr="00925AD7">
        <w:rPr>
          <w:rFonts w:eastAsia="SimSun"/>
          <w:lang w:val="es-ES_tradnl"/>
        </w:rPr>
        <w:t xml:space="preserve"> 688. Se han actualizado algunas cláusulas y figuras utilizando los actuales parámetros de las estaciones en el espacio lejano. Además, se han añadido nuevos </w:t>
      </w:r>
      <w:r>
        <w:rPr>
          <w:rFonts w:eastAsia="SimSun"/>
          <w:lang w:val="es-ES_tradnl"/>
        </w:rPr>
        <w:t>«</w:t>
      </w:r>
      <w:r w:rsidRPr="00925AD7">
        <w:rPr>
          <w:rFonts w:eastAsia="SimSun"/>
          <w:lang w:val="es-ES_tradnl"/>
        </w:rPr>
        <w:t>considerando</w:t>
      </w:r>
      <w:r>
        <w:rPr>
          <w:rFonts w:eastAsia="SimSun"/>
          <w:lang w:val="es-ES_tradnl"/>
        </w:rPr>
        <w:t>»</w:t>
      </w:r>
      <w:r w:rsidRPr="00925AD7">
        <w:rPr>
          <w:rFonts w:eastAsia="SimSun"/>
          <w:lang w:val="es-ES_tradnl"/>
        </w:rPr>
        <w:t xml:space="preserve"> y se han actualizado los </w:t>
      </w:r>
      <w:r>
        <w:rPr>
          <w:rFonts w:eastAsia="SimSun"/>
          <w:lang w:val="es-ES_tradnl"/>
        </w:rPr>
        <w:t>«</w:t>
      </w:r>
      <w:r w:rsidRPr="00864706">
        <w:rPr>
          <w:rFonts w:eastAsia="SimSun"/>
          <w:i/>
          <w:iCs/>
          <w:lang w:val="es-ES_tradnl"/>
        </w:rPr>
        <w:t>recomienda</w:t>
      </w:r>
      <w:r w:rsidRPr="00925AD7">
        <w:rPr>
          <w:rFonts w:eastAsia="SimSun"/>
          <w:lang w:val="es-ES_tradnl"/>
        </w:rPr>
        <w:t xml:space="preserve"> 1</w:t>
      </w:r>
      <w:r>
        <w:rPr>
          <w:rFonts w:eastAsia="SimSun"/>
          <w:lang w:val="es-ES_tradnl"/>
        </w:rPr>
        <w:t>»</w:t>
      </w:r>
      <w:r w:rsidRPr="00925AD7">
        <w:rPr>
          <w:rFonts w:eastAsia="SimSun"/>
          <w:lang w:val="es-ES_tradnl"/>
        </w:rPr>
        <w:t xml:space="preserve"> y </w:t>
      </w:r>
      <w:r>
        <w:rPr>
          <w:rFonts w:eastAsia="SimSun"/>
          <w:lang w:val="es-ES_tradnl"/>
        </w:rPr>
        <w:t>«</w:t>
      </w:r>
      <w:r w:rsidRPr="00864706">
        <w:rPr>
          <w:rFonts w:eastAsia="SimSun"/>
          <w:i/>
          <w:iCs/>
          <w:lang w:val="es-ES_tradnl"/>
        </w:rPr>
        <w:t>recomienda</w:t>
      </w:r>
      <w:r w:rsidRPr="00925AD7">
        <w:rPr>
          <w:rFonts w:eastAsia="SimSun"/>
          <w:lang w:val="es-ES_tradnl"/>
        </w:rPr>
        <w:t xml:space="preserve"> 2</w:t>
      </w:r>
      <w:r>
        <w:rPr>
          <w:rFonts w:eastAsia="SimSun"/>
          <w:lang w:val="es-ES_tradnl"/>
        </w:rPr>
        <w:t>»</w:t>
      </w:r>
      <w:r w:rsidRPr="00925AD7">
        <w:rPr>
          <w:rFonts w:eastAsia="SimSun"/>
          <w:lang w:val="es-ES_tradnl"/>
        </w:rPr>
        <w:t>. Se ha actualizado la interferencia causada por transmisores en aeronaves en el Cuadro 3 de la cláusula 2.3 y se ha añadido una nueva fija para 37 GHz. En la cláusula 2.5, en el cuadro de enlaces interferentes para proteger las estaciones terrenas del</w:t>
      </w:r>
      <w:r w:rsidRPr="00925AD7">
        <w:rPr>
          <w:rFonts w:eastAsia="SimSun"/>
          <w:szCs w:val="24"/>
          <w:lang w:val="es-ES_tradnl" w:eastAsia="zh-CN"/>
        </w:rPr>
        <w:t xml:space="preserve"> </w:t>
      </w:r>
      <w:proofErr w:type="spellStart"/>
      <w:r w:rsidRPr="00925AD7">
        <w:rPr>
          <w:rFonts w:eastAsia="SimSun"/>
          <w:szCs w:val="24"/>
          <w:lang w:val="es-ES_tradnl" w:eastAsia="zh-CN"/>
        </w:rPr>
        <w:t>SIE</w:t>
      </w:r>
      <w:proofErr w:type="spellEnd"/>
      <w:r w:rsidRPr="00925AD7">
        <w:rPr>
          <w:rFonts w:eastAsia="SimSun"/>
          <w:szCs w:val="24"/>
          <w:lang w:val="es-ES_tradnl" w:eastAsia="zh-CN"/>
        </w:rPr>
        <w:t xml:space="preserve"> contra </w:t>
      </w:r>
      <w:r w:rsidRPr="00925AD7">
        <w:rPr>
          <w:lang w:val="es-ES_tradnl"/>
        </w:rPr>
        <w:t xml:space="preserve">satélites en órbita terrestre que transmiten a un satélite de retransmisión </w:t>
      </w:r>
      <w:proofErr w:type="spellStart"/>
      <w:r w:rsidRPr="00925AD7">
        <w:rPr>
          <w:lang w:val="es-ES_tradnl"/>
        </w:rPr>
        <w:t>OSG</w:t>
      </w:r>
      <w:proofErr w:type="spellEnd"/>
      <w:r w:rsidRPr="00925AD7">
        <w:rPr>
          <w:lang w:val="es-ES_tradnl"/>
        </w:rPr>
        <w:t>, se ha cambiado la frecuencia 32 GHz por 2</w:t>
      </w:r>
      <w:r>
        <w:rPr>
          <w:lang w:val="es-ES_tradnl"/>
        </w:rPr>
        <w:t> </w:t>
      </w:r>
      <w:r w:rsidRPr="00925AD7">
        <w:rPr>
          <w:lang w:val="es-ES_tradnl"/>
        </w:rPr>
        <w:t>GHz.</w:t>
      </w:r>
    </w:p>
    <w:p w:rsidR="00864706" w:rsidRPr="00925AD7" w:rsidRDefault="00864706" w:rsidP="0055168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lang w:val="es-ES_tradnl"/>
        </w:rPr>
      </w:pPr>
      <w:r w:rsidRPr="00925AD7">
        <w:rPr>
          <w:u w:val="single"/>
          <w:lang w:val="es-ES_tradnl"/>
        </w:rPr>
        <w:t xml:space="preserve">Proyecto de revisión de la </w:t>
      </w:r>
      <w:r w:rsidRPr="00925AD7">
        <w:rPr>
          <w:rFonts w:eastAsia="SimSun"/>
          <w:szCs w:val="24"/>
          <w:u w:val="single"/>
          <w:lang w:val="es-ES_tradnl" w:eastAsia="zh-CN"/>
        </w:rPr>
        <w:t>Recomendación</w:t>
      </w:r>
      <w:r w:rsidRPr="00925AD7">
        <w:rPr>
          <w:u w:val="single"/>
          <w:lang w:val="es-ES_tradnl"/>
        </w:rPr>
        <w:t xml:space="preserve"> UIT-R </w:t>
      </w:r>
      <w:proofErr w:type="spellStart"/>
      <w:r w:rsidRPr="00925AD7">
        <w:rPr>
          <w:u w:val="single"/>
          <w:lang w:val="es-ES_tradnl"/>
        </w:rPr>
        <w:t>SA.1161</w:t>
      </w:r>
      <w:proofErr w:type="spellEnd"/>
      <w:r w:rsidRPr="00925AD7">
        <w:rPr>
          <w:u w:val="single"/>
          <w:lang w:val="es-ES_tradnl"/>
        </w:rPr>
        <w:t>-2</w:t>
      </w:r>
      <w:r w:rsidRPr="00925AD7">
        <w:rPr>
          <w:lang w:val="es-ES_tradnl"/>
        </w:rPr>
        <w:tab/>
        <w:t>Doc. 7/110(</w:t>
      </w:r>
      <w:proofErr w:type="spellStart"/>
      <w:r w:rsidRPr="00925AD7">
        <w:rPr>
          <w:lang w:val="es-ES_tradnl"/>
        </w:rPr>
        <w:t>Rev.1</w:t>
      </w:r>
      <w:proofErr w:type="spellEnd"/>
      <w:r w:rsidRPr="00925AD7">
        <w:rPr>
          <w:lang w:val="es-ES_tradnl"/>
        </w:rPr>
        <w:t>)</w:t>
      </w:r>
    </w:p>
    <w:p w:rsidR="00864706" w:rsidRPr="00925AD7" w:rsidRDefault="00864706" w:rsidP="00864706">
      <w:pPr>
        <w:pStyle w:val="Rectitle"/>
        <w:rPr>
          <w:rFonts w:eastAsia="SimSun"/>
          <w:szCs w:val="24"/>
          <w:lang w:val="es-ES_tradnl" w:eastAsia="zh-CN"/>
        </w:rPr>
      </w:pPr>
      <w:r w:rsidRPr="00925AD7">
        <w:rPr>
          <w:bCs/>
          <w:szCs w:val="28"/>
          <w:lang w:val="es-ES_tradnl"/>
        </w:rPr>
        <w:t xml:space="preserve">Criterios de compartición y coordinación para sistemas de transmisión de datos que funcionan en los servicios de </w:t>
      </w:r>
      <w:r w:rsidRPr="00925AD7">
        <w:rPr>
          <w:lang w:val="es-ES_tradnl"/>
        </w:rPr>
        <w:t>exploración</w:t>
      </w:r>
      <w:r w:rsidRPr="00925AD7">
        <w:rPr>
          <w:bCs/>
          <w:szCs w:val="28"/>
          <w:lang w:val="es-ES_tradnl"/>
        </w:rPr>
        <w:t xml:space="preserve"> de la Tierra por satélite y de meteorología por satélite y que utilizan satélites de órbita geoestacionaria</w:t>
      </w:r>
      <w:r w:rsidRPr="00925AD7">
        <w:rPr>
          <w:rFonts w:eastAsia="SimSun"/>
          <w:bCs/>
          <w:szCs w:val="28"/>
          <w:lang w:val="es-ES_tradnl" w:eastAsia="zh-CN"/>
        </w:rPr>
        <w:t xml:space="preserve"> </w:t>
      </w:r>
    </w:p>
    <w:p w:rsidR="00864706" w:rsidRPr="00925AD7" w:rsidRDefault="00864706" w:rsidP="00864706">
      <w:pPr>
        <w:rPr>
          <w:rFonts w:eastAsia="SimSun"/>
          <w:lang w:val="es-ES_tradnl" w:eastAsia="zh-CN"/>
        </w:rPr>
      </w:pPr>
      <w:r w:rsidRPr="00925AD7">
        <w:rPr>
          <w:rFonts w:eastAsia="SimSun"/>
          <w:lang w:val="es-ES_tradnl" w:eastAsia="zh-CN"/>
        </w:rPr>
        <w:t>Esta propuesta de revisión tiene por objetivo corregir un error en los crite</w:t>
      </w:r>
      <w:r>
        <w:rPr>
          <w:rFonts w:eastAsia="SimSun"/>
          <w:lang w:val="es-ES_tradnl" w:eastAsia="zh-CN"/>
        </w:rPr>
        <w:t>rios propuestos para la banda 1 670-1 710 </w:t>
      </w:r>
      <w:r w:rsidRPr="00925AD7">
        <w:rPr>
          <w:rFonts w:eastAsia="SimSun"/>
          <w:lang w:val="es-ES_tradnl" w:eastAsia="zh-CN"/>
        </w:rPr>
        <w:t xml:space="preserve">MHz en el Cuadro 1 y otro error que atañe a los criterios a corto plazo propuestos para </w:t>
      </w:r>
      <w:r>
        <w:rPr>
          <w:rFonts w:eastAsia="SimSun"/>
          <w:lang w:val="es-ES_tradnl" w:eastAsia="zh-CN"/>
        </w:rPr>
        <w:t>l</w:t>
      </w:r>
      <w:r w:rsidRPr="00925AD7">
        <w:rPr>
          <w:rFonts w:eastAsia="SimSun"/>
          <w:lang w:val="es-ES_tradnl" w:eastAsia="zh-CN"/>
        </w:rPr>
        <w:t>a banda 25,5-27 GHz.</w:t>
      </w:r>
    </w:p>
    <w:p w:rsidR="00864706" w:rsidRPr="00925AD7" w:rsidRDefault="00864706" w:rsidP="0055168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925AD7">
        <w:rPr>
          <w:rFonts w:eastAsia="SimSun"/>
          <w:szCs w:val="24"/>
          <w:u w:val="single"/>
          <w:lang w:val="es-ES_tradnl" w:eastAsia="zh-CN"/>
        </w:rPr>
        <w:t>SA.1164</w:t>
      </w:r>
      <w:proofErr w:type="spellEnd"/>
      <w:r w:rsidRPr="00925AD7">
        <w:rPr>
          <w:rFonts w:eastAsia="SimSun"/>
          <w:szCs w:val="24"/>
          <w:u w:val="single"/>
          <w:lang w:val="es-ES_tradnl" w:eastAsia="zh-CN"/>
        </w:rPr>
        <w:t>-3</w:t>
      </w:r>
      <w:r w:rsidRPr="00925AD7">
        <w:rPr>
          <w:rFonts w:eastAsia="SimSun"/>
          <w:szCs w:val="24"/>
          <w:lang w:val="es-ES_tradnl" w:eastAsia="zh-CN"/>
        </w:rPr>
        <w:tab/>
        <w:t>Doc.</w:t>
      </w:r>
      <w:r>
        <w:rPr>
          <w:rFonts w:eastAsia="SimSun"/>
          <w:szCs w:val="24"/>
          <w:lang w:val="es-ES_tradnl" w:eastAsia="zh-CN"/>
        </w:rPr>
        <w:t xml:space="preserve"> </w:t>
      </w:r>
      <w:r w:rsidRPr="00925AD7">
        <w:rPr>
          <w:rFonts w:eastAsia="SimSun"/>
          <w:szCs w:val="24"/>
          <w:lang w:val="es-ES_tradnl" w:eastAsia="zh-CN"/>
        </w:rPr>
        <w:t>7/111(</w:t>
      </w:r>
      <w:proofErr w:type="spellStart"/>
      <w:r w:rsidRPr="00925AD7">
        <w:rPr>
          <w:rFonts w:eastAsia="SimSun"/>
          <w:szCs w:val="24"/>
          <w:lang w:val="es-ES_tradnl" w:eastAsia="zh-CN"/>
        </w:rPr>
        <w:t>Rev.1</w:t>
      </w:r>
      <w:proofErr w:type="spellEnd"/>
      <w:r w:rsidRPr="00925AD7">
        <w:rPr>
          <w:rFonts w:eastAsia="SimSun"/>
          <w:szCs w:val="24"/>
          <w:lang w:val="es-ES_tradnl" w:eastAsia="zh-CN"/>
        </w:rPr>
        <w:t>)</w:t>
      </w:r>
    </w:p>
    <w:p w:rsidR="00864706" w:rsidRPr="00925AD7" w:rsidRDefault="00864706" w:rsidP="00864706">
      <w:pPr>
        <w:pStyle w:val="Rectitle"/>
        <w:rPr>
          <w:rFonts w:eastAsia="SimSun"/>
          <w:szCs w:val="28"/>
          <w:lang w:val="es-ES_tradnl" w:eastAsia="zh-CN"/>
        </w:rPr>
      </w:pPr>
      <w:r w:rsidRPr="00925AD7">
        <w:rPr>
          <w:rFonts w:eastAsia="SimSun"/>
          <w:bCs/>
          <w:szCs w:val="28"/>
          <w:lang w:val="es-ES_tradnl" w:eastAsia="zh-CN"/>
        </w:rPr>
        <w:t xml:space="preserve">Criterios de compartición y coordinación para los enlaces de servicio de los sistemas de recogida de datos que utilizan </w:t>
      </w:r>
      <w:r w:rsidRPr="00925AD7">
        <w:rPr>
          <w:lang w:val="es-ES_tradnl"/>
        </w:rPr>
        <w:t>satélites</w:t>
      </w:r>
      <w:r>
        <w:rPr>
          <w:rFonts w:eastAsia="SimSun"/>
          <w:bCs/>
          <w:szCs w:val="28"/>
          <w:lang w:val="es-ES_tradnl" w:eastAsia="zh-CN"/>
        </w:rPr>
        <w:t xml:space="preserve"> </w:t>
      </w:r>
      <w:proofErr w:type="spellStart"/>
      <w:r>
        <w:rPr>
          <w:rFonts w:eastAsia="SimSun"/>
          <w:bCs/>
          <w:szCs w:val="28"/>
          <w:lang w:val="es-ES_tradnl" w:eastAsia="zh-CN"/>
        </w:rPr>
        <w:t>OSG</w:t>
      </w:r>
      <w:proofErr w:type="spellEnd"/>
      <w:r>
        <w:rPr>
          <w:rFonts w:eastAsia="SimSun"/>
          <w:bCs/>
          <w:szCs w:val="28"/>
          <w:lang w:val="es-ES_tradnl" w:eastAsia="zh-CN"/>
        </w:rPr>
        <w:t xml:space="preserve"> en los servicios</w:t>
      </w:r>
      <w:r>
        <w:rPr>
          <w:rFonts w:eastAsia="SimSun"/>
          <w:bCs/>
          <w:szCs w:val="28"/>
          <w:lang w:val="es-ES_tradnl" w:eastAsia="zh-CN"/>
        </w:rPr>
        <w:br/>
      </w:r>
      <w:r w:rsidRPr="00925AD7">
        <w:rPr>
          <w:rFonts w:eastAsia="SimSun"/>
          <w:bCs/>
          <w:szCs w:val="28"/>
          <w:lang w:val="es-ES_tradnl" w:eastAsia="zh-CN"/>
        </w:rPr>
        <w:t>de exploración de la Tierra por satélite y de meteorología por satélite</w:t>
      </w:r>
    </w:p>
    <w:p w:rsidR="00864706" w:rsidRPr="00864706" w:rsidRDefault="00864706" w:rsidP="00864706">
      <w:pPr>
        <w:rPr>
          <w:rFonts w:eastAsia="SimSun"/>
          <w:szCs w:val="24"/>
          <w:lang w:val="es-ES_tradnl" w:eastAsia="zh-CN"/>
        </w:rPr>
      </w:pPr>
      <w:r w:rsidRPr="00864706">
        <w:rPr>
          <w:rFonts w:eastAsia="SimSun"/>
          <w:szCs w:val="24"/>
          <w:lang w:val="es-ES_tradnl" w:eastAsia="zh-CN"/>
        </w:rPr>
        <w:t xml:space="preserve">Esta propuesta de revisión tiene por objetivo corregir un error en los criterios a corto plazo propuestos para las bandas </w:t>
      </w:r>
      <w:r w:rsidRPr="00864706">
        <w:rPr>
          <w:szCs w:val="24"/>
          <w:lang w:val="es-ES_tradnl"/>
        </w:rPr>
        <w:t>460-470 MHz, 1 670-1 690 MHz y 2 025-2 110 MHz.</w:t>
      </w:r>
    </w:p>
    <w:p w:rsidR="00864706" w:rsidRPr="00925AD7" w:rsidRDefault="00864706" w:rsidP="0055168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925AD7">
        <w:rPr>
          <w:rFonts w:eastAsia="SimSun"/>
          <w:szCs w:val="24"/>
          <w:u w:val="single"/>
          <w:lang w:val="es-ES_tradnl" w:eastAsia="zh-CN"/>
        </w:rPr>
        <w:t>SA.1027</w:t>
      </w:r>
      <w:proofErr w:type="spellEnd"/>
      <w:r w:rsidRPr="00925AD7">
        <w:rPr>
          <w:rFonts w:eastAsia="SimSun"/>
          <w:szCs w:val="24"/>
          <w:u w:val="single"/>
          <w:lang w:val="es-ES_tradnl" w:eastAsia="zh-CN"/>
        </w:rPr>
        <w:t>-5</w:t>
      </w:r>
      <w:r w:rsidRPr="00925AD7">
        <w:rPr>
          <w:rFonts w:eastAsia="SimSun"/>
          <w:szCs w:val="24"/>
          <w:lang w:val="es-ES_tradnl" w:eastAsia="zh-CN"/>
        </w:rPr>
        <w:tab/>
        <w:t>Doc. 7/112(</w:t>
      </w:r>
      <w:proofErr w:type="spellStart"/>
      <w:r w:rsidRPr="00925AD7">
        <w:rPr>
          <w:rFonts w:eastAsia="SimSun"/>
          <w:szCs w:val="24"/>
          <w:lang w:val="es-ES_tradnl" w:eastAsia="zh-CN"/>
        </w:rPr>
        <w:t>Rev.1</w:t>
      </w:r>
      <w:proofErr w:type="spellEnd"/>
      <w:r w:rsidRPr="00925AD7">
        <w:rPr>
          <w:rFonts w:eastAsia="SimSun"/>
          <w:szCs w:val="24"/>
          <w:lang w:val="es-ES_tradnl" w:eastAsia="zh-CN"/>
        </w:rPr>
        <w:t>)</w:t>
      </w:r>
    </w:p>
    <w:p w:rsidR="00864706" w:rsidRPr="00925AD7" w:rsidRDefault="00864706" w:rsidP="00864706">
      <w:pPr>
        <w:pStyle w:val="Rectitle"/>
        <w:rPr>
          <w:rFonts w:eastAsia="SimSun"/>
          <w:szCs w:val="28"/>
          <w:lang w:val="es-ES_tradnl" w:eastAsia="zh-CN"/>
        </w:rPr>
      </w:pPr>
      <w:r w:rsidRPr="00925AD7">
        <w:rPr>
          <w:rFonts w:eastAsia="SimSun"/>
          <w:bCs/>
          <w:szCs w:val="28"/>
          <w:lang w:val="es-ES_tradnl" w:eastAsia="zh-CN"/>
        </w:rPr>
        <w:t>Criterios de compartición para los sistemas de transmisión de datos espacio-Tierra de los servicios de exploración de la Tierra por satélite y de meteorología por satélite que utilizan satélites de órbita terrestre baja</w:t>
      </w:r>
    </w:p>
    <w:p w:rsidR="00864706" w:rsidRPr="00925AD7" w:rsidRDefault="00864706" w:rsidP="00864706">
      <w:pPr>
        <w:rPr>
          <w:rFonts w:eastAsia="SimSun"/>
          <w:lang w:val="es-ES_tradnl"/>
        </w:rPr>
      </w:pPr>
      <w:r w:rsidRPr="00925AD7">
        <w:rPr>
          <w:rFonts w:eastAsia="SimSun"/>
          <w:lang w:val="es-ES_tradnl"/>
        </w:rPr>
        <w:t>El objetivo de esta propuesta de revisión es corregir un error en los criterios a corto plazo propuestos para las bandas 137-138</w:t>
      </w:r>
      <w:r>
        <w:rPr>
          <w:rFonts w:eastAsia="SimSun"/>
          <w:lang w:val="es-ES_tradnl"/>
        </w:rPr>
        <w:t> </w:t>
      </w:r>
      <w:r w:rsidRPr="00925AD7">
        <w:rPr>
          <w:rFonts w:eastAsia="SimSun"/>
          <w:lang w:val="es-ES_tradnl"/>
        </w:rPr>
        <w:t>MHz y 1</w:t>
      </w:r>
      <w:r>
        <w:rPr>
          <w:rFonts w:eastAsia="SimSun"/>
          <w:lang w:val="es-ES_tradnl"/>
        </w:rPr>
        <w:t xml:space="preserve"> </w:t>
      </w:r>
      <w:r w:rsidRPr="00925AD7">
        <w:rPr>
          <w:rFonts w:eastAsia="SimSun"/>
          <w:lang w:val="es-ES_tradnl"/>
        </w:rPr>
        <w:t>690-1</w:t>
      </w:r>
      <w:r>
        <w:rPr>
          <w:rFonts w:eastAsia="SimSun"/>
          <w:lang w:val="es-ES_tradnl"/>
        </w:rPr>
        <w:t> </w:t>
      </w:r>
      <w:r w:rsidRPr="00925AD7">
        <w:rPr>
          <w:rFonts w:eastAsia="SimSun"/>
          <w:lang w:val="es-ES_tradnl"/>
        </w:rPr>
        <w:t>700</w:t>
      </w:r>
      <w:r>
        <w:rPr>
          <w:rFonts w:eastAsia="SimSun"/>
          <w:lang w:val="es-ES_tradnl"/>
        </w:rPr>
        <w:t xml:space="preserve"> </w:t>
      </w:r>
      <w:r w:rsidRPr="00925AD7">
        <w:rPr>
          <w:rFonts w:eastAsia="SimSun"/>
          <w:lang w:val="es-ES_tradnl"/>
        </w:rPr>
        <w:t>MHz.</w:t>
      </w:r>
    </w:p>
    <w:p w:rsidR="00864706" w:rsidRDefault="008647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4"/>
          <w:lang w:val="es-ES_tradnl"/>
        </w:rPr>
      </w:pPr>
      <w:r>
        <w:rPr>
          <w:sz w:val="28"/>
          <w:szCs w:val="24"/>
          <w:lang w:val="es-ES_tradnl"/>
        </w:rPr>
        <w:br w:type="page"/>
      </w:r>
    </w:p>
    <w:p w:rsidR="00864706" w:rsidRPr="00925AD7" w:rsidRDefault="00864706" w:rsidP="00AC5F5A">
      <w:pPr>
        <w:pStyle w:val="AnnexNoTitle"/>
        <w:spacing w:after="0"/>
        <w:rPr>
          <w:sz w:val="28"/>
          <w:szCs w:val="24"/>
          <w:lang w:val="es-ES_tradnl"/>
        </w:rPr>
      </w:pPr>
      <w:r w:rsidRPr="00925AD7">
        <w:rPr>
          <w:sz w:val="28"/>
          <w:szCs w:val="24"/>
          <w:lang w:val="es-ES_tradnl"/>
        </w:rPr>
        <w:lastRenderedPageBreak/>
        <w:t>Anexo 2</w:t>
      </w:r>
    </w:p>
    <w:p w:rsidR="00864706" w:rsidRPr="00925AD7" w:rsidRDefault="00864706" w:rsidP="00864706">
      <w:pPr>
        <w:jc w:val="center"/>
        <w:rPr>
          <w:lang w:val="es-ES_tradnl"/>
        </w:rPr>
      </w:pPr>
      <w:r w:rsidRPr="00925AD7">
        <w:rPr>
          <w:lang w:val="es-ES_tradnl"/>
        </w:rPr>
        <w:t>(Origen: Documento 7/107)</w:t>
      </w:r>
    </w:p>
    <w:p w:rsidR="00864706" w:rsidRPr="00925AD7" w:rsidRDefault="00864706" w:rsidP="00864706">
      <w:pPr>
        <w:pStyle w:val="Rectitle"/>
        <w:spacing w:after="240"/>
        <w:rPr>
          <w:rFonts w:eastAsia="SimSun"/>
          <w:bCs/>
          <w:szCs w:val="28"/>
          <w:lang w:val="es-ES_tradnl" w:eastAsia="zh-CN"/>
        </w:rPr>
      </w:pPr>
      <w:r w:rsidRPr="00925AD7">
        <w:rPr>
          <w:rFonts w:eastAsia="SimSun"/>
          <w:bCs/>
          <w:szCs w:val="28"/>
          <w:lang w:val="es-ES_tradnl" w:eastAsia="zh-CN"/>
        </w:rPr>
        <w:t>Recomendaciones UIT-R cuya supresión se propone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35"/>
        <w:gridCol w:w="7608"/>
      </w:tblGrid>
      <w:tr w:rsidR="00864706" w:rsidRPr="00351692" w:rsidTr="00864706">
        <w:trPr>
          <w:cantSplit/>
          <w:tblHeader/>
          <w:jc w:val="center"/>
        </w:trPr>
        <w:tc>
          <w:tcPr>
            <w:tcW w:w="1835" w:type="dxa"/>
            <w:vAlign w:val="center"/>
            <w:hideMark/>
          </w:tcPr>
          <w:p w:rsidR="00864706" w:rsidRPr="00351692" w:rsidRDefault="00864706" w:rsidP="008B43B2">
            <w:pPr>
              <w:pStyle w:val="Tablehead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Recomendación</w:t>
            </w:r>
            <w:r w:rsidRPr="00351692">
              <w:rPr>
                <w:szCs w:val="20"/>
                <w:lang w:val="es-ES_tradnl"/>
              </w:rPr>
              <w:br/>
              <w:t>UIT-R</w:t>
            </w:r>
          </w:p>
        </w:tc>
        <w:tc>
          <w:tcPr>
            <w:tcW w:w="7608" w:type="dxa"/>
            <w:vAlign w:val="center"/>
            <w:hideMark/>
          </w:tcPr>
          <w:p w:rsidR="00864706" w:rsidRPr="00351692" w:rsidRDefault="00864706" w:rsidP="008B43B2">
            <w:pPr>
              <w:pStyle w:val="Tablehead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Título</w:t>
            </w:r>
          </w:p>
        </w:tc>
      </w:tr>
      <w:tr w:rsidR="00864706" w:rsidRPr="004A72AB" w:rsidTr="00864706">
        <w:trPr>
          <w:cantSplit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06" w:rsidRPr="00351692" w:rsidRDefault="00864706" w:rsidP="008B43B2">
            <w:pPr>
              <w:pStyle w:val="Tabletext"/>
              <w:jc w:val="center"/>
              <w:rPr>
                <w:szCs w:val="20"/>
                <w:lang w:val="es-ES_tradnl"/>
              </w:rPr>
            </w:pPr>
            <w:proofErr w:type="spellStart"/>
            <w:r w:rsidRPr="00351692">
              <w:rPr>
                <w:szCs w:val="20"/>
                <w:lang w:val="es-ES_tradnl"/>
              </w:rPr>
              <w:t>TF.1010</w:t>
            </w:r>
            <w:proofErr w:type="spellEnd"/>
            <w:r w:rsidRPr="00351692">
              <w:rPr>
                <w:szCs w:val="20"/>
                <w:lang w:val="es-ES_tradnl"/>
              </w:rPr>
              <w:t>-1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06" w:rsidRPr="00351692" w:rsidRDefault="00864706" w:rsidP="008B43B2">
            <w:pPr>
              <w:pStyle w:val="Tabletext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Efectos relativistas en un sistema con coordenada de tiempo en las proximidades de la Tierra</w:t>
            </w:r>
          </w:p>
        </w:tc>
      </w:tr>
      <w:tr w:rsidR="00864706" w:rsidRPr="004A72AB" w:rsidTr="00864706">
        <w:trPr>
          <w:cantSplit/>
          <w:jc w:val="center"/>
        </w:trPr>
        <w:tc>
          <w:tcPr>
            <w:tcW w:w="1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06" w:rsidRPr="00351692" w:rsidRDefault="00864706" w:rsidP="008B43B2">
            <w:pPr>
              <w:pStyle w:val="Tabletext"/>
              <w:jc w:val="center"/>
              <w:rPr>
                <w:szCs w:val="20"/>
                <w:lang w:val="es-ES_tradnl"/>
              </w:rPr>
            </w:pPr>
            <w:proofErr w:type="spellStart"/>
            <w:r w:rsidRPr="00351692">
              <w:rPr>
                <w:szCs w:val="20"/>
                <w:lang w:val="es-ES_tradnl"/>
              </w:rPr>
              <w:t>TF.2018</w:t>
            </w:r>
            <w:proofErr w:type="spellEnd"/>
            <w:r w:rsidRPr="00351692">
              <w:rPr>
                <w:szCs w:val="20"/>
                <w:lang w:val="es-ES_tradnl"/>
              </w:rPr>
              <w:t>-0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706" w:rsidRPr="00351692" w:rsidRDefault="00864706" w:rsidP="008B43B2">
            <w:pPr>
              <w:pStyle w:val="Tabletext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Transferencia de tiempo relativista en la proximidad de la Tierra y en el sistema solar</w:t>
            </w:r>
          </w:p>
        </w:tc>
      </w:tr>
    </w:tbl>
    <w:p w:rsidR="00864706" w:rsidRPr="00925AD7" w:rsidRDefault="00864706" w:rsidP="00864706">
      <w:pPr>
        <w:pStyle w:val="Reasons"/>
        <w:rPr>
          <w:lang w:val="es-ES_tradnl"/>
        </w:rPr>
      </w:pPr>
    </w:p>
    <w:p w:rsidR="00623AE3" w:rsidRPr="00864706" w:rsidRDefault="00864706" w:rsidP="00864706">
      <w:pPr>
        <w:jc w:val="center"/>
        <w:rPr>
          <w:lang w:val="es-ES_tradnl"/>
        </w:rPr>
      </w:pPr>
      <w:r w:rsidRPr="00925AD7">
        <w:rPr>
          <w:lang w:val="es-ES_tradnl"/>
        </w:rPr>
        <w:t>______________</w:t>
      </w:r>
    </w:p>
    <w:sectPr w:rsidR="00623AE3" w:rsidRPr="00864706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>Unión Internacional de Telecomunicaciones • Place des Nations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FD2A32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r w:rsidR="009F1A2F">
      <w:fldChar w:fldCharType="begin"/>
    </w:r>
    <w:r w:rsidR="009F1A2F" w:rsidRPr="000273C1">
      <w:rPr>
        <w:lang w:val="es-ES_tradnl"/>
        <w:rPrChange w:id="1" w:author="^_^" w:date="2017-05-03T12:34:00Z">
          <w:rPr/>
        </w:rPrChange>
      </w:rPr>
      <w:instrText xml:space="preserve"> HYPERLINK "mailto:itumail@itu.int"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itumail@itu.int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• </w:t>
    </w:r>
    <w:r w:rsidR="009F1A2F">
      <w:fldChar w:fldCharType="begin"/>
    </w:r>
    <w:r w:rsidR="009F1A2F" w:rsidRPr="000273C1">
      <w:rPr>
        <w:lang w:val="es-ES_tradnl"/>
        <w:rPrChange w:id="2" w:author="^_^" w:date="2017-05-03T12:34:00Z">
          <w:rPr/>
        </w:rPrChange>
      </w:rPr>
      <w:instrText xml:space="preserve"> HYPERLINK "http://www.itu.int/en/pages/default.aspx"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www.itu.int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</w:t>
    </w:r>
    <w:r w:rsidR="00FD2A32" w:rsidRPr="00320724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CF2AA3">
      <w:rPr>
        <w:rStyle w:val="PageNumber"/>
        <w:noProof/>
        <w:sz w:val="18"/>
        <w:szCs w:val="16"/>
      </w:rPr>
      <w:t>4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CF2AA3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245D82" w:rsidTr="007545D1">
      <w:tc>
        <w:tcPr>
          <w:tcW w:w="4800" w:type="dxa"/>
          <w:noWrap/>
          <w:tcMar>
            <w:left w:w="0" w:type="dxa"/>
          </w:tcMar>
        </w:tcPr>
        <w:p w:rsidR="00245D82" w:rsidRDefault="00245D82" w:rsidP="00245D82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EFF8026" wp14:editId="6AE4142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245D82" w:rsidRDefault="00245D82" w:rsidP="00245D82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AE73BDF" wp14:editId="23F0A9F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D82" w:rsidRPr="00D02EFB" w:rsidRDefault="00245D82" w:rsidP="00245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273C1"/>
    <w:rsid w:val="00030BD7"/>
    <w:rsid w:val="00031E64"/>
    <w:rsid w:val="00034340"/>
    <w:rsid w:val="00034C8D"/>
    <w:rsid w:val="00035CB3"/>
    <w:rsid w:val="00045A8D"/>
    <w:rsid w:val="0005167A"/>
    <w:rsid w:val="00054E5D"/>
    <w:rsid w:val="00070258"/>
    <w:rsid w:val="0007323C"/>
    <w:rsid w:val="00084F79"/>
    <w:rsid w:val="00086D03"/>
    <w:rsid w:val="0009485C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45D82"/>
    <w:rsid w:val="00246179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0724"/>
    <w:rsid w:val="003266ED"/>
    <w:rsid w:val="00326C68"/>
    <w:rsid w:val="0033029C"/>
    <w:rsid w:val="003370B8"/>
    <w:rsid w:val="003428EF"/>
    <w:rsid w:val="00345D38"/>
    <w:rsid w:val="00351692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4CF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7569"/>
    <w:rsid w:val="00496864"/>
    <w:rsid w:val="00496920"/>
    <w:rsid w:val="004A4496"/>
    <w:rsid w:val="004A5F47"/>
    <w:rsid w:val="004A72AB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1683"/>
    <w:rsid w:val="00552165"/>
    <w:rsid w:val="00553DD7"/>
    <w:rsid w:val="005638CF"/>
    <w:rsid w:val="005654B1"/>
    <w:rsid w:val="0056741E"/>
    <w:rsid w:val="00572A16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4706"/>
    <w:rsid w:val="0087694B"/>
    <w:rsid w:val="00880F4D"/>
    <w:rsid w:val="0088729E"/>
    <w:rsid w:val="008B35A3"/>
    <w:rsid w:val="008B37E1"/>
    <w:rsid w:val="008B45F8"/>
    <w:rsid w:val="008C2E74"/>
    <w:rsid w:val="008D5409"/>
    <w:rsid w:val="008E006D"/>
    <w:rsid w:val="008E38B4"/>
    <w:rsid w:val="008F4F21"/>
    <w:rsid w:val="00901D06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0750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C5F5A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CF2AA3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1756"/>
    <w:rsid w:val="00D54555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DF4DE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6184F"/>
    <w:rsid w:val="00F8310E"/>
    <w:rsid w:val="00F9075E"/>
    <w:rsid w:val="00F914DD"/>
    <w:rsid w:val="00FA2358"/>
    <w:rsid w:val="00FB0863"/>
    <w:rsid w:val="00FB2592"/>
    <w:rsid w:val="00FB2810"/>
    <w:rsid w:val="00FB7A2C"/>
    <w:rsid w:val="00FC2947"/>
    <w:rsid w:val="00FD2A3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7-C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2CD5-E11E-422C-B352-BD557D92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4</Pages>
  <Words>1058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 La Rosa Trivino, Maria Dolores</cp:lastModifiedBy>
  <cp:revision>7</cp:revision>
  <cp:lastPrinted>2019-06-13T07:30:00Z</cp:lastPrinted>
  <dcterms:created xsi:type="dcterms:W3CDTF">2019-06-10T13:23:00Z</dcterms:created>
  <dcterms:modified xsi:type="dcterms:W3CDTF">2019-06-13T07:45:00Z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