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EA15B3" w:rsidRPr="00F42C8C" w:rsidTr="004B4B3F">
        <w:trPr>
          <w:jc w:val="center"/>
        </w:trPr>
        <w:tc>
          <w:tcPr>
            <w:tcW w:w="9889" w:type="dxa"/>
            <w:gridSpan w:val="3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4B4B3F">
        <w:trPr>
          <w:jc w:val="center"/>
        </w:trPr>
        <w:tc>
          <w:tcPr>
            <w:tcW w:w="9889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4B4B3F" w:rsidRPr="009F14E9" w:rsidTr="004B4B3F">
        <w:trPr>
          <w:jc w:val="center"/>
        </w:trPr>
        <w:tc>
          <w:tcPr>
            <w:tcW w:w="7051" w:type="dxa"/>
            <w:gridSpan w:val="2"/>
            <w:hideMark/>
          </w:tcPr>
          <w:p w:rsidR="004B4B3F" w:rsidRPr="009F14E9" w:rsidRDefault="004B4B3F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9F14E9">
              <w:rPr>
                <w:sz w:val="24"/>
                <w:szCs w:val="24"/>
              </w:rPr>
              <w:t>Circular Administrativa</w:t>
            </w:r>
          </w:p>
          <w:p w:rsidR="004B4B3F" w:rsidRPr="009F14E9" w:rsidRDefault="004B4B3F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 w:rsidRPr="009F14E9">
              <w:rPr>
                <w:b/>
                <w:bCs/>
                <w:sz w:val="24"/>
                <w:szCs w:val="24"/>
                <w:lang w:val="fr-CH"/>
              </w:rPr>
              <w:t>CACE</w:t>
            </w:r>
            <w:proofErr w:type="spellEnd"/>
            <w:r w:rsidRPr="009F14E9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4A348E">
              <w:rPr>
                <w:b/>
                <w:bCs/>
                <w:sz w:val="24"/>
                <w:szCs w:val="24"/>
                <w:lang w:val="fr-CH"/>
              </w:rPr>
              <w:t>886</w:t>
            </w:r>
          </w:p>
        </w:tc>
        <w:tc>
          <w:tcPr>
            <w:tcW w:w="2838" w:type="dxa"/>
            <w:hideMark/>
          </w:tcPr>
          <w:p w:rsidR="004B4B3F" w:rsidRPr="009F14E9" w:rsidRDefault="00EC7D66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>6</w:t>
            </w:r>
            <w:bookmarkStart w:id="2" w:name="_GoBack"/>
            <w:bookmarkEnd w:id="2"/>
            <w:r w:rsidR="004A348E">
              <w:rPr>
                <w:bCs/>
                <w:sz w:val="24"/>
                <w:szCs w:val="24"/>
              </w:rPr>
              <w:t xml:space="preserve"> de febrero de 2019</w:t>
            </w: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</w:tcPr>
          <w:p w:rsidR="004B4B3F" w:rsidRPr="009F14E9" w:rsidRDefault="004B4B3F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</w:tcPr>
          <w:p w:rsidR="004B4B3F" w:rsidRPr="009F14E9" w:rsidRDefault="004B4B3F">
            <w:pPr>
              <w:spacing w:befor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  <w:hideMark/>
          </w:tcPr>
          <w:p w:rsidR="004B4B3F" w:rsidRPr="009F14E9" w:rsidRDefault="004B4B3F" w:rsidP="004A348E">
            <w:pPr>
              <w:spacing w:before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9F14E9">
              <w:rPr>
                <w:b/>
                <w:sz w:val="24"/>
                <w:szCs w:val="24"/>
                <w:lang w:val="es-ES"/>
              </w:rPr>
              <w:t xml:space="preserve">A las Administraciones de los Estados Miembros de la </w:t>
            </w:r>
            <w:proofErr w:type="spellStart"/>
            <w:r w:rsidRPr="009F14E9">
              <w:rPr>
                <w:b/>
                <w:sz w:val="24"/>
                <w:szCs w:val="24"/>
                <w:lang w:val="es-ES"/>
              </w:rPr>
              <w:t>UIT</w:t>
            </w:r>
            <w:proofErr w:type="spellEnd"/>
            <w:r w:rsidRPr="009F14E9">
              <w:rPr>
                <w:b/>
                <w:sz w:val="24"/>
                <w:szCs w:val="24"/>
                <w:lang w:val="es-ES"/>
              </w:rPr>
              <w:t xml:space="preserve">, a los Miembros del Sector de Radiocomunicaciones, a los Asociados del </w:t>
            </w:r>
            <w:proofErr w:type="spellStart"/>
            <w:r w:rsidRPr="009F14E9">
              <w:rPr>
                <w:b/>
                <w:sz w:val="24"/>
                <w:szCs w:val="24"/>
                <w:lang w:val="es-ES"/>
              </w:rPr>
              <w:t>UIT</w:t>
            </w:r>
            <w:proofErr w:type="spellEnd"/>
            <w:r w:rsidRPr="009F14E9">
              <w:rPr>
                <w:b/>
                <w:sz w:val="24"/>
                <w:szCs w:val="24"/>
                <w:lang w:val="es-ES"/>
              </w:rPr>
              <w:t>-R que participan en los trabajos de la Comisión de Estudio </w:t>
            </w:r>
            <w:r w:rsidR="004A348E">
              <w:rPr>
                <w:b/>
                <w:sz w:val="24"/>
                <w:szCs w:val="24"/>
                <w:lang w:val="es-ES"/>
              </w:rPr>
              <w:t>5</w:t>
            </w:r>
            <w:r w:rsidRPr="009F14E9">
              <w:rPr>
                <w:b/>
                <w:sz w:val="24"/>
                <w:szCs w:val="24"/>
                <w:lang w:val="es-ES"/>
              </w:rPr>
              <w:t xml:space="preserve"> de Radiocomunicaciones y a las Instituciones Académicas de la </w:t>
            </w:r>
            <w:proofErr w:type="spellStart"/>
            <w:r w:rsidRPr="009F14E9">
              <w:rPr>
                <w:b/>
                <w:sz w:val="24"/>
                <w:szCs w:val="24"/>
                <w:lang w:val="es-ES"/>
              </w:rPr>
              <w:t>UIT</w:t>
            </w:r>
            <w:proofErr w:type="spellEnd"/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</w:tcPr>
          <w:p w:rsidR="004B4B3F" w:rsidRPr="009F14E9" w:rsidRDefault="004B4B3F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</w:tcPr>
          <w:p w:rsidR="004B4B3F" w:rsidRPr="009F14E9" w:rsidRDefault="004B4B3F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1525" w:type="dxa"/>
            <w:hideMark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n-US"/>
              </w:rPr>
            </w:pPr>
            <w:r w:rsidRPr="009F14E9">
              <w:rPr>
                <w:sz w:val="24"/>
                <w:szCs w:val="24"/>
              </w:rPr>
              <w:t>Asunto:</w:t>
            </w:r>
          </w:p>
        </w:tc>
        <w:tc>
          <w:tcPr>
            <w:tcW w:w="8364" w:type="dxa"/>
            <w:gridSpan w:val="2"/>
            <w:vMerge w:val="restart"/>
            <w:hideMark/>
          </w:tcPr>
          <w:p w:rsidR="004B4B3F" w:rsidRPr="009F14E9" w:rsidRDefault="004B4B3F" w:rsidP="004A348E">
            <w:pPr>
              <w:tabs>
                <w:tab w:val="clear" w:pos="794"/>
                <w:tab w:val="clear" w:pos="1191"/>
                <w:tab w:val="clear" w:pos="1588"/>
                <w:tab w:val="left" w:pos="709"/>
              </w:tabs>
              <w:spacing w:before="0"/>
              <w:ind w:left="1418" w:hanging="1418"/>
              <w:rPr>
                <w:b/>
                <w:bCs/>
                <w:sz w:val="24"/>
                <w:szCs w:val="24"/>
                <w:lang w:val="es-ES"/>
              </w:rPr>
            </w:pPr>
            <w:r w:rsidRPr="009F14E9">
              <w:rPr>
                <w:b/>
                <w:bCs/>
                <w:sz w:val="24"/>
                <w:szCs w:val="24"/>
                <w:lang w:val="es-ES"/>
              </w:rPr>
              <w:t xml:space="preserve">Comisión de Estudio </w:t>
            </w:r>
            <w:r w:rsidR="004A348E">
              <w:rPr>
                <w:b/>
                <w:bCs/>
                <w:sz w:val="24"/>
                <w:szCs w:val="24"/>
                <w:lang w:val="es-ES"/>
              </w:rPr>
              <w:t>5</w:t>
            </w:r>
            <w:r w:rsidRPr="009F14E9">
              <w:rPr>
                <w:b/>
                <w:bCs/>
                <w:sz w:val="24"/>
                <w:szCs w:val="24"/>
                <w:lang w:val="es-ES"/>
              </w:rPr>
              <w:t xml:space="preserve"> de Radiocomunicaciones (</w:t>
            </w:r>
            <w:r w:rsidR="004A348E">
              <w:rPr>
                <w:b/>
                <w:bCs/>
                <w:sz w:val="24"/>
                <w:szCs w:val="24"/>
                <w:lang w:val="es-ES"/>
              </w:rPr>
              <w:t>Servicios terrenales</w:t>
            </w:r>
            <w:r w:rsidRPr="009F14E9">
              <w:rPr>
                <w:b/>
                <w:bCs/>
                <w:sz w:val="24"/>
                <w:szCs w:val="24"/>
                <w:lang w:val="es-ES"/>
              </w:rPr>
              <w:t>)</w:t>
            </w:r>
          </w:p>
          <w:p w:rsidR="004B4B3F" w:rsidRPr="009F14E9" w:rsidRDefault="004B4B3F" w:rsidP="004A348E">
            <w:pPr>
              <w:tabs>
                <w:tab w:val="clear" w:pos="794"/>
              </w:tabs>
              <w:spacing w:before="120"/>
              <w:ind w:left="494" w:hanging="494"/>
              <w:jc w:val="left"/>
              <w:rPr>
                <w:b/>
                <w:bCs/>
                <w:sz w:val="24"/>
                <w:szCs w:val="24"/>
              </w:rPr>
            </w:pPr>
            <w:r w:rsidRPr="009F14E9">
              <w:rPr>
                <w:b/>
                <w:bCs/>
                <w:sz w:val="24"/>
                <w:szCs w:val="24"/>
                <w:lang w:val="es-ES"/>
              </w:rPr>
              <w:t>–</w:t>
            </w:r>
            <w:r w:rsidRPr="009F14E9">
              <w:rPr>
                <w:b/>
                <w:bCs/>
                <w:sz w:val="24"/>
                <w:szCs w:val="24"/>
                <w:lang w:val="es-ES"/>
              </w:rPr>
              <w:tab/>
              <w:t xml:space="preserve">Aprobación de </w:t>
            </w:r>
            <w:r w:rsidR="004A348E">
              <w:rPr>
                <w:b/>
                <w:bCs/>
                <w:sz w:val="24"/>
                <w:szCs w:val="24"/>
                <w:lang w:val="es-ES"/>
              </w:rPr>
              <w:t>1</w:t>
            </w:r>
            <w:r w:rsidRPr="009F14E9">
              <w:rPr>
                <w:b/>
                <w:bCs/>
                <w:sz w:val="24"/>
                <w:szCs w:val="24"/>
                <w:lang w:val="es-ES"/>
              </w:rPr>
              <w:t xml:space="preserve"> nueva Cuestión </w:t>
            </w:r>
            <w:proofErr w:type="spellStart"/>
            <w:r w:rsidRPr="009F14E9">
              <w:rPr>
                <w:b/>
                <w:bCs/>
                <w:sz w:val="24"/>
                <w:szCs w:val="24"/>
                <w:lang w:val="es-ES"/>
              </w:rPr>
              <w:t>UIT</w:t>
            </w:r>
            <w:proofErr w:type="spellEnd"/>
            <w:r w:rsidRPr="009F14E9">
              <w:rPr>
                <w:b/>
                <w:bCs/>
                <w:sz w:val="24"/>
                <w:szCs w:val="24"/>
                <w:lang w:val="es-ES"/>
              </w:rPr>
              <w:t xml:space="preserve">-R </w:t>
            </w:r>
          </w:p>
        </w:tc>
      </w:tr>
      <w:tr w:rsidR="004B4B3F" w:rsidRPr="009F14E9" w:rsidTr="004B4B3F">
        <w:trPr>
          <w:jc w:val="center"/>
        </w:trPr>
        <w:tc>
          <w:tcPr>
            <w:tcW w:w="1525" w:type="dxa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:rsidR="004B4B3F" w:rsidRPr="009F14E9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1525" w:type="dxa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:rsidR="004B4B3F" w:rsidRPr="009F14E9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1525" w:type="dxa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1525" w:type="dxa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4B4B3F" w:rsidRPr="009F14E9" w:rsidRDefault="004B4B3F" w:rsidP="004A348E">
      <w:pPr>
        <w:spacing w:before="240"/>
        <w:ind w:right="-142"/>
        <w:rPr>
          <w:sz w:val="24"/>
          <w:szCs w:val="24"/>
        </w:rPr>
      </w:pPr>
      <w:r w:rsidRPr="009F14E9">
        <w:rPr>
          <w:sz w:val="24"/>
          <w:szCs w:val="24"/>
        </w:rPr>
        <w:t>Mediante la Circular Administrativa CACE/</w:t>
      </w:r>
      <w:r w:rsidR="004A348E">
        <w:rPr>
          <w:sz w:val="24"/>
          <w:szCs w:val="24"/>
        </w:rPr>
        <w:t>878</w:t>
      </w:r>
      <w:r w:rsidRPr="009F14E9">
        <w:rPr>
          <w:sz w:val="24"/>
          <w:szCs w:val="24"/>
        </w:rPr>
        <w:t xml:space="preserve"> de </w:t>
      </w:r>
      <w:r w:rsidR="004A348E">
        <w:rPr>
          <w:sz w:val="24"/>
          <w:szCs w:val="24"/>
        </w:rPr>
        <w:t>28 de noviembre de 2018</w:t>
      </w:r>
      <w:r w:rsidRPr="009F14E9">
        <w:rPr>
          <w:sz w:val="24"/>
          <w:szCs w:val="24"/>
        </w:rPr>
        <w:t>, se present</w:t>
      </w:r>
      <w:r w:rsidR="004A348E">
        <w:rPr>
          <w:sz w:val="24"/>
          <w:szCs w:val="24"/>
        </w:rPr>
        <w:t>ó</w:t>
      </w:r>
      <w:r w:rsidRPr="009F14E9">
        <w:rPr>
          <w:sz w:val="24"/>
          <w:szCs w:val="24"/>
        </w:rPr>
        <w:t xml:space="preserve"> para aprobación por correspondencia, de conformidad con la Resolución </w:t>
      </w:r>
      <w:proofErr w:type="spellStart"/>
      <w:r w:rsidRPr="009F14E9">
        <w:rPr>
          <w:sz w:val="24"/>
          <w:szCs w:val="24"/>
        </w:rPr>
        <w:t>UIT</w:t>
      </w:r>
      <w:proofErr w:type="spellEnd"/>
      <w:r w:rsidRPr="009F14E9">
        <w:rPr>
          <w:sz w:val="24"/>
          <w:szCs w:val="24"/>
        </w:rPr>
        <w:t>-R 1-7 (§ </w:t>
      </w:r>
      <w:proofErr w:type="spellStart"/>
      <w:r w:rsidRPr="009F14E9">
        <w:rPr>
          <w:sz w:val="24"/>
          <w:szCs w:val="24"/>
        </w:rPr>
        <w:t>A2.5.2.3</w:t>
      </w:r>
      <w:proofErr w:type="spellEnd"/>
      <w:r w:rsidRPr="009F14E9">
        <w:rPr>
          <w:sz w:val="24"/>
          <w:szCs w:val="24"/>
        </w:rPr>
        <w:t xml:space="preserve">), </w:t>
      </w:r>
      <w:r w:rsidR="004A348E">
        <w:rPr>
          <w:sz w:val="24"/>
          <w:szCs w:val="24"/>
        </w:rPr>
        <w:t>1</w:t>
      </w:r>
      <w:r w:rsidRPr="009F14E9">
        <w:rPr>
          <w:sz w:val="24"/>
          <w:szCs w:val="24"/>
        </w:rPr>
        <w:t xml:space="preserve"> proyecto de nueva Cuestión </w:t>
      </w:r>
      <w:proofErr w:type="spellStart"/>
      <w:r w:rsidRPr="009F14E9">
        <w:rPr>
          <w:sz w:val="24"/>
          <w:szCs w:val="24"/>
        </w:rPr>
        <w:t>UIT</w:t>
      </w:r>
      <w:proofErr w:type="spellEnd"/>
      <w:r w:rsidRPr="009F14E9">
        <w:rPr>
          <w:sz w:val="24"/>
          <w:szCs w:val="24"/>
        </w:rPr>
        <w:t xml:space="preserve">-R. </w:t>
      </w:r>
    </w:p>
    <w:p w:rsidR="004B4B3F" w:rsidRPr="009F14E9" w:rsidRDefault="004B4B3F" w:rsidP="004A348E">
      <w:pPr>
        <w:rPr>
          <w:sz w:val="24"/>
          <w:szCs w:val="24"/>
        </w:rPr>
      </w:pPr>
      <w:r w:rsidRPr="009F14E9">
        <w:rPr>
          <w:sz w:val="24"/>
          <w:szCs w:val="24"/>
        </w:rPr>
        <w:t xml:space="preserve">Las condiciones que rigen este procedimiento se cumplieron el </w:t>
      </w:r>
      <w:r w:rsidR="004A348E">
        <w:rPr>
          <w:sz w:val="24"/>
          <w:szCs w:val="24"/>
        </w:rPr>
        <w:t>28 de enero de 2019</w:t>
      </w:r>
      <w:r w:rsidRPr="009F14E9">
        <w:rPr>
          <w:sz w:val="24"/>
          <w:szCs w:val="24"/>
        </w:rPr>
        <w:t xml:space="preserve">. </w:t>
      </w:r>
    </w:p>
    <w:p w:rsidR="004B4B3F" w:rsidRPr="009F14E9" w:rsidRDefault="004B4B3F" w:rsidP="004A348E">
      <w:pPr>
        <w:rPr>
          <w:sz w:val="24"/>
          <w:szCs w:val="24"/>
          <w:lang w:val="es-ES"/>
        </w:rPr>
      </w:pPr>
      <w:r w:rsidRPr="004A348E">
        <w:rPr>
          <w:sz w:val="24"/>
          <w:szCs w:val="24"/>
        </w:rPr>
        <w:t xml:space="preserve">Como referencia, se adjunta </w:t>
      </w:r>
      <w:r w:rsidR="004A348E" w:rsidRPr="004A348E">
        <w:rPr>
          <w:sz w:val="24"/>
          <w:szCs w:val="24"/>
        </w:rPr>
        <w:t>el</w:t>
      </w:r>
      <w:r w:rsidRPr="004A348E">
        <w:rPr>
          <w:sz w:val="24"/>
          <w:szCs w:val="24"/>
        </w:rPr>
        <w:t xml:space="preserve"> texto de la Cuesti</w:t>
      </w:r>
      <w:r w:rsidR="004A348E" w:rsidRPr="004A348E">
        <w:rPr>
          <w:sz w:val="24"/>
          <w:szCs w:val="24"/>
        </w:rPr>
        <w:t>ón</w:t>
      </w:r>
      <w:r w:rsidRPr="004A348E">
        <w:rPr>
          <w:sz w:val="24"/>
          <w:szCs w:val="24"/>
        </w:rPr>
        <w:t xml:space="preserve"> aprobada en el Anexo</w:t>
      </w:r>
      <w:r w:rsidR="004A348E" w:rsidRPr="004A348E">
        <w:rPr>
          <w:sz w:val="24"/>
          <w:szCs w:val="24"/>
        </w:rPr>
        <w:t xml:space="preserve"> </w:t>
      </w:r>
      <w:r w:rsidR="005A1BF0" w:rsidRPr="004A348E">
        <w:rPr>
          <w:sz w:val="24"/>
          <w:szCs w:val="24"/>
        </w:rPr>
        <w:t xml:space="preserve">a la presente carta </w:t>
      </w:r>
      <w:r w:rsidRPr="004A348E">
        <w:rPr>
          <w:sz w:val="24"/>
          <w:szCs w:val="24"/>
        </w:rPr>
        <w:t>que se</w:t>
      </w:r>
      <w:r w:rsidR="00F33F66" w:rsidRPr="004A348E">
        <w:rPr>
          <w:sz w:val="24"/>
          <w:szCs w:val="24"/>
        </w:rPr>
        <w:t>rá</w:t>
      </w:r>
      <w:r w:rsidRPr="004A348E">
        <w:rPr>
          <w:sz w:val="24"/>
          <w:szCs w:val="24"/>
        </w:rPr>
        <w:t xml:space="preserve"> publica</w:t>
      </w:r>
      <w:r w:rsidR="00F33F66" w:rsidRPr="004A348E">
        <w:rPr>
          <w:sz w:val="24"/>
          <w:szCs w:val="24"/>
        </w:rPr>
        <w:t>do</w:t>
      </w:r>
      <w:r w:rsidR="0089557C" w:rsidRPr="004A348E">
        <w:rPr>
          <w:sz w:val="24"/>
          <w:szCs w:val="24"/>
          <w:lang w:val="es-ES"/>
        </w:rPr>
        <w:t xml:space="preserve"> por la </w:t>
      </w:r>
      <w:proofErr w:type="spellStart"/>
      <w:r w:rsidR="0089557C" w:rsidRPr="004A348E">
        <w:rPr>
          <w:sz w:val="24"/>
          <w:szCs w:val="24"/>
          <w:lang w:val="es-ES"/>
        </w:rPr>
        <w:t>UIT</w:t>
      </w:r>
      <w:proofErr w:type="spellEnd"/>
      <w:r w:rsidRPr="004A348E">
        <w:rPr>
          <w:sz w:val="24"/>
          <w:szCs w:val="24"/>
        </w:rPr>
        <w:t xml:space="preserve">. </w:t>
      </w:r>
    </w:p>
    <w:p w:rsidR="004B4B3F" w:rsidRPr="009F14E9" w:rsidRDefault="00E24722" w:rsidP="004A348E">
      <w:pPr>
        <w:spacing w:before="14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Mario </w:t>
      </w:r>
      <w:proofErr w:type="spellStart"/>
      <w:r>
        <w:rPr>
          <w:sz w:val="24"/>
          <w:szCs w:val="24"/>
        </w:rPr>
        <w:t>Maniewicz</w:t>
      </w:r>
      <w:proofErr w:type="spellEnd"/>
      <w:r w:rsidR="00C32DE9" w:rsidRPr="009F14E9">
        <w:rPr>
          <w:sz w:val="24"/>
          <w:szCs w:val="24"/>
        </w:rPr>
        <w:br/>
      </w:r>
      <w:r w:rsidR="004B4B3F" w:rsidRPr="009F14E9">
        <w:rPr>
          <w:sz w:val="24"/>
          <w:szCs w:val="24"/>
        </w:rPr>
        <w:t>Director</w:t>
      </w:r>
    </w:p>
    <w:p w:rsidR="004B4B3F" w:rsidRPr="009F14E9" w:rsidRDefault="004B4B3F" w:rsidP="004A348E">
      <w:pPr>
        <w:spacing w:before="360"/>
        <w:rPr>
          <w:sz w:val="24"/>
          <w:szCs w:val="24"/>
        </w:rPr>
      </w:pPr>
      <w:r w:rsidRPr="009F14E9">
        <w:rPr>
          <w:b/>
          <w:bCs/>
          <w:sz w:val="24"/>
          <w:szCs w:val="24"/>
        </w:rPr>
        <w:t>Anexo</w:t>
      </w:r>
      <w:r w:rsidRPr="004A348E">
        <w:rPr>
          <w:b/>
          <w:bCs/>
          <w:sz w:val="24"/>
          <w:szCs w:val="24"/>
        </w:rPr>
        <w:t>:</w:t>
      </w:r>
      <w:r w:rsidRPr="009F14E9">
        <w:rPr>
          <w:sz w:val="24"/>
          <w:szCs w:val="24"/>
        </w:rPr>
        <w:t xml:space="preserve"> </w:t>
      </w:r>
      <w:r w:rsidR="004A348E">
        <w:rPr>
          <w:sz w:val="24"/>
          <w:szCs w:val="24"/>
        </w:rPr>
        <w:tab/>
      </w:r>
      <w:r w:rsidR="004A348E">
        <w:rPr>
          <w:sz w:val="24"/>
          <w:szCs w:val="24"/>
        </w:rPr>
        <w:tab/>
        <w:t>1</w:t>
      </w:r>
    </w:p>
    <w:p w:rsidR="004B4B3F" w:rsidRPr="00C8796B" w:rsidRDefault="004B4B3F" w:rsidP="004A348E">
      <w:pPr>
        <w:tabs>
          <w:tab w:val="left" w:pos="6237"/>
        </w:tabs>
        <w:spacing w:before="720"/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4B4B3F" w:rsidRPr="00C8796B" w:rsidRDefault="004B4B3F" w:rsidP="004A348E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Administraciones de los Estados Miembros de la </w:t>
      </w:r>
      <w:proofErr w:type="spellStart"/>
      <w:r w:rsidRPr="00C8796B">
        <w:rPr>
          <w:sz w:val="18"/>
          <w:szCs w:val="18"/>
        </w:rPr>
        <w:t>UIT</w:t>
      </w:r>
      <w:proofErr w:type="spellEnd"/>
      <w:r w:rsidRPr="00C8796B">
        <w:rPr>
          <w:sz w:val="18"/>
          <w:szCs w:val="18"/>
        </w:rPr>
        <w:t xml:space="preserve"> y Miembros del Sector de Radiocomunicaciones que participan en los trabajos de la Comisión de Estudio </w:t>
      </w:r>
      <w:r w:rsidR="004A348E">
        <w:rPr>
          <w:sz w:val="18"/>
          <w:szCs w:val="18"/>
        </w:rPr>
        <w:t>5</w:t>
      </w:r>
      <w:r w:rsidRPr="00C8796B">
        <w:rPr>
          <w:sz w:val="18"/>
          <w:szCs w:val="18"/>
        </w:rPr>
        <w:t xml:space="preserve"> de Radiocomunicaciones</w:t>
      </w:r>
    </w:p>
    <w:p w:rsidR="004B4B3F" w:rsidRPr="00C8796B" w:rsidRDefault="004B4B3F" w:rsidP="004A348E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Asociados del </w:t>
      </w:r>
      <w:proofErr w:type="spellStart"/>
      <w:r w:rsidRPr="00C8796B">
        <w:rPr>
          <w:sz w:val="18"/>
          <w:szCs w:val="18"/>
        </w:rPr>
        <w:t>UIT</w:t>
      </w:r>
      <w:proofErr w:type="spellEnd"/>
      <w:r w:rsidRPr="00C8796B">
        <w:rPr>
          <w:sz w:val="18"/>
          <w:szCs w:val="18"/>
        </w:rPr>
        <w:t xml:space="preserve">-R que participan en los trabajos de la Comisión de Estudio </w:t>
      </w:r>
      <w:r w:rsidR="004A348E">
        <w:rPr>
          <w:sz w:val="18"/>
          <w:szCs w:val="18"/>
        </w:rPr>
        <w:t>5</w:t>
      </w:r>
      <w:r w:rsidRPr="00C8796B">
        <w:rPr>
          <w:sz w:val="18"/>
          <w:szCs w:val="18"/>
        </w:rPr>
        <w:t xml:space="preserve"> de Radiocomunicaciones</w:t>
      </w:r>
    </w:p>
    <w:p w:rsidR="004B4B3F" w:rsidRPr="00C8796B" w:rsidRDefault="004B4B3F" w:rsidP="005A1BF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Instituciones </w:t>
      </w:r>
      <w:r>
        <w:rPr>
          <w:sz w:val="18"/>
          <w:szCs w:val="18"/>
        </w:rPr>
        <w:t>A</w:t>
      </w:r>
      <w:r w:rsidRPr="00C8796B">
        <w:rPr>
          <w:sz w:val="18"/>
          <w:szCs w:val="18"/>
        </w:rPr>
        <w:t>cadémicas de</w:t>
      </w:r>
      <w:r>
        <w:rPr>
          <w:sz w:val="18"/>
          <w:szCs w:val="18"/>
        </w:rPr>
        <w:t xml:space="preserve"> </w:t>
      </w:r>
      <w:r w:rsidRPr="00C8796B">
        <w:rPr>
          <w:sz w:val="18"/>
          <w:szCs w:val="18"/>
        </w:rPr>
        <w:t>l</w:t>
      </w:r>
      <w:r>
        <w:rPr>
          <w:sz w:val="18"/>
          <w:szCs w:val="18"/>
        </w:rPr>
        <w:t>a</w:t>
      </w:r>
      <w:r w:rsidRPr="00C8796B">
        <w:rPr>
          <w:sz w:val="18"/>
          <w:szCs w:val="18"/>
        </w:rPr>
        <w:t xml:space="preserve"> </w:t>
      </w:r>
      <w:proofErr w:type="spellStart"/>
      <w:r w:rsidRPr="00C8796B">
        <w:rPr>
          <w:sz w:val="18"/>
          <w:szCs w:val="18"/>
        </w:rPr>
        <w:t>UIT</w:t>
      </w:r>
      <w:proofErr w:type="spellEnd"/>
    </w:p>
    <w:p w:rsidR="004B4B3F" w:rsidRPr="00C8796B" w:rsidRDefault="004B4B3F" w:rsidP="005A1BF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Presidentes y Vicepresidentes de las Comisiones de Estudio de Radiocomunicaciones </w:t>
      </w:r>
    </w:p>
    <w:p w:rsidR="004B4B3F" w:rsidRPr="00C8796B" w:rsidRDefault="004B4B3F" w:rsidP="005A1BF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Vicepresidentes de la Reunión Preparatoria de la Conferencia</w:t>
      </w:r>
    </w:p>
    <w:p w:rsidR="004B4B3F" w:rsidRPr="00C8796B" w:rsidRDefault="004B4B3F" w:rsidP="005A1BF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4A348E" w:rsidRDefault="004B4B3F" w:rsidP="005A1BF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Secretario General de la </w:t>
      </w:r>
      <w:proofErr w:type="spellStart"/>
      <w:r w:rsidRPr="00C8796B">
        <w:rPr>
          <w:sz w:val="18"/>
          <w:szCs w:val="18"/>
        </w:rPr>
        <w:t>UIT</w:t>
      </w:r>
      <w:proofErr w:type="spellEnd"/>
      <w:r w:rsidRPr="00C8796B">
        <w:rPr>
          <w:sz w:val="18"/>
          <w:szCs w:val="18"/>
        </w:rPr>
        <w:t>, Director de la Oficina de Normalización de las Telecomunicaciones, Director de la Oficina de Desarrollo de Telecomunicaciones</w:t>
      </w:r>
    </w:p>
    <w:p w:rsidR="00C71CA9" w:rsidRDefault="00C71CA9" w:rsidP="005A1BF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B4B3F" w:rsidRPr="00C71CA9" w:rsidRDefault="004A348E" w:rsidP="00C71CA9">
      <w:pPr>
        <w:pStyle w:val="AnnexNotitle0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lastRenderedPageBreak/>
        <w:t>Anexo</w:t>
      </w:r>
    </w:p>
    <w:p w:rsidR="004A348E" w:rsidRPr="001A7A95" w:rsidRDefault="004A348E" w:rsidP="004A348E">
      <w:pPr>
        <w:pStyle w:val="QuestionNo"/>
        <w:spacing w:before="480"/>
        <w:jc w:val="center"/>
        <w:rPr>
          <w:rFonts w:asciiTheme="majorBidi" w:hAnsiTheme="majorBidi" w:cstheme="majorBidi"/>
          <w:b w:val="0"/>
          <w:bCs/>
          <w:szCs w:val="28"/>
        </w:rPr>
      </w:pPr>
      <w:r w:rsidRPr="001A7A95">
        <w:rPr>
          <w:rFonts w:asciiTheme="majorBidi" w:hAnsiTheme="majorBidi" w:cstheme="majorBidi"/>
          <w:b w:val="0"/>
          <w:bCs/>
          <w:szCs w:val="28"/>
        </w:rPr>
        <w:t xml:space="preserve">CUESTIÓN </w:t>
      </w:r>
      <w:proofErr w:type="spellStart"/>
      <w:r w:rsidRPr="001A7A95">
        <w:rPr>
          <w:rFonts w:asciiTheme="majorBidi" w:hAnsiTheme="majorBidi" w:cstheme="majorBidi"/>
          <w:b w:val="0"/>
          <w:bCs/>
          <w:szCs w:val="28"/>
        </w:rPr>
        <w:t>UIT</w:t>
      </w:r>
      <w:proofErr w:type="spellEnd"/>
      <w:r w:rsidRPr="001A7A95">
        <w:rPr>
          <w:rFonts w:asciiTheme="majorBidi" w:hAnsiTheme="majorBidi" w:cstheme="majorBidi"/>
          <w:b w:val="0"/>
          <w:bCs/>
          <w:szCs w:val="28"/>
        </w:rPr>
        <w:t>-R</w:t>
      </w:r>
      <w:r>
        <w:rPr>
          <w:rFonts w:asciiTheme="majorBidi" w:hAnsiTheme="majorBidi" w:cstheme="majorBidi"/>
          <w:b w:val="0"/>
          <w:bCs/>
          <w:szCs w:val="28"/>
        </w:rPr>
        <w:t xml:space="preserve"> 260</w:t>
      </w:r>
      <w:r w:rsidRPr="001A7A95">
        <w:rPr>
          <w:rFonts w:asciiTheme="majorBidi" w:hAnsiTheme="majorBidi" w:cstheme="majorBidi"/>
          <w:b w:val="0"/>
          <w:bCs/>
          <w:szCs w:val="28"/>
        </w:rPr>
        <w:t>/5</w:t>
      </w:r>
      <w:r w:rsidRPr="008C3052">
        <w:rPr>
          <w:rStyle w:val="FootnoteReference"/>
          <w:rFonts w:asciiTheme="majorBidi" w:hAnsiTheme="majorBidi" w:cstheme="majorBidi"/>
          <w:b w:val="0"/>
          <w:bCs/>
          <w:sz w:val="22"/>
          <w:vertAlign w:val="superscript"/>
        </w:rPr>
        <w:footnoteReference w:customMarkFollows="1" w:id="1"/>
        <w:t>1</w:t>
      </w:r>
    </w:p>
    <w:p w:rsidR="004A348E" w:rsidRDefault="004A348E" w:rsidP="004A348E">
      <w:pPr>
        <w:pStyle w:val="Questiontitle"/>
        <w:rPr>
          <w:rFonts w:asciiTheme="majorBidi" w:hAnsiTheme="majorBidi" w:cstheme="majorBidi"/>
          <w:szCs w:val="28"/>
        </w:rPr>
      </w:pPr>
      <w:r w:rsidRPr="001A7A95">
        <w:rPr>
          <w:rFonts w:asciiTheme="majorBidi" w:hAnsiTheme="majorBidi" w:cstheme="majorBidi"/>
          <w:szCs w:val="28"/>
        </w:rPr>
        <w:t xml:space="preserve">Análisis de la coexistencia entre los sistemas de detección de objetos extraños </w:t>
      </w:r>
      <w:r>
        <w:rPr>
          <w:rFonts w:asciiTheme="majorBidi" w:hAnsiTheme="majorBidi" w:cstheme="majorBidi"/>
          <w:szCs w:val="28"/>
        </w:rPr>
        <w:br/>
      </w:r>
      <w:r w:rsidRPr="001A7A95">
        <w:rPr>
          <w:rFonts w:asciiTheme="majorBidi" w:hAnsiTheme="majorBidi" w:cstheme="majorBidi"/>
          <w:szCs w:val="28"/>
        </w:rPr>
        <w:t xml:space="preserve">en la gama de frecuencias de 92 a 100 GHz y los sensores del servicio de exploración de la Tierra por satélite en la misma banda y </w:t>
      </w:r>
      <w:r>
        <w:rPr>
          <w:rFonts w:asciiTheme="majorBidi" w:hAnsiTheme="majorBidi" w:cstheme="majorBidi"/>
          <w:szCs w:val="28"/>
        </w:rPr>
        <w:br/>
      </w:r>
      <w:r w:rsidRPr="001A7A95">
        <w:rPr>
          <w:rFonts w:asciiTheme="majorBidi" w:hAnsiTheme="majorBidi" w:cstheme="majorBidi"/>
          <w:szCs w:val="28"/>
        </w:rPr>
        <w:t>en bandas adyacentes</w:t>
      </w:r>
    </w:p>
    <w:p w:rsidR="007B2C47" w:rsidRPr="00966F61" w:rsidRDefault="007B2C47" w:rsidP="007B2C47">
      <w:pPr>
        <w:pStyle w:val="Questiondate"/>
        <w:rPr>
          <w:rFonts w:asciiTheme="majorBidi" w:hAnsiTheme="majorBidi" w:cstheme="majorBidi"/>
          <w:i w:val="0"/>
          <w:iCs/>
        </w:rPr>
      </w:pPr>
      <w:r w:rsidRPr="00966F61">
        <w:rPr>
          <w:rFonts w:asciiTheme="majorBidi" w:hAnsiTheme="majorBidi" w:cstheme="majorBidi"/>
          <w:i w:val="0"/>
          <w:iCs/>
          <w:sz w:val="24"/>
          <w:szCs w:val="24"/>
        </w:rPr>
        <w:t>(2019)</w:t>
      </w:r>
    </w:p>
    <w:p w:rsidR="004A348E" w:rsidRPr="004A348E" w:rsidRDefault="004A348E" w:rsidP="004A348E">
      <w:pPr>
        <w:pStyle w:val="Normalaftertitle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 xml:space="preserve">La Asamblea de Radiocomunicaciones de la </w:t>
      </w:r>
      <w:proofErr w:type="spellStart"/>
      <w:r w:rsidRPr="004A348E">
        <w:rPr>
          <w:rFonts w:asciiTheme="majorBidi" w:hAnsiTheme="majorBidi" w:cstheme="majorBidi"/>
          <w:sz w:val="24"/>
          <w:szCs w:val="28"/>
        </w:rPr>
        <w:t>UIT</w:t>
      </w:r>
      <w:proofErr w:type="spellEnd"/>
      <w:r w:rsidRPr="004A348E">
        <w:rPr>
          <w:rFonts w:asciiTheme="majorBidi" w:hAnsiTheme="majorBidi" w:cstheme="majorBidi"/>
          <w:sz w:val="24"/>
          <w:szCs w:val="28"/>
        </w:rPr>
        <w:t>,</w:t>
      </w:r>
    </w:p>
    <w:p w:rsidR="004A348E" w:rsidRPr="004A348E" w:rsidRDefault="004A348E" w:rsidP="004A348E">
      <w:pPr>
        <w:pStyle w:val="Call"/>
        <w:rPr>
          <w:rFonts w:asciiTheme="majorBidi" w:hAnsiTheme="majorBidi" w:cstheme="majorBidi"/>
          <w:sz w:val="24"/>
          <w:szCs w:val="28"/>
        </w:rPr>
      </w:pPr>
      <w:proofErr w:type="gramStart"/>
      <w:r w:rsidRPr="004A348E">
        <w:rPr>
          <w:rFonts w:asciiTheme="majorBidi" w:hAnsiTheme="majorBidi" w:cstheme="majorBidi"/>
          <w:sz w:val="24"/>
          <w:szCs w:val="28"/>
        </w:rPr>
        <w:t>considerando</w:t>
      </w:r>
      <w:proofErr w:type="gramEnd"/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a)</w:t>
      </w:r>
      <w:r w:rsidRPr="004A348E">
        <w:rPr>
          <w:rFonts w:asciiTheme="majorBidi" w:hAnsiTheme="majorBidi" w:cstheme="majorBidi"/>
          <w:sz w:val="24"/>
          <w:szCs w:val="28"/>
        </w:rPr>
        <w:tab/>
        <w:t>que los objetos extraños pueden causar daños graves a los trabajadores de los aeropuertos o de las compañías aéreas y deteriorar los equipos;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b)</w:t>
      </w:r>
      <w:r w:rsidRPr="004A348E">
        <w:rPr>
          <w:rFonts w:asciiTheme="majorBidi" w:hAnsiTheme="majorBidi" w:cstheme="majorBidi"/>
          <w:sz w:val="24"/>
          <w:szCs w:val="28"/>
        </w:rPr>
        <w:tab/>
        <w:t>que los objetos extraños pueden proceder del personal, de la infraestructura aeroportuaria, del medioambiente y de los equipos operativos en el espacio aéreo;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c)</w:t>
      </w:r>
      <w:r w:rsidRPr="004A348E">
        <w:rPr>
          <w:rFonts w:asciiTheme="majorBidi" w:hAnsiTheme="majorBidi" w:cstheme="majorBidi"/>
          <w:sz w:val="24"/>
          <w:szCs w:val="28"/>
        </w:rPr>
        <w:tab/>
        <w:t>que un estudio realizado en un aeropuerto a lo largo de un año reveló que más del 60% de los objetos extraños eran metálicos y un 18% de caucho;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d)</w:t>
      </w:r>
      <w:r w:rsidRPr="004A348E">
        <w:rPr>
          <w:rFonts w:asciiTheme="majorBidi" w:hAnsiTheme="majorBidi" w:cstheme="majorBidi"/>
          <w:sz w:val="24"/>
          <w:szCs w:val="28"/>
        </w:rPr>
        <w:tab/>
        <w:t>que es necesario detectar los objetos extraños en las superficies de los aeropuertos, a fin de mantener la seguridad de las actividades aeroportuarias;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e)</w:t>
      </w:r>
      <w:r w:rsidRPr="004A348E">
        <w:rPr>
          <w:rFonts w:asciiTheme="majorBidi" w:hAnsiTheme="majorBidi" w:cstheme="majorBidi"/>
          <w:sz w:val="24"/>
          <w:szCs w:val="28"/>
        </w:rPr>
        <w:tab/>
        <w:t>que ya se dispone de tecnologías avanzadas, como los radares de ondas milimétricas, que facilitan la detección de objetos extraños, incluidas capacidades de detección continua en pistas y otras zonas de circulación de aeronaves;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f)</w:t>
      </w:r>
      <w:r w:rsidRPr="004A348E">
        <w:rPr>
          <w:rFonts w:asciiTheme="majorBidi" w:hAnsiTheme="majorBidi" w:cstheme="majorBidi"/>
          <w:sz w:val="24"/>
          <w:szCs w:val="28"/>
        </w:rPr>
        <w:tab/>
        <w:t>que los radares de objetos extraños deben ser capaces de detectar cualesquiera objetos cuyas dimensiones sean tan reducidas como 3,1 cm de alto y 3,8 cm de diámetro;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g)</w:t>
      </w:r>
      <w:r w:rsidRPr="004A348E">
        <w:rPr>
          <w:rFonts w:asciiTheme="majorBidi" w:hAnsiTheme="majorBidi" w:cstheme="majorBidi"/>
          <w:sz w:val="24"/>
          <w:szCs w:val="28"/>
        </w:rPr>
        <w:tab/>
        <w:t>que las autoridades de aviación proporcionan orientaciones y especificaciones para la adquisición de equipos de detección de objetos extraños en aeropuertos;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h)</w:t>
      </w:r>
      <w:r w:rsidRPr="004A348E">
        <w:rPr>
          <w:rFonts w:asciiTheme="majorBidi" w:hAnsiTheme="majorBidi" w:cstheme="majorBidi"/>
          <w:sz w:val="24"/>
          <w:szCs w:val="28"/>
        </w:rPr>
        <w:tab/>
        <w:t>que se dispone de un ancho de banda contiguo suficiente para prestar servicios de radiolocalización en la gama de frecuencias 92-100 GHz;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i)</w:t>
      </w:r>
      <w:r w:rsidRPr="004A348E">
        <w:rPr>
          <w:rFonts w:asciiTheme="majorBidi" w:hAnsiTheme="majorBidi" w:cstheme="majorBidi"/>
          <w:sz w:val="24"/>
          <w:szCs w:val="28"/>
        </w:rPr>
        <w:tab/>
        <w:t>que es necesario documentar las características técnicas y operativas de los sistemas de detección de objetos extraños,</w:t>
      </w:r>
    </w:p>
    <w:p w:rsidR="004A348E" w:rsidRPr="004A348E" w:rsidRDefault="004A348E" w:rsidP="004A348E">
      <w:pPr>
        <w:pStyle w:val="Call"/>
        <w:rPr>
          <w:rFonts w:asciiTheme="majorBidi" w:hAnsiTheme="majorBidi" w:cstheme="majorBidi"/>
          <w:sz w:val="24"/>
          <w:szCs w:val="28"/>
        </w:rPr>
      </w:pPr>
      <w:proofErr w:type="gramStart"/>
      <w:r w:rsidRPr="004A348E">
        <w:rPr>
          <w:rFonts w:asciiTheme="majorBidi" w:hAnsiTheme="majorBidi" w:cstheme="majorBidi"/>
          <w:sz w:val="24"/>
          <w:szCs w:val="28"/>
        </w:rPr>
        <w:t>reconociendo</w:t>
      </w:r>
      <w:proofErr w:type="gramEnd"/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a)</w:t>
      </w:r>
      <w:r w:rsidRPr="004A348E">
        <w:rPr>
          <w:rFonts w:asciiTheme="majorBidi" w:hAnsiTheme="majorBidi" w:cstheme="majorBidi"/>
          <w:sz w:val="24"/>
          <w:szCs w:val="28"/>
        </w:rPr>
        <w:tab/>
        <w:t xml:space="preserve">que ningún servicio </w:t>
      </w:r>
      <w:proofErr w:type="spellStart"/>
      <w:r w:rsidRPr="004A348E">
        <w:rPr>
          <w:rFonts w:asciiTheme="majorBidi" w:hAnsiTheme="majorBidi" w:cstheme="majorBidi"/>
          <w:sz w:val="24"/>
          <w:szCs w:val="28"/>
        </w:rPr>
        <w:t>coprimario</w:t>
      </w:r>
      <w:proofErr w:type="spellEnd"/>
      <w:r w:rsidRPr="004A348E">
        <w:rPr>
          <w:rFonts w:asciiTheme="majorBidi" w:hAnsiTheme="majorBidi" w:cstheme="majorBidi"/>
          <w:sz w:val="24"/>
          <w:szCs w:val="28"/>
        </w:rPr>
        <w:t xml:space="preserve"> goza de prioridad sobre otro a menos que se introduzcan disposiciones normativas adicionales en ese sentido en el </w:t>
      </w:r>
      <w:proofErr w:type="spellStart"/>
      <w:r w:rsidRPr="004A348E">
        <w:rPr>
          <w:rFonts w:asciiTheme="majorBidi" w:hAnsiTheme="majorBidi" w:cstheme="majorBidi"/>
          <w:sz w:val="24"/>
          <w:szCs w:val="28"/>
        </w:rPr>
        <w:t>RR</w:t>
      </w:r>
      <w:proofErr w:type="spellEnd"/>
      <w:r w:rsidRPr="004A348E">
        <w:rPr>
          <w:rFonts w:asciiTheme="majorBidi" w:hAnsiTheme="majorBidi" w:cstheme="majorBidi"/>
          <w:sz w:val="24"/>
          <w:szCs w:val="28"/>
        </w:rPr>
        <w:t>;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b)</w:t>
      </w:r>
      <w:r w:rsidRPr="004A348E">
        <w:rPr>
          <w:rFonts w:asciiTheme="majorBidi" w:hAnsiTheme="majorBidi" w:cstheme="majorBidi"/>
          <w:sz w:val="24"/>
          <w:szCs w:val="28"/>
        </w:rPr>
        <w:tab/>
        <w:t xml:space="preserve">que la compartición con los servicios pasivos de conformidad con la </w:t>
      </w:r>
      <w:r w:rsidRPr="004A348E">
        <w:rPr>
          <w:rFonts w:asciiTheme="majorBidi" w:hAnsiTheme="majorBidi" w:cstheme="majorBidi"/>
          <w:sz w:val="24"/>
          <w:szCs w:val="28"/>
        </w:rPr>
        <w:br/>
        <w:t xml:space="preserve">Resolución </w:t>
      </w:r>
      <w:r w:rsidRPr="004A348E">
        <w:rPr>
          <w:rFonts w:asciiTheme="majorBidi" w:hAnsiTheme="majorBidi" w:cstheme="majorBidi"/>
          <w:b/>
          <w:bCs/>
          <w:sz w:val="24"/>
          <w:szCs w:val="28"/>
        </w:rPr>
        <w:t>731 (</w:t>
      </w:r>
      <w:proofErr w:type="spellStart"/>
      <w:r w:rsidRPr="004A348E">
        <w:rPr>
          <w:rFonts w:asciiTheme="majorBidi" w:hAnsiTheme="majorBidi" w:cstheme="majorBidi"/>
          <w:b/>
          <w:bCs/>
          <w:sz w:val="24"/>
          <w:szCs w:val="28"/>
        </w:rPr>
        <w:t>Rev.CMR</w:t>
      </w:r>
      <w:proofErr w:type="spellEnd"/>
      <w:r w:rsidRPr="004A348E">
        <w:rPr>
          <w:rFonts w:asciiTheme="majorBidi" w:hAnsiTheme="majorBidi" w:cstheme="majorBidi"/>
          <w:b/>
          <w:bCs/>
          <w:sz w:val="24"/>
          <w:szCs w:val="28"/>
        </w:rPr>
        <w:t>-12)</w:t>
      </w:r>
      <w:r w:rsidRPr="004A348E">
        <w:rPr>
          <w:rFonts w:asciiTheme="majorBidi" w:hAnsiTheme="majorBidi" w:cstheme="majorBidi"/>
          <w:sz w:val="24"/>
          <w:szCs w:val="28"/>
        </w:rPr>
        <w:t xml:space="preserve"> debería ser objeto de estudio en las bandas de frecuencias por encima de 71 GHz, con miras a integrar los nuevos requisitos de los servicios activos;</w:t>
      </w:r>
    </w:p>
    <w:p w:rsidR="004A348E" w:rsidRPr="004A348E" w:rsidRDefault="004A348E" w:rsidP="004A348E">
      <w:pPr>
        <w:rPr>
          <w:rFonts w:asciiTheme="majorBidi" w:hAnsiTheme="majorBidi" w:cstheme="majorBidi"/>
          <w:bCs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lastRenderedPageBreak/>
        <w:t>c)</w:t>
      </w:r>
      <w:r w:rsidRPr="004A348E">
        <w:rPr>
          <w:rFonts w:asciiTheme="majorBidi" w:hAnsiTheme="majorBidi" w:cstheme="majorBidi"/>
          <w:sz w:val="24"/>
          <w:szCs w:val="28"/>
        </w:rPr>
        <w:tab/>
        <w:t xml:space="preserve">que también deberían estudiarse medidas adecuadas y criterios de compartición entre servicios activos </w:t>
      </w:r>
      <w:proofErr w:type="spellStart"/>
      <w:r w:rsidRPr="004A348E">
        <w:rPr>
          <w:rFonts w:asciiTheme="majorBidi" w:hAnsiTheme="majorBidi" w:cstheme="majorBidi"/>
          <w:sz w:val="24"/>
          <w:szCs w:val="28"/>
        </w:rPr>
        <w:t>coprimarios</w:t>
      </w:r>
      <w:proofErr w:type="spellEnd"/>
      <w:r w:rsidRPr="004A348E">
        <w:rPr>
          <w:rFonts w:asciiTheme="majorBidi" w:hAnsiTheme="majorBidi" w:cstheme="majorBidi"/>
          <w:sz w:val="24"/>
          <w:szCs w:val="28"/>
        </w:rPr>
        <w:t xml:space="preserve">, de conformidad con la Resolución </w:t>
      </w:r>
      <w:r w:rsidRPr="004A348E">
        <w:rPr>
          <w:rFonts w:asciiTheme="majorBidi" w:hAnsiTheme="majorBidi" w:cstheme="majorBidi"/>
          <w:b/>
          <w:bCs/>
          <w:sz w:val="24"/>
          <w:szCs w:val="28"/>
        </w:rPr>
        <w:t>732 (</w:t>
      </w:r>
      <w:proofErr w:type="spellStart"/>
      <w:r w:rsidRPr="004A348E">
        <w:rPr>
          <w:rFonts w:asciiTheme="majorBidi" w:hAnsiTheme="majorBidi" w:cstheme="majorBidi"/>
          <w:b/>
          <w:bCs/>
          <w:sz w:val="24"/>
          <w:szCs w:val="28"/>
        </w:rPr>
        <w:t>Rev.CMR</w:t>
      </w:r>
      <w:proofErr w:type="spellEnd"/>
      <w:r w:rsidRPr="004A348E">
        <w:rPr>
          <w:rFonts w:asciiTheme="majorBidi" w:hAnsiTheme="majorBidi" w:cstheme="majorBidi"/>
          <w:b/>
          <w:bCs/>
          <w:sz w:val="24"/>
          <w:szCs w:val="28"/>
        </w:rPr>
        <w:t>-12)</w:t>
      </w:r>
      <w:r w:rsidRPr="004A348E">
        <w:rPr>
          <w:rFonts w:asciiTheme="majorBidi" w:hAnsiTheme="majorBidi" w:cstheme="majorBidi"/>
          <w:sz w:val="24"/>
          <w:szCs w:val="28"/>
        </w:rPr>
        <w:t>;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d)</w:t>
      </w:r>
      <w:r w:rsidRPr="004A348E">
        <w:rPr>
          <w:rFonts w:asciiTheme="majorBidi" w:hAnsiTheme="majorBidi" w:cstheme="majorBidi"/>
          <w:sz w:val="24"/>
          <w:szCs w:val="28"/>
        </w:rPr>
        <w:tab/>
        <w:t>que, para las hipótesis de compartición y compatibilidad, los criterios de protección del servicio de exploración de la Tierra por satélite (SETS) (pasivo) figuran en la Recomendación </w:t>
      </w:r>
      <w:proofErr w:type="spellStart"/>
      <w:r w:rsidRPr="004A348E">
        <w:rPr>
          <w:rFonts w:asciiTheme="majorBidi" w:hAnsiTheme="majorBidi" w:cstheme="majorBidi"/>
          <w:sz w:val="24"/>
          <w:szCs w:val="28"/>
        </w:rPr>
        <w:t>UIT</w:t>
      </w:r>
      <w:proofErr w:type="spellEnd"/>
      <w:r w:rsidRPr="004A348E">
        <w:rPr>
          <w:rFonts w:asciiTheme="majorBidi" w:hAnsiTheme="majorBidi" w:cstheme="majorBidi"/>
          <w:sz w:val="24"/>
          <w:szCs w:val="28"/>
        </w:rPr>
        <w:noBreakHyphen/>
        <w:t xml:space="preserve">R </w:t>
      </w:r>
      <w:proofErr w:type="spellStart"/>
      <w:r w:rsidRPr="004A348E">
        <w:rPr>
          <w:rFonts w:asciiTheme="majorBidi" w:hAnsiTheme="majorBidi" w:cstheme="majorBidi"/>
          <w:sz w:val="24"/>
          <w:szCs w:val="28"/>
        </w:rPr>
        <w:t>RS.2017</w:t>
      </w:r>
      <w:proofErr w:type="spellEnd"/>
      <w:r w:rsidRPr="004A348E">
        <w:rPr>
          <w:rFonts w:asciiTheme="majorBidi" w:hAnsiTheme="majorBidi" w:cstheme="majorBidi"/>
          <w:sz w:val="24"/>
          <w:szCs w:val="28"/>
        </w:rPr>
        <w:t xml:space="preserve"> y los criterios de protección del SETS (activo) en la Recomendación </w:t>
      </w:r>
      <w:proofErr w:type="spellStart"/>
      <w:r w:rsidRPr="004A348E">
        <w:rPr>
          <w:rFonts w:asciiTheme="majorBidi" w:hAnsiTheme="majorBidi" w:cstheme="majorBidi"/>
          <w:sz w:val="24"/>
          <w:szCs w:val="28"/>
        </w:rPr>
        <w:t>UIT</w:t>
      </w:r>
      <w:proofErr w:type="spellEnd"/>
      <w:r w:rsidRPr="004A348E">
        <w:rPr>
          <w:rFonts w:asciiTheme="majorBidi" w:hAnsiTheme="majorBidi" w:cstheme="majorBidi"/>
          <w:sz w:val="24"/>
          <w:szCs w:val="28"/>
        </w:rPr>
        <w:t xml:space="preserve">-R </w:t>
      </w:r>
      <w:proofErr w:type="spellStart"/>
      <w:r w:rsidRPr="004A348E">
        <w:rPr>
          <w:rFonts w:asciiTheme="majorBidi" w:hAnsiTheme="majorBidi" w:cstheme="majorBidi"/>
          <w:sz w:val="24"/>
          <w:szCs w:val="28"/>
        </w:rPr>
        <w:t>RS.1166</w:t>
      </w:r>
      <w:proofErr w:type="spellEnd"/>
      <w:r w:rsidRPr="004A348E">
        <w:rPr>
          <w:rFonts w:asciiTheme="majorBidi" w:hAnsiTheme="majorBidi" w:cstheme="majorBidi"/>
          <w:sz w:val="24"/>
          <w:szCs w:val="28"/>
        </w:rPr>
        <w:t>;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e)</w:t>
      </w:r>
      <w:r w:rsidRPr="004A348E">
        <w:rPr>
          <w:rFonts w:asciiTheme="majorBidi" w:hAnsiTheme="majorBidi" w:cstheme="majorBidi"/>
          <w:sz w:val="24"/>
          <w:szCs w:val="28"/>
        </w:rPr>
        <w:tab/>
        <w:t>que los niveles de emisiones no deseadas del servicio fijo para proteger el SETS (pasivo) en la banda 8</w:t>
      </w:r>
      <w:r>
        <w:rPr>
          <w:rFonts w:asciiTheme="majorBidi" w:hAnsiTheme="majorBidi" w:cstheme="majorBidi"/>
          <w:sz w:val="24"/>
          <w:szCs w:val="28"/>
        </w:rPr>
        <w:t>6</w:t>
      </w:r>
      <w:r w:rsidRPr="004A348E">
        <w:rPr>
          <w:rFonts w:asciiTheme="majorBidi" w:hAnsiTheme="majorBidi" w:cstheme="majorBidi"/>
          <w:sz w:val="24"/>
          <w:szCs w:val="28"/>
        </w:rPr>
        <w:t xml:space="preserve">-92 GHz se especifican de conformidad con la Resolución </w:t>
      </w:r>
      <w:r w:rsidRPr="004A348E">
        <w:rPr>
          <w:rFonts w:asciiTheme="majorBidi" w:hAnsiTheme="majorBidi" w:cstheme="majorBidi"/>
          <w:b/>
          <w:bCs/>
          <w:sz w:val="24"/>
          <w:szCs w:val="28"/>
        </w:rPr>
        <w:t>750 (</w:t>
      </w:r>
      <w:proofErr w:type="spellStart"/>
      <w:r w:rsidRPr="004A348E">
        <w:rPr>
          <w:rFonts w:asciiTheme="majorBidi" w:hAnsiTheme="majorBidi" w:cstheme="majorBidi"/>
          <w:b/>
          <w:bCs/>
          <w:sz w:val="24"/>
          <w:szCs w:val="28"/>
        </w:rPr>
        <w:t>Rev.CMR</w:t>
      </w:r>
      <w:proofErr w:type="spellEnd"/>
      <w:r w:rsidRPr="004A348E">
        <w:rPr>
          <w:rFonts w:asciiTheme="majorBidi" w:hAnsiTheme="majorBidi" w:cstheme="majorBidi"/>
          <w:b/>
          <w:bCs/>
          <w:sz w:val="24"/>
          <w:szCs w:val="28"/>
        </w:rPr>
        <w:t>-15)</w:t>
      </w:r>
      <w:r w:rsidRPr="004A348E">
        <w:rPr>
          <w:rFonts w:asciiTheme="majorBidi" w:hAnsiTheme="majorBidi" w:cstheme="majorBidi"/>
          <w:sz w:val="24"/>
          <w:szCs w:val="28"/>
        </w:rPr>
        <w:t>,</w:t>
      </w:r>
    </w:p>
    <w:p w:rsidR="004A348E" w:rsidRPr="004A348E" w:rsidRDefault="004A348E" w:rsidP="004A348E">
      <w:pPr>
        <w:pStyle w:val="Call"/>
        <w:rPr>
          <w:rFonts w:asciiTheme="majorBidi" w:hAnsiTheme="majorBidi" w:cstheme="majorBidi"/>
          <w:sz w:val="24"/>
          <w:szCs w:val="28"/>
        </w:rPr>
      </w:pPr>
      <w:proofErr w:type="gramStart"/>
      <w:r w:rsidRPr="004A348E">
        <w:rPr>
          <w:rFonts w:asciiTheme="majorBidi" w:hAnsiTheme="majorBidi" w:cstheme="majorBidi"/>
          <w:sz w:val="24"/>
          <w:szCs w:val="28"/>
        </w:rPr>
        <w:t>decide</w:t>
      </w:r>
      <w:proofErr w:type="gramEnd"/>
      <w:r w:rsidRPr="004A348E">
        <w:rPr>
          <w:rFonts w:asciiTheme="majorBidi" w:hAnsiTheme="majorBidi" w:cstheme="majorBidi"/>
          <w:sz w:val="24"/>
          <w:szCs w:val="28"/>
        </w:rPr>
        <w:t xml:space="preserve"> </w:t>
      </w:r>
      <w:r w:rsidRPr="004A348E">
        <w:rPr>
          <w:rFonts w:asciiTheme="majorBidi" w:hAnsiTheme="majorBidi" w:cstheme="majorBidi"/>
          <w:i w:val="0"/>
          <w:iCs/>
          <w:sz w:val="24"/>
          <w:szCs w:val="28"/>
        </w:rPr>
        <w:t>que se estudie la siguiente Cuestión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>¿</w:t>
      </w:r>
      <w:proofErr w:type="gramStart"/>
      <w:r w:rsidRPr="004A348E">
        <w:rPr>
          <w:rFonts w:asciiTheme="majorBidi" w:hAnsiTheme="majorBidi" w:cstheme="majorBidi"/>
          <w:sz w:val="24"/>
          <w:szCs w:val="28"/>
        </w:rPr>
        <w:t>cuáles</w:t>
      </w:r>
      <w:proofErr w:type="gramEnd"/>
      <w:r w:rsidRPr="004A348E">
        <w:rPr>
          <w:rFonts w:asciiTheme="majorBidi" w:hAnsiTheme="majorBidi" w:cstheme="majorBidi"/>
          <w:sz w:val="24"/>
          <w:szCs w:val="28"/>
        </w:rPr>
        <w:t xml:space="preserve"> son las condiciones técnicas necesarias para garantizar la coexistencia de los sistemas de detección de objetos extraños y los sistemas del SETS (activo) y el SETS (pasivo) en bandas de frecuencias comunes o en bandas de frecuencias adyacentes?</w:t>
      </w:r>
    </w:p>
    <w:p w:rsidR="004A348E" w:rsidRPr="004A348E" w:rsidRDefault="004A348E" w:rsidP="004A348E">
      <w:pPr>
        <w:pStyle w:val="Call"/>
        <w:rPr>
          <w:rFonts w:asciiTheme="majorBidi" w:hAnsiTheme="majorBidi" w:cstheme="majorBidi"/>
          <w:sz w:val="24"/>
          <w:szCs w:val="28"/>
        </w:rPr>
      </w:pPr>
      <w:proofErr w:type="gramStart"/>
      <w:r w:rsidRPr="004A348E">
        <w:rPr>
          <w:rFonts w:asciiTheme="majorBidi" w:hAnsiTheme="majorBidi" w:cstheme="majorBidi"/>
          <w:sz w:val="24"/>
          <w:szCs w:val="28"/>
        </w:rPr>
        <w:t>decide</w:t>
      </w:r>
      <w:proofErr w:type="gramEnd"/>
      <w:r w:rsidRPr="004A348E">
        <w:rPr>
          <w:rFonts w:asciiTheme="majorBidi" w:hAnsiTheme="majorBidi" w:cstheme="majorBidi"/>
          <w:sz w:val="24"/>
          <w:szCs w:val="28"/>
        </w:rPr>
        <w:t xml:space="preserve"> además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>1</w:t>
      </w:r>
      <w:r w:rsidRPr="004A348E">
        <w:rPr>
          <w:rFonts w:asciiTheme="majorBidi" w:hAnsiTheme="majorBidi" w:cstheme="majorBidi"/>
          <w:sz w:val="24"/>
          <w:szCs w:val="28"/>
        </w:rPr>
        <w:tab/>
        <w:t xml:space="preserve">que las características técnicas y operativas de los sistemas de detección de objetos extraños se incluyan en una Recomendación </w:t>
      </w:r>
      <w:proofErr w:type="spellStart"/>
      <w:r w:rsidRPr="004A348E">
        <w:rPr>
          <w:rFonts w:asciiTheme="majorBidi" w:hAnsiTheme="majorBidi" w:cstheme="majorBidi"/>
          <w:sz w:val="24"/>
          <w:szCs w:val="28"/>
        </w:rPr>
        <w:t>UIT</w:t>
      </w:r>
      <w:proofErr w:type="spellEnd"/>
      <w:r w:rsidRPr="004A348E">
        <w:rPr>
          <w:rFonts w:asciiTheme="majorBidi" w:hAnsiTheme="majorBidi" w:cstheme="majorBidi"/>
          <w:sz w:val="24"/>
          <w:szCs w:val="28"/>
        </w:rPr>
        <w:t>-R;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>2</w:t>
      </w:r>
      <w:r w:rsidRPr="004A348E">
        <w:rPr>
          <w:rFonts w:asciiTheme="majorBidi" w:hAnsiTheme="majorBidi" w:cstheme="majorBidi"/>
          <w:sz w:val="24"/>
          <w:szCs w:val="28"/>
        </w:rPr>
        <w:tab/>
        <w:t xml:space="preserve">que los resultados de los estudios se incluyan también en un Informe </w:t>
      </w:r>
      <w:proofErr w:type="spellStart"/>
      <w:r w:rsidRPr="004A348E">
        <w:rPr>
          <w:rFonts w:asciiTheme="majorBidi" w:hAnsiTheme="majorBidi" w:cstheme="majorBidi"/>
          <w:sz w:val="24"/>
          <w:szCs w:val="28"/>
        </w:rPr>
        <w:t>UIT</w:t>
      </w:r>
      <w:proofErr w:type="spellEnd"/>
      <w:r w:rsidRPr="004A348E">
        <w:rPr>
          <w:rFonts w:asciiTheme="majorBidi" w:hAnsiTheme="majorBidi" w:cstheme="majorBidi"/>
          <w:sz w:val="24"/>
          <w:szCs w:val="28"/>
        </w:rPr>
        <w:t>-R;</w:t>
      </w:r>
    </w:p>
    <w:p w:rsidR="004A348E" w:rsidRPr="004A348E" w:rsidRDefault="004A348E" w:rsidP="004A348E">
      <w:pPr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>3</w:t>
      </w:r>
      <w:r w:rsidRPr="004A348E">
        <w:rPr>
          <w:rFonts w:asciiTheme="majorBidi" w:hAnsiTheme="majorBidi" w:cstheme="majorBidi"/>
          <w:sz w:val="24"/>
          <w:szCs w:val="28"/>
        </w:rPr>
        <w:tab/>
        <w:t>que esta labor se concluya de aquí al año 2023.</w:t>
      </w:r>
    </w:p>
    <w:p w:rsidR="004A348E" w:rsidRPr="004A348E" w:rsidRDefault="004A348E" w:rsidP="004A348E">
      <w:pPr>
        <w:spacing w:before="600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 xml:space="preserve">Categoría: </w:t>
      </w:r>
      <w:proofErr w:type="spellStart"/>
      <w:r w:rsidRPr="004A348E">
        <w:rPr>
          <w:rFonts w:asciiTheme="majorBidi" w:hAnsiTheme="majorBidi" w:cstheme="majorBidi"/>
          <w:sz w:val="24"/>
          <w:szCs w:val="28"/>
        </w:rPr>
        <w:t>S2</w:t>
      </w:r>
      <w:proofErr w:type="spellEnd"/>
    </w:p>
    <w:p w:rsidR="00C71CA9" w:rsidRDefault="00C71CA9" w:rsidP="00C71CA9">
      <w:pPr>
        <w:rPr>
          <w:lang w:val="es-ES"/>
        </w:rPr>
      </w:pPr>
    </w:p>
    <w:p w:rsidR="00C71CA9" w:rsidRDefault="00C71CA9" w:rsidP="00C71CA9">
      <w:pPr>
        <w:rPr>
          <w:lang w:val="es-ES"/>
        </w:rPr>
      </w:pPr>
    </w:p>
    <w:p w:rsidR="00C71CA9" w:rsidRDefault="00C71CA9">
      <w:pPr>
        <w:jc w:val="center"/>
      </w:pPr>
      <w:r>
        <w:t>______________</w:t>
      </w:r>
    </w:p>
    <w:p w:rsidR="004B4B3F" w:rsidRDefault="004B4B3F" w:rsidP="00966F61">
      <w:pPr>
        <w:pStyle w:val="Reasons"/>
      </w:pPr>
    </w:p>
    <w:sectPr w:rsidR="004B4B3F" w:rsidSect="00235A29">
      <w:headerReference w:type="even" r:id="rId7"/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3B" w:rsidRDefault="006B363B">
      <w:r>
        <w:separator/>
      </w:r>
    </w:p>
  </w:endnote>
  <w:endnote w:type="continuationSeparator" w:id="0">
    <w:p w:rsidR="006B363B" w:rsidRDefault="006B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BA" w:rsidRPr="000E1D9B" w:rsidRDefault="00EE082A" w:rsidP="000E1D9B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A80381">
      <w:rPr>
        <w:sz w:val="18"/>
        <w:szCs w:val="18"/>
      </w:rPr>
      <w:t xml:space="preserve">Unión Internacional de Telecomunicaciones • Place des </w:t>
    </w:r>
    <w:proofErr w:type="spellStart"/>
    <w:r w:rsidRPr="00A80381">
      <w:rPr>
        <w:sz w:val="18"/>
        <w:szCs w:val="18"/>
      </w:rPr>
      <w:t>Nations</w:t>
    </w:r>
    <w:proofErr w:type="spellEnd"/>
    <w:r w:rsidRPr="00A80381">
      <w:rPr>
        <w:sz w:val="18"/>
        <w:szCs w:val="18"/>
      </w:rPr>
      <w:t xml:space="preserve"> • CH</w:t>
    </w:r>
    <w:r w:rsidRPr="00A80381">
      <w:rPr>
        <w:sz w:val="18"/>
        <w:szCs w:val="18"/>
      </w:rPr>
      <w:noBreakHyphen/>
      <w:t>1211 Ginebra 20 • Suiza</w:t>
    </w:r>
    <w:r w:rsidRPr="00A80381">
      <w:rPr>
        <w:sz w:val="18"/>
        <w:szCs w:val="18"/>
      </w:rPr>
      <w:br/>
      <w:t xml:space="preserve">Tel.: +41 22 730 5111 • Fax: +41 22 733 7256 • Correo-e: </w:t>
    </w:r>
    <w:hyperlink r:id="rId1" w:history="1">
      <w:proofErr w:type="spellStart"/>
      <w:r w:rsidRPr="00A80381">
        <w:rPr>
          <w:rStyle w:val="Hyperlink"/>
          <w:sz w:val="18"/>
          <w:szCs w:val="18"/>
        </w:rPr>
        <w:t>itumail@itu.int</w:t>
      </w:r>
      <w:proofErr w:type="spellEnd"/>
    </w:hyperlink>
    <w:r w:rsidRPr="00A80381">
      <w:rPr>
        <w:sz w:val="18"/>
        <w:szCs w:val="18"/>
      </w:rPr>
      <w:t xml:space="preserve"> • </w:t>
    </w:r>
    <w:hyperlink r:id="rId2" w:history="1">
      <w:proofErr w:type="spellStart"/>
      <w:r w:rsidRPr="00A80381">
        <w:rPr>
          <w:rStyle w:val="Hyperlink"/>
          <w:sz w:val="18"/>
          <w:szCs w:val="18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3B" w:rsidRDefault="006B363B">
      <w:r>
        <w:t>____________________</w:t>
      </w:r>
    </w:p>
  </w:footnote>
  <w:footnote w:type="continuationSeparator" w:id="0">
    <w:p w:rsidR="006B363B" w:rsidRDefault="006B363B">
      <w:r>
        <w:continuationSeparator/>
      </w:r>
    </w:p>
  </w:footnote>
  <w:footnote w:id="1">
    <w:p w:rsidR="004A348E" w:rsidRPr="00FD0AE0" w:rsidRDefault="004A348E" w:rsidP="004A348E">
      <w:pPr>
        <w:pStyle w:val="FootnoteText"/>
        <w:jc w:val="left"/>
        <w:rPr>
          <w:lang w:val="es-ES"/>
        </w:rPr>
      </w:pPr>
      <w:r w:rsidRPr="007B7EAB">
        <w:rPr>
          <w:rStyle w:val="FootnoteReference"/>
          <w:rFonts w:asciiTheme="majorBidi" w:hAnsiTheme="majorBidi" w:cstheme="majorBidi"/>
          <w:lang w:val="es-ES"/>
        </w:rPr>
        <w:t>1</w:t>
      </w:r>
      <w:r w:rsidRPr="00FD0AE0">
        <w:rPr>
          <w:lang w:val="es-ES"/>
        </w:rPr>
        <w:tab/>
      </w:r>
      <w:r w:rsidRPr="001A7A95">
        <w:rPr>
          <w:rFonts w:asciiTheme="majorBidi" w:hAnsiTheme="majorBidi" w:cstheme="majorBidi"/>
          <w:sz w:val="24"/>
          <w:szCs w:val="24"/>
          <w:lang w:val="es-ES"/>
        </w:rPr>
        <w:t>Esta Cuestión debería señalarse a la atención de Organización de Aviación Civil Internacional y la Organización Meteorológica Mundial.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D176D4" w:rsidRDefault="00D15CFA" w:rsidP="00D176D4">
    <w:pPr>
      <w:pStyle w:val="Header"/>
      <w:jc w:val="center"/>
      <w:rPr>
        <w:sz w:val="18"/>
        <w:szCs w:val="18"/>
      </w:rPr>
    </w:pPr>
    <w:r w:rsidRPr="00D176D4">
      <w:rPr>
        <w:sz w:val="18"/>
        <w:szCs w:val="18"/>
      </w:rPr>
      <w:t xml:space="preserve">- </w:t>
    </w:r>
    <w:r w:rsidR="00026CF8" w:rsidRPr="00D176D4">
      <w:rPr>
        <w:rStyle w:val="PageNumber"/>
        <w:rFonts w:cs="Calibri"/>
        <w:sz w:val="18"/>
        <w:szCs w:val="18"/>
      </w:rPr>
      <w:fldChar w:fldCharType="begin"/>
    </w:r>
    <w:r w:rsidR="00026CF8" w:rsidRPr="00D176D4">
      <w:rPr>
        <w:rStyle w:val="PageNumber"/>
        <w:rFonts w:cs="Calibri"/>
        <w:sz w:val="18"/>
        <w:szCs w:val="18"/>
      </w:rPr>
      <w:instrText xml:space="preserve"> PAGE </w:instrText>
    </w:r>
    <w:r w:rsidR="00026CF8" w:rsidRPr="00D176D4">
      <w:rPr>
        <w:rStyle w:val="PageNumber"/>
        <w:rFonts w:cs="Calibri"/>
        <w:sz w:val="18"/>
        <w:szCs w:val="18"/>
      </w:rPr>
      <w:fldChar w:fldCharType="separate"/>
    </w:r>
    <w:r w:rsidR="00EA42EE">
      <w:rPr>
        <w:rStyle w:val="PageNumber"/>
        <w:rFonts w:cs="Calibri"/>
        <w:noProof/>
        <w:sz w:val="18"/>
        <w:szCs w:val="18"/>
      </w:rPr>
      <w:t>2</w:t>
    </w:r>
    <w:r w:rsidR="00026CF8" w:rsidRPr="00D176D4">
      <w:rPr>
        <w:rStyle w:val="PageNumber"/>
        <w:rFonts w:cs="Calibri"/>
        <w:sz w:val="18"/>
        <w:szCs w:val="18"/>
      </w:rPr>
      <w:fldChar w:fldCharType="end"/>
    </w:r>
    <w:r w:rsidRPr="00D176D4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026CF8" w:rsidP="004B4B3F">
    <w:pPr>
      <w:pStyle w:val="Header"/>
    </w:pPr>
    <w:r>
      <w:tab/>
    </w:r>
    <w:r>
      <w:tab/>
    </w:r>
    <w:r w:rsidR="004B4B3F">
      <w:t xml:space="preserve">- </w:t>
    </w:r>
    <w:r w:rsidR="004B4B3F">
      <w:rPr>
        <w:rStyle w:val="PageNumber"/>
        <w:rFonts w:cs="Calibri"/>
      </w:rPr>
      <w:fldChar w:fldCharType="begin"/>
    </w:r>
    <w:r w:rsidR="004B4B3F">
      <w:rPr>
        <w:rStyle w:val="PageNumber"/>
        <w:rFonts w:cs="Calibri"/>
      </w:rPr>
      <w:instrText xml:space="preserve"> PAGE </w:instrText>
    </w:r>
    <w:r w:rsidR="004B4B3F">
      <w:rPr>
        <w:rStyle w:val="PageNumber"/>
        <w:rFonts w:cs="Calibri"/>
      </w:rPr>
      <w:fldChar w:fldCharType="separate"/>
    </w:r>
    <w:r w:rsidR="00EA42EE">
      <w:rPr>
        <w:rStyle w:val="PageNumber"/>
        <w:rFonts w:cs="Calibri"/>
        <w:noProof/>
      </w:rPr>
      <w:t>3</w:t>
    </w:r>
    <w:r w:rsidR="004B4B3F">
      <w:rPr>
        <w:rStyle w:val="PageNumber"/>
        <w:rFonts w:cs="Calibri"/>
      </w:rPr>
      <w:fldChar w:fldCharType="end"/>
    </w:r>
    <w:r w:rsidR="004B4B3F">
      <w:rPr>
        <w:rStyle w:val="PageNumber"/>
        <w:rFonts w:cs="Calibri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EC7D66" w:rsidTr="008A6836">
      <w:tc>
        <w:tcPr>
          <w:tcW w:w="4792" w:type="dxa"/>
          <w:tcMar>
            <w:left w:w="0" w:type="dxa"/>
          </w:tcMar>
        </w:tcPr>
        <w:p w:rsidR="00EC7D66" w:rsidRDefault="00EC7D66" w:rsidP="00EC7D66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61E639BF" wp14:editId="584233C5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EC7D66" w:rsidRDefault="00EC7D66" w:rsidP="00EC7D66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EC8EF2B" wp14:editId="7D8C4652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0BBA" w:rsidRPr="00EC7D66" w:rsidRDefault="00350BBA" w:rsidP="00EC7D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1D9B"/>
    <w:rsid w:val="000E3DEE"/>
    <w:rsid w:val="000E5E18"/>
    <w:rsid w:val="000F3479"/>
    <w:rsid w:val="00103C76"/>
    <w:rsid w:val="00105660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96920"/>
    <w:rsid w:val="004A348E"/>
    <w:rsid w:val="004B4B3F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A1BF0"/>
    <w:rsid w:val="005B214C"/>
    <w:rsid w:val="00602D53"/>
    <w:rsid w:val="00651777"/>
    <w:rsid w:val="0067458B"/>
    <w:rsid w:val="00674F4F"/>
    <w:rsid w:val="006B0590"/>
    <w:rsid w:val="006B363B"/>
    <w:rsid w:val="006B49DA"/>
    <w:rsid w:val="006C18EB"/>
    <w:rsid w:val="00700636"/>
    <w:rsid w:val="00707216"/>
    <w:rsid w:val="007234B1"/>
    <w:rsid w:val="00730B9A"/>
    <w:rsid w:val="00783681"/>
    <w:rsid w:val="007921A7"/>
    <w:rsid w:val="007A5C27"/>
    <w:rsid w:val="007B2C47"/>
    <w:rsid w:val="007B3DB1"/>
    <w:rsid w:val="007D183E"/>
    <w:rsid w:val="007E304D"/>
    <w:rsid w:val="007E3F13"/>
    <w:rsid w:val="007E480E"/>
    <w:rsid w:val="00800012"/>
    <w:rsid w:val="0081513E"/>
    <w:rsid w:val="00823210"/>
    <w:rsid w:val="00843445"/>
    <w:rsid w:val="00847D46"/>
    <w:rsid w:val="00854131"/>
    <w:rsid w:val="0085652D"/>
    <w:rsid w:val="0087694B"/>
    <w:rsid w:val="0089557C"/>
    <w:rsid w:val="008F4F21"/>
    <w:rsid w:val="00904D4A"/>
    <w:rsid w:val="009151BA"/>
    <w:rsid w:val="009277BC"/>
    <w:rsid w:val="00927D57"/>
    <w:rsid w:val="00941D23"/>
    <w:rsid w:val="0095010C"/>
    <w:rsid w:val="00963D9D"/>
    <w:rsid w:val="00966F61"/>
    <w:rsid w:val="00976AAD"/>
    <w:rsid w:val="00981B54"/>
    <w:rsid w:val="009842C3"/>
    <w:rsid w:val="009A6BB6"/>
    <w:rsid w:val="009B3F43"/>
    <w:rsid w:val="009B6C20"/>
    <w:rsid w:val="009C161F"/>
    <w:rsid w:val="009E4AEC"/>
    <w:rsid w:val="009E5BD8"/>
    <w:rsid w:val="009E681E"/>
    <w:rsid w:val="009F14E9"/>
    <w:rsid w:val="00A34D6F"/>
    <w:rsid w:val="00A41F91"/>
    <w:rsid w:val="00A9168B"/>
    <w:rsid w:val="00A963DF"/>
    <w:rsid w:val="00AC3896"/>
    <w:rsid w:val="00AE6CFA"/>
    <w:rsid w:val="00AF3325"/>
    <w:rsid w:val="00B343B5"/>
    <w:rsid w:val="00B34CF9"/>
    <w:rsid w:val="00B67004"/>
    <w:rsid w:val="00B90C45"/>
    <w:rsid w:val="00B933BE"/>
    <w:rsid w:val="00BB4069"/>
    <w:rsid w:val="00BD7E5E"/>
    <w:rsid w:val="00BE6574"/>
    <w:rsid w:val="00C0257B"/>
    <w:rsid w:val="00C231A6"/>
    <w:rsid w:val="00C32DE9"/>
    <w:rsid w:val="00C57E2C"/>
    <w:rsid w:val="00C608B7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6D4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B3A18"/>
    <w:rsid w:val="00DE66A5"/>
    <w:rsid w:val="00DF2B50"/>
    <w:rsid w:val="00E003F5"/>
    <w:rsid w:val="00E04C86"/>
    <w:rsid w:val="00E1089D"/>
    <w:rsid w:val="00E20F30"/>
    <w:rsid w:val="00E24722"/>
    <w:rsid w:val="00E27BBA"/>
    <w:rsid w:val="00E34CD1"/>
    <w:rsid w:val="00E35E8F"/>
    <w:rsid w:val="00E438E8"/>
    <w:rsid w:val="00E520E2"/>
    <w:rsid w:val="00E64254"/>
    <w:rsid w:val="00E7474D"/>
    <w:rsid w:val="00EA15B3"/>
    <w:rsid w:val="00EA42EE"/>
    <w:rsid w:val="00EB2358"/>
    <w:rsid w:val="00EB3EB8"/>
    <w:rsid w:val="00EC7D66"/>
    <w:rsid w:val="00EE082A"/>
    <w:rsid w:val="00F21468"/>
    <w:rsid w:val="00F33F66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efaultImageDpi w14:val="0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DNV-FT Char"/>
    <w:basedOn w:val="DefaultParagraphFont"/>
    <w:link w:val="FootnoteText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A348E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14</TotalTime>
  <Pages>3</Pages>
  <Words>785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Fernandez Jimenez, Virginia</cp:lastModifiedBy>
  <cp:revision>6</cp:revision>
  <cp:lastPrinted>2019-02-05T10:16:00Z</cp:lastPrinted>
  <dcterms:created xsi:type="dcterms:W3CDTF">2019-01-28T14:50:00Z</dcterms:created>
  <dcterms:modified xsi:type="dcterms:W3CDTF">2019-02-05T11:01:00Z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