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632DF5" w:rsidRPr="000C69AF" w:rsidTr="004228FA">
        <w:trPr>
          <w:jc w:val="center"/>
        </w:trPr>
        <w:tc>
          <w:tcPr>
            <w:tcW w:w="9889" w:type="dxa"/>
            <w:gridSpan w:val="3"/>
            <w:shd w:val="clear" w:color="auto" w:fill="auto"/>
          </w:tcPr>
          <w:p w:rsidR="00E53DCE" w:rsidRPr="000C69AF" w:rsidRDefault="00254E9E" w:rsidP="00534176">
            <w:pPr>
              <w:spacing w:before="0" w:line="240" w:lineRule="auto"/>
              <w:jc w:val="left"/>
              <w:rPr>
                <w:rFonts w:cstheme="minorHAnsi"/>
                <w:b/>
                <w:bCs/>
                <w:color w:val="808080"/>
                <w:sz w:val="28"/>
                <w:szCs w:val="28"/>
                <w:lang w:val="fr-CH"/>
              </w:rPr>
            </w:pPr>
            <w:r w:rsidRPr="000C69AF">
              <w:rPr>
                <w:rFonts w:cstheme="minorHAnsi"/>
                <w:b/>
                <w:bCs/>
                <w:color w:val="808080"/>
                <w:sz w:val="28"/>
                <w:szCs w:val="28"/>
                <w:lang w:val="fr-CH"/>
              </w:rPr>
              <w:t>Bureau des radiocommunications (BR)</w:t>
            </w:r>
          </w:p>
          <w:p w:rsidR="00E53DCE" w:rsidRPr="000C69AF" w:rsidRDefault="00C44A49" w:rsidP="00534176">
            <w:pPr>
              <w:spacing w:before="0" w:line="240" w:lineRule="auto"/>
              <w:jc w:val="left"/>
              <w:rPr>
                <w:rFonts w:cstheme="minorHAnsi"/>
                <w:b/>
                <w:bCs/>
                <w:color w:val="808080"/>
                <w:sz w:val="28"/>
                <w:szCs w:val="28"/>
                <w:lang w:val="fr-CH"/>
              </w:rPr>
            </w:pPr>
          </w:p>
          <w:p w:rsidR="00E53DCE" w:rsidRPr="000C69AF" w:rsidRDefault="00C44A49" w:rsidP="00534176">
            <w:pPr>
              <w:spacing w:before="0" w:line="240" w:lineRule="auto"/>
              <w:jc w:val="left"/>
              <w:rPr>
                <w:rFonts w:cs="Times New Roman Bold"/>
                <w:b/>
                <w:bCs/>
                <w:color w:val="808080"/>
                <w:sz w:val="28"/>
                <w:szCs w:val="28"/>
                <w:lang w:val="fr-CH"/>
              </w:rPr>
            </w:pPr>
          </w:p>
        </w:tc>
      </w:tr>
      <w:tr w:rsidR="00632DF5" w:rsidRPr="000C69AF" w:rsidTr="004228FA">
        <w:trPr>
          <w:jc w:val="center"/>
        </w:trPr>
        <w:tc>
          <w:tcPr>
            <w:tcW w:w="7054" w:type="dxa"/>
            <w:gridSpan w:val="2"/>
            <w:shd w:val="clear" w:color="auto" w:fill="auto"/>
          </w:tcPr>
          <w:p w:rsidR="00E53DCE" w:rsidRPr="000C69AF" w:rsidRDefault="00254E9E" w:rsidP="00534176">
            <w:pPr>
              <w:spacing w:before="0" w:line="240" w:lineRule="auto"/>
              <w:jc w:val="left"/>
              <w:rPr>
                <w:sz w:val="28"/>
                <w:szCs w:val="28"/>
                <w:lang w:val="fr-CH"/>
              </w:rPr>
            </w:pPr>
            <w:r w:rsidRPr="000C69AF">
              <w:rPr>
                <w:szCs w:val="24"/>
                <w:lang w:val="fr-CH"/>
              </w:rPr>
              <w:t>Circulaire administrative</w:t>
            </w:r>
          </w:p>
          <w:p w:rsidR="00E53DCE" w:rsidRPr="000C69AF" w:rsidRDefault="00254E9E" w:rsidP="00534176">
            <w:pPr>
              <w:spacing w:before="0" w:line="240" w:lineRule="auto"/>
              <w:jc w:val="left"/>
              <w:rPr>
                <w:b/>
                <w:bCs/>
                <w:sz w:val="28"/>
                <w:szCs w:val="28"/>
                <w:lang w:val="fr-CH"/>
              </w:rPr>
            </w:pPr>
            <w:r w:rsidRPr="000C69AF">
              <w:rPr>
                <w:b/>
                <w:bCs/>
                <w:szCs w:val="24"/>
                <w:lang w:val="fr-CH"/>
              </w:rPr>
              <w:t>CACE/879</w:t>
            </w:r>
          </w:p>
        </w:tc>
        <w:tc>
          <w:tcPr>
            <w:tcW w:w="2835" w:type="dxa"/>
            <w:shd w:val="clear" w:color="auto" w:fill="auto"/>
          </w:tcPr>
          <w:p w:rsidR="00E53DCE" w:rsidRPr="000C69AF" w:rsidRDefault="00254E9E" w:rsidP="00534176">
            <w:pPr>
              <w:spacing w:before="0" w:line="240" w:lineRule="auto"/>
              <w:jc w:val="right"/>
              <w:rPr>
                <w:sz w:val="28"/>
                <w:szCs w:val="28"/>
                <w:lang w:val="fr-CH"/>
              </w:rPr>
            </w:pPr>
            <w:r w:rsidRPr="000C69AF">
              <w:rPr>
                <w:rFonts w:cs="Arial"/>
                <w:szCs w:val="24"/>
                <w:lang w:val="fr-CH"/>
              </w:rPr>
              <w:t>Le 30 novembre 2018</w:t>
            </w:r>
          </w:p>
        </w:tc>
      </w:tr>
      <w:tr w:rsidR="00632DF5" w:rsidRPr="000C69AF" w:rsidTr="004228FA">
        <w:trPr>
          <w:jc w:val="center"/>
        </w:trPr>
        <w:tc>
          <w:tcPr>
            <w:tcW w:w="9889" w:type="dxa"/>
            <w:gridSpan w:val="3"/>
            <w:shd w:val="clear" w:color="auto" w:fill="auto"/>
          </w:tcPr>
          <w:p w:rsidR="00E53DCE" w:rsidRPr="000C69AF" w:rsidRDefault="00C44A49" w:rsidP="00534176">
            <w:pPr>
              <w:spacing w:before="0" w:line="240" w:lineRule="auto"/>
              <w:jc w:val="left"/>
              <w:rPr>
                <w:rFonts w:cs="Arial"/>
                <w:szCs w:val="24"/>
                <w:lang w:val="fr-CH"/>
              </w:rPr>
            </w:pPr>
          </w:p>
        </w:tc>
      </w:tr>
      <w:tr w:rsidR="00632DF5" w:rsidRPr="000C69AF" w:rsidTr="004228FA">
        <w:trPr>
          <w:jc w:val="center"/>
        </w:trPr>
        <w:tc>
          <w:tcPr>
            <w:tcW w:w="9889" w:type="dxa"/>
            <w:gridSpan w:val="3"/>
            <w:shd w:val="clear" w:color="auto" w:fill="auto"/>
          </w:tcPr>
          <w:p w:rsidR="00E53DCE" w:rsidRPr="000C69AF" w:rsidRDefault="00C44A49" w:rsidP="00534176">
            <w:pPr>
              <w:spacing w:before="0" w:line="240" w:lineRule="auto"/>
              <w:jc w:val="left"/>
              <w:rPr>
                <w:szCs w:val="24"/>
                <w:lang w:val="fr-CH"/>
              </w:rPr>
            </w:pPr>
          </w:p>
        </w:tc>
      </w:tr>
      <w:tr w:rsidR="00632DF5" w:rsidRPr="00537A4C" w:rsidTr="004228FA">
        <w:trPr>
          <w:jc w:val="center"/>
        </w:trPr>
        <w:tc>
          <w:tcPr>
            <w:tcW w:w="9889" w:type="dxa"/>
            <w:gridSpan w:val="3"/>
            <w:shd w:val="clear" w:color="auto" w:fill="auto"/>
          </w:tcPr>
          <w:p w:rsidR="00E53DCE" w:rsidRPr="000C69AF" w:rsidRDefault="00254E9E" w:rsidP="00534176">
            <w:pPr>
              <w:spacing w:before="0" w:line="240" w:lineRule="auto"/>
              <w:jc w:val="left"/>
              <w:rPr>
                <w:b/>
                <w:bCs/>
                <w:szCs w:val="24"/>
                <w:lang w:val="fr-CH"/>
              </w:rPr>
            </w:pPr>
            <w:r w:rsidRPr="000C69AF">
              <w:rPr>
                <w:b/>
                <w:bCs/>
                <w:szCs w:val="24"/>
                <w:lang w:val="fr-CH"/>
              </w:rPr>
              <w:t>Aux Administrations des Etats Membres de l'UIT, aux Membres du Secteur des radiocommunications, aux Associés de l'UIT-R participant aux travaux de la Commission d'études </w:t>
            </w:r>
            <w:r w:rsidR="00EA40D3" w:rsidRPr="000C69AF">
              <w:rPr>
                <w:b/>
                <w:bCs/>
                <w:szCs w:val="24"/>
                <w:lang w:val="fr-CH"/>
              </w:rPr>
              <w:t>5</w:t>
            </w:r>
            <w:r w:rsidRPr="000C69AF">
              <w:rPr>
                <w:b/>
                <w:bCs/>
                <w:szCs w:val="24"/>
                <w:lang w:val="fr-CH"/>
              </w:rPr>
              <w:t xml:space="preserve"> des radiocommunications et aux établissements universitaires participant aux travaux de l'UIT</w:t>
            </w:r>
          </w:p>
          <w:p w:rsidR="00E53DCE" w:rsidRPr="000C69AF" w:rsidRDefault="00C44A49" w:rsidP="00534176">
            <w:pPr>
              <w:spacing w:before="0" w:line="240" w:lineRule="auto"/>
              <w:jc w:val="left"/>
              <w:rPr>
                <w:b/>
                <w:bCs/>
                <w:szCs w:val="24"/>
                <w:lang w:val="fr-CH"/>
              </w:rPr>
            </w:pPr>
          </w:p>
        </w:tc>
      </w:tr>
      <w:tr w:rsidR="00632DF5" w:rsidRPr="00537A4C" w:rsidTr="004228FA">
        <w:trPr>
          <w:jc w:val="center"/>
        </w:trPr>
        <w:tc>
          <w:tcPr>
            <w:tcW w:w="9889" w:type="dxa"/>
            <w:gridSpan w:val="3"/>
            <w:shd w:val="clear" w:color="auto" w:fill="auto"/>
          </w:tcPr>
          <w:p w:rsidR="00E53DCE" w:rsidRPr="000C69AF" w:rsidRDefault="00C44A49" w:rsidP="00534176">
            <w:pPr>
              <w:spacing w:before="0" w:line="240" w:lineRule="auto"/>
              <w:jc w:val="left"/>
              <w:rPr>
                <w:szCs w:val="24"/>
                <w:lang w:val="fr-CH"/>
              </w:rPr>
            </w:pPr>
          </w:p>
        </w:tc>
      </w:tr>
      <w:tr w:rsidR="00632DF5" w:rsidRPr="00537A4C" w:rsidTr="004228FA">
        <w:trPr>
          <w:jc w:val="center"/>
        </w:trPr>
        <w:tc>
          <w:tcPr>
            <w:tcW w:w="9889" w:type="dxa"/>
            <w:gridSpan w:val="3"/>
            <w:shd w:val="clear" w:color="auto" w:fill="auto"/>
          </w:tcPr>
          <w:p w:rsidR="00E53DCE" w:rsidRPr="000C69AF" w:rsidRDefault="00C44A49" w:rsidP="00534176">
            <w:pPr>
              <w:spacing w:before="0" w:line="240" w:lineRule="auto"/>
              <w:jc w:val="left"/>
              <w:rPr>
                <w:szCs w:val="24"/>
                <w:lang w:val="fr-CH"/>
              </w:rPr>
            </w:pPr>
          </w:p>
        </w:tc>
      </w:tr>
      <w:tr w:rsidR="00632DF5" w:rsidRPr="00537A4C" w:rsidTr="004228FA">
        <w:trPr>
          <w:jc w:val="center"/>
        </w:trPr>
        <w:tc>
          <w:tcPr>
            <w:tcW w:w="1526" w:type="dxa"/>
            <w:shd w:val="clear" w:color="auto" w:fill="auto"/>
          </w:tcPr>
          <w:p w:rsidR="00E53DCE" w:rsidRPr="000C69AF" w:rsidRDefault="00254E9E" w:rsidP="00534176">
            <w:pPr>
              <w:tabs>
                <w:tab w:val="clear" w:pos="1588"/>
                <w:tab w:val="left" w:pos="1560"/>
              </w:tabs>
              <w:spacing w:before="0" w:line="240" w:lineRule="auto"/>
              <w:jc w:val="left"/>
              <w:rPr>
                <w:szCs w:val="24"/>
                <w:lang w:val="fr-CH"/>
              </w:rPr>
            </w:pPr>
            <w:r w:rsidRPr="000C69AF">
              <w:rPr>
                <w:lang w:val="fr-CH"/>
              </w:rPr>
              <w:t>Objet</w:t>
            </w:r>
            <w:r w:rsidRPr="000C69AF">
              <w:rPr>
                <w:szCs w:val="24"/>
                <w:lang w:val="fr-CH"/>
              </w:rPr>
              <w:t>:</w:t>
            </w:r>
          </w:p>
        </w:tc>
        <w:tc>
          <w:tcPr>
            <w:tcW w:w="8363" w:type="dxa"/>
            <w:gridSpan w:val="2"/>
            <w:vMerge w:val="restart"/>
            <w:shd w:val="clear" w:color="auto" w:fill="auto"/>
          </w:tcPr>
          <w:p w:rsidR="007E228D" w:rsidRPr="000C69AF" w:rsidRDefault="00254E9E" w:rsidP="00534176">
            <w:pPr>
              <w:tabs>
                <w:tab w:val="clear" w:pos="1588"/>
                <w:tab w:val="left" w:pos="1560"/>
              </w:tabs>
              <w:spacing w:before="0" w:line="240" w:lineRule="auto"/>
              <w:rPr>
                <w:b/>
                <w:bCs/>
                <w:lang w:val="fr-CH"/>
              </w:rPr>
            </w:pPr>
            <w:r w:rsidRPr="000C69AF">
              <w:rPr>
                <w:b/>
                <w:bCs/>
                <w:lang w:val="fr-CH"/>
              </w:rPr>
              <w:t>Commission d'études 5 des radiocommunications (services de Terre)</w:t>
            </w:r>
          </w:p>
          <w:p w:rsidR="00E53DCE" w:rsidRPr="000C69AF" w:rsidRDefault="00254E9E" w:rsidP="00534176">
            <w:pPr>
              <w:tabs>
                <w:tab w:val="clear" w:pos="1588"/>
                <w:tab w:val="left" w:pos="1560"/>
              </w:tabs>
              <w:spacing w:before="120" w:line="240" w:lineRule="auto"/>
              <w:ind w:left="794" w:hanging="794"/>
              <w:jc w:val="left"/>
              <w:rPr>
                <w:b/>
                <w:bCs/>
                <w:szCs w:val="24"/>
                <w:lang w:val="fr-CH"/>
              </w:rPr>
            </w:pPr>
            <w:r w:rsidRPr="000C69AF">
              <w:rPr>
                <w:b/>
                <w:bCs/>
                <w:lang w:val="fr-CH"/>
              </w:rPr>
              <w:t>–</w:t>
            </w:r>
            <w:r w:rsidRPr="000C69AF">
              <w:rPr>
                <w:b/>
                <w:bCs/>
                <w:lang w:val="fr-CH"/>
              </w:rPr>
              <w:tab/>
              <w:t>Proposition d'adoption de 3 projets de nouvelle</w:t>
            </w:r>
            <w:r w:rsidR="00EA40D3" w:rsidRPr="000C69AF">
              <w:rPr>
                <w:b/>
                <w:bCs/>
                <w:lang w:val="fr-CH"/>
              </w:rPr>
              <w:t>s</w:t>
            </w:r>
            <w:r w:rsidRPr="000C69AF">
              <w:rPr>
                <w:b/>
                <w:bCs/>
                <w:lang w:val="fr-CH"/>
              </w:rPr>
              <w:t xml:space="preserve"> Recommandation</w:t>
            </w:r>
            <w:r w:rsidR="00EA40D3" w:rsidRPr="000C69AF">
              <w:rPr>
                <w:b/>
                <w:bCs/>
                <w:lang w:val="fr-CH"/>
              </w:rPr>
              <w:t>s</w:t>
            </w:r>
            <w:r w:rsidR="006A567D">
              <w:rPr>
                <w:b/>
                <w:bCs/>
                <w:lang w:val="fr-CH"/>
              </w:rPr>
              <w:t xml:space="preserve"> UIT</w:t>
            </w:r>
            <w:r w:rsidR="006A567D">
              <w:rPr>
                <w:b/>
                <w:bCs/>
                <w:lang w:val="fr-CH"/>
              </w:rPr>
              <w:noBreakHyphen/>
            </w:r>
            <w:r w:rsidRPr="000C69AF">
              <w:rPr>
                <w:b/>
                <w:bCs/>
                <w:lang w:val="fr-CH"/>
              </w:rPr>
              <w:t>R et de 9 projets de Recommandation</w:t>
            </w:r>
            <w:r w:rsidR="00EA40D3" w:rsidRPr="000C69AF">
              <w:rPr>
                <w:b/>
                <w:bCs/>
                <w:lang w:val="fr-CH"/>
              </w:rPr>
              <w:t>s</w:t>
            </w:r>
            <w:r w:rsidRPr="000C69AF">
              <w:rPr>
                <w:b/>
                <w:bCs/>
                <w:lang w:val="fr-CH"/>
              </w:rPr>
              <w:t xml:space="preserve"> UIT-R révisée</w:t>
            </w:r>
            <w:r w:rsidR="00740340" w:rsidRPr="000C69AF">
              <w:rPr>
                <w:b/>
                <w:bCs/>
                <w:lang w:val="fr-CH"/>
              </w:rPr>
              <w:t>s</w:t>
            </w:r>
            <w:r w:rsidRPr="000C69AF">
              <w:rPr>
                <w:b/>
                <w:bCs/>
                <w:lang w:val="fr-CH"/>
              </w:rPr>
              <w:t xml:space="preserve"> et approbation simultanée par correspondance de</w:t>
            </w:r>
            <w:r w:rsidR="006A567D">
              <w:rPr>
                <w:b/>
                <w:bCs/>
                <w:lang w:val="fr-CH"/>
              </w:rPr>
              <w:t xml:space="preserve"> ces projets, conformément au § </w:t>
            </w:r>
            <w:r w:rsidRPr="000C69AF">
              <w:rPr>
                <w:b/>
                <w:bCs/>
                <w:lang w:val="fr-CH"/>
              </w:rPr>
              <w:t>A2.6.2.4 de la Résolution UIT-R 1-7 (Procédure d'adoption et d'approbation simultanées par correspondance)</w:t>
            </w:r>
          </w:p>
        </w:tc>
      </w:tr>
      <w:tr w:rsidR="00632DF5" w:rsidRPr="00537A4C" w:rsidTr="004228FA">
        <w:trPr>
          <w:jc w:val="center"/>
        </w:trPr>
        <w:tc>
          <w:tcPr>
            <w:tcW w:w="1526" w:type="dxa"/>
            <w:shd w:val="clear" w:color="auto" w:fill="auto"/>
          </w:tcPr>
          <w:p w:rsidR="00E53DCE" w:rsidRPr="000C69AF" w:rsidRDefault="00C44A49" w:rsidP="00534176">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0C69AF" w:rsidRDefault="00C44A49" w:rsidP="00534176">
            <w:pPr>
              <w:tabs>
                <w:tab w:val="clear" w:pos="1588"/>
                <w:tab w:val="left" w:pos="1560"/>
              </w:tabs>
              <w:spacing w:before="0" w:line="240" w:lineRule="auto"/>
              <w:rPr>
                <w:b/>
                <w:bCs/>
                <w:szCs w:val="24"/>
                <w:lang w:val="fr-CH"/>
              </w:rPr>
            </w:pPr>
          </w:p>
        </w:tc>
      </w:tr>
      <w:tr w:rsidR="00632DF5" w:rsidRPr="00537A4C" w:rsidTr="004228FA">
        <w:trPr>
          <w:jc w:val="center"/>
        </w:trPr>
        <w:tc>
          <w:tcPr>
            <w:tcW w:w="1526" w:type="dxa"/>
            <w:shd w:val="clear" w:color="auto" w:fill="auto"/>
          </w:tcPr>
          <w:p w:rsidR="00E53DCE" w:rsidRPr="000C69AF" w:rsidRDefault="00C44A49" w:rsidP="00534176">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0C69AF" w:rsidRDefault="00C44A49" w:rsidP="00534176">
            <w:pPr>
              <w:tabs>
                <w:tab w:val="clear" w:pos="1588"/>
                <w:tab w:val="left" w:pos="1560"/>
              </w:tabs>
              <w:spacing w:before="0" w:line="240" w:lineRule="auto"/>
              <w:rPr>
                <w:b/>
                <w:bCs/>
                <w:szCs w:val="24"/>
                <w:lang w:val="fr-CH"/>
              </w:rPr>
            </w:pPr>
          </w:p>
        </w:tc>
      </w:tr>
      <w:tr w:rsidR="00632DF5" w:rsidRPr="00537A4C" w:rsidTr="004228FA">
        <w:trPr>
          <w:jc w:val="center"/>
        </w:trPr>
        <w:tc>
          <w:tcPr>
            <w:tcW w:w="9889" w:type="dxa"/>
            <w:gridSpan w:val="3"/>
            <w:shd w:val="clear" w:color="auto" w:fill="auto"/>
          </w:tcPr>
          <w:p w:rsidR="00E53DCE" w:rsidRPr="000C69AF" w:rsidRDefault="00C44A49" w:rsidP="00534176">
            <w:pPr>
              <w:tabs>
                <w:tab w:val="clear" w:pos="1588"/>
                <w:tab w:val="left" w:pos="1560"/>
              </w:tabs>
              <w:spacing w:before="0" w:line="240" w:lineRule="auto"/>
              <w:jc w:val="left"/>
              <w:rPr>
                <w:szCs w:val="24"/>
                <w:lang w:val="fr-CH"/>
              </w:rPr>
            </w:pPr>
          </w:p>
        </w:tc>
      </w:tr>
      <w:tr w:rsidR="00632DF5" w:rsidRPr="00537A4C" w:rsidTr="004228FA">
        <w:trPr>
          <w:jc w:val="center"/>
        </w:trPr>
        <w:tc>
          <w:tcPr>
            <w:tcW w:w="9889" w:type="dxa"/>
            <w:gridSpan w:val="3"/>
            <w:shd w:val="clear" w:color="auto" w:fill="auto"/>
          </w:tcPr>
          <w:p w:rsidR="00E53DCE" w:rsidRPr="000C69AF" w:rsidRDefault="00C44A49" w:rsidP="00534176">
            <w:pPr>
              <w:spacing w:before="0" w:line="240" w:lineRule="auto"/>
              <w:jc w:val="left"/>
              <w:rPr>
                <w:b/>
                <w:bCs/>
                <w:szCs w:val="24"/>
                <w:lang w:val="fr-CH"/>
              </w:rPr>
            </w:pPr>
          </w:p>
        </w:tc>
      </w:tr>
    </w:tbl>
    <w:p w:rsidR="007E228D" w:rsidRPr="000C69AF" w:rsidRDefault="00254E9E" w:rsidP="00534176">
      <w:pPr>
        <w:spacing w:line="240" w:lineRule="auto"/>
        <w:rPr>
          <w:lang w:val="fr-CH"/>
        </w:rPr>
      </w:pPr>
      <w:r w:rsidRPr="000C69AF">
        <w:rPr>
          <w:lang w:val="fr-CH"/>
        </w:rPr>
        <w:t>A sa réunion tenue le 19 novembre 2018, la Commission d'études 5 des radiocommunications a décidé de demander l'adoption par correspondance de 3 projets de nouvelle</w:t>
      </w:r>
      <w:r w:rsidR="00EA40D3" w:rsidRPr="000C69AF">
        <w:rPr>
          <w:lang w:val="fr-CH"/>
        </w:rPr>
        <w:t>s</w:t>
      </w:r>
      <w:r w:rsidRPr="000C69AF">
        <w:rPr>
          <w:lang w:val="fr-CH"/>
        </w:rPr>
        <w:t xml:space="preserve"> Recommandation</w:t>
      </w:r>
      <w:r w:rsidR="00EA40D3" w:rsidRPr="000C69AF">
        <w:rPr>
          <w:lang w:val="fr-CH"/>
        </w:rPr>
        <w:t>s</w:t>
      </w:r>
      <w:r w:rsidRPr="000C69AF">
        <w:rPr>
          <w:lang w:val="fr-CH"/>
        </w:rPr>
        <w:t xml:space="preserve"> UIT</w:t>
      </w:r>
      <w:r w:rsidRPr="000C69AF">
        <w:rPr>
          <w:lang w:val="fr-CH"/>
        </w:rPr>
        <w:noBreakHyphen/>
        <w:t>R et de 9 projets de Recommandation</w:t>
      </w:r>
      <w:r w:rsidR="00EA40D3" w:rsidRPr="000C69AF">
        <w:rPr>
          <w:lang w:val="fr-CH"/>
        </w:rPr>
        <w:t>s</w:t>
      </w:r>
      <w:r w:rsidRPr="000C69AF">
        <w:rPr>
          <w:lang w:val="fr-CH"/>
        </w:rPr>
        <w:t xml:space="preserve"> UIT-R révisée</w:t>
      </w:r>
      <w:r w:rsidR="00EA40D3" w:rsidRPr="000C69AF">
        <w:rPr>
          <w:lang w:val="fr-CH"/>
        </w:rPr>
        <w:t>s</w:t>
      </w:r>
      <w:r w:rsidRPr="000C69AF">
        <w:rPr>
          <w:lang w:val="fr-CH"/>
        </w:rPr>
        <w:t xml:space="preserve"> (§ A2.6.2 de la Résolution UIT-R 1-7) et a décidé en outre d'appliquer la procédure d'adoption et d'approbation simultanées par correspondance (PAAS), conformément au § A2.6.2.4 de la Résolution UIT-R 1-7. Les titres et résumés des projets de Recommandation</w:t>
      </w:r>
      <w:r w:rsidR="00EA40D3" w:rsidRPr="000C69AF">
        <w:rPr>
          <w:lang w:val="fr-CH"/>
        </w:rPr>
        <w:t>s</w:t>
      </w:r>
      <w:r w:rsidRPr="000C69AF">
        <w:rPr>
          <w:lang w:val="fr-CH"/>
        </w:rPr>
        <w:t xml:space="preserve"> figurent dans l'Annexe </w:t>
      </w:r>
      <w:r w:rsidR="00EA40D3" w:rsidRPr="000C69AF">
        <w:rPr>
          <w:lang w:val="fr-CH"/>
        </w:rPr>
        <w:t>de la présente lettre</w:t>
      </w:r>
      <w:r w:rsidRPr="000C69AF">
        <w:rPr>
          <w:lang w:val="fr-CH"/>
        </w:rPr>
        <w:t xml:space="preserve">. Un Etat Membre qui soulève une objection au sujet de l'adoption d'un projet de Recommandation est prié d'informer le Directeur et le Président de la Commission d'études des raisons de cette objection. </w:t>
      </w:r>
    </w:p>
    <w:p w:rsidR="007E228D" w:rsidRPr="000C69AF" w:rsidRDefault="00254E9E" w:rsidP="00534176">
      <w:pPr>
        <w:spacing w:line="240" w:lineRule="auto"/>
        <w:rPr>
          <w:lang w:val="fr-CH"/>
        </w:rPr>
      </w:pPr>
      <w:r w:rsidRPr="000C69AF">
        <w:rPr>
          <w:lang w:val="fr-CH"/>
        </w:rPr>
        <w:t xml:space="preserve">La période d'examen durera deux mois, jusqu'au </w:t>
      </w:r>
      <w:r w:rsidRPr="000C69AF">
        <w:rPr>
          <w:u w:val="single"/>
          <w:lang w:val="fr-CH"/>
        </w:rPr>
        <w:t>30 janvier 2019</w:t>
      </w:r>
      <w:r w:rsidRPr="000C69AF">
        <w:rPr>
          <w:lang w:val="fr-CH"/>
        </w:rPr>
        <w:t>. Si, au cours de cette période, aucun Etat Membre ne soulève d'objection, les projets de Recommandation</w:t>
      </w:r>
      <w:r w:rsidR="00EA40D3" w:rsidRPr="000C69AF">
        <w:rPr>
          <w:lang w:val="fr-CH"/>
        </w:rPr>
        <w:t>s</w:t>
      </w:r>
      <w:r w:rsidRPr="000C69AF">
        <w:rPr>
          <w:lang w:val="fr-CH"/>
        </w:rPr>
        <w:t xml:space="preserve"> seront considérés comme adoptés par la Commission d'études 5. En outre, puisque la procédure PAAS est appliquée, l'adoption des projets de Recommandation</w:t>
      </w:r>
      <w:r w:rsidR="00EA40D3" w:rsidRPr="000C69AF">
        <w:rPr>
          <w:lang w:val="fr-CH"/>
        </w:rPr>
        <w:t>s</w:t>
      </w:r>
      <w:r w:rsidRPr="000C69AF">
        <w:rPr>
          <w:lang w:val="fr-CH"/>
        </w:rPr>
        <w:t xml:space="preserve"> est</w:t>
      </w:r>
      <w:r w:rsidRPr="000C69AF">
        <w:rPr>
          <w:color w:val="000000"/>
          <w:lang w:val="fr-CH"/>
        </w:rPr>
        <w:t xml:space="preserve"> considérée comme valant approbation.</w:t>
      </w:r>
    </w:p>
    <w:p w:rsidR="007E228D" w:rsidRPr="000C69AF" w:rsidRDefault="00254E9E" w:rsidP="00534176">
      <w:pPr>
        <w:spacing w:line="240" w:lineRule="auto"/>
        <w:rPr>
          <w:lang w:val="fr-CH"/>
        </w:rPr>
      </w:pPr>
      <w:r w:rsidRPr="000C69AF">
        <w:rPr>
          <w:lang w:val="fr-CH"/>
        </w:rPr>
        <w:t xml:space="preserve">Après la date limite mentionnée ci-dessus, les résultats des procédures susmentionnées seront communiqués dans une Circulaire administrative et les Recommandations approuvées seront publiées dans les meilleurs délais (voir </w:t>
      </w:r>
      <w:hyperlink r:id="rId8" w:history="1">
        <w:r w:rsidRPr="000C69AF">
          <w:rPr>
            <w:rStyle w:val="Hyperlink"/>
            <w:lang w:val="fr-CH"/>
          </w:rPr>
          <w:t>http://www.itu.int/pub/R-REC</w:t>
        </w:r>
      </w:hyperlink>
      <w:r w:rsidRPr="000C69AF">
        <w:rPr>
          <w:lang w:val="fr-CH"/>
        </w:rPr>
        <w:t>).</w:t>
      </w:r>
    </w:p>
    <w:p w:rsidR="007E228D" w:rsidRPr="000C69AF" w:rsidRDefault="00254E9E" w:rsidP="00534176">
      <w:pPr>
        <w:keepNext/>
        <w:keepLines/>
        <w:spacing w:line="240" w:lineRule="auto"/>
        <w:rPr>
          <w:lang w:val="fr-CH"/>
        </w:rPr>
      </w:pPr>
      <w:r w:rsidRPr="000C69AF">
        <w:rPr>
          <w:lang w:val="fr-CH"/>
        </w:rPr>
        <w:lastRenderedPageBreak/>
        <w:t>Toute organisation membre de l'UIT ayant connaissance d'un brevet détenu en son sein ou par d'autres organismes, et susceptible de se rapporter complètement ou en partie à des éléments d'un ou des projets de Recommandation</w:t>
      </w:r>
      <w:r w:rsidR="00EA40D3" w:rsidRPr="000C69AF">
        <w:rPr>
          <w:lang w:val="fr-CH"/>
        </w:rPr>
        <w:t>s</w:t>
      </w:r>
      <w:r w:rsidRPr="000C69AF">
        <w:rPr>
          <w:lang w:val="fr-CH"/>
        </w:rPr>
        <w:t xml:space="preserve"> mentionnés dans la présente lettre, est priée de transmettre lesdites informations au Secrétariat dans les meilleurs délais. La politique commune en matière de brevets de l'UIT</w:t>
      </w:r>
      <w:r w:rsidRPr="000C69AF">
        <w:rPr>
          <w:lang w:val="fr-CH"/>
        </w:rPr>
        <w:noBreakHyphen/>
        <w:t>T/UIT</w:t>
      </w:r>
      <w:r w:rsidRPr="000C69AF">
        <w:rPr>
          <w:lang w:val="fr-CH"/>
        </w:rPr>
        <w:noBreakHyphen/>
        <w:t xml:space="preserve">R/ISO/CEI est disponible à l'adresse: </w:t>
      </w:r>
      <w:hyperlink r:id="rId9" w:history="1"/>
      <w:hyperlink r:id="rId10" w:history="1">
        <w:r w:rsidRPr="000C69AF">
          <w:rPr>
            <w:rStyle w:val="Hyperlink"/>
            <w:szCs w:val="24"/>
            <w:lang w:val="fr-CH"/>
          </w:rPr>
          <w:t>http://www.itu.int/en/ITU-T/ipr/Pages/policy.aspx</w:t>
        </w:r>
      </w:hyperlink>
      <w:r w:rsidRPr="000C69AF">
        <w:rPr>
          <w:szCs w:val="24"/>
          <w:lang w:val="fr-CH"/>
        </w:rPr>
        <w:t>.</w:t>
      </w:r>
    </w:p>
    <w:p w:rsidR="007E228D" w:rsidRPr="000C69AF" w:rsidRDefault="00537A4C" w:rsidP="003A7CD5">
      <w:pPr>
        <w:keepNext/>
        <w:keepLines/>
        <w:spacing w:before="2040" w:line="240" w:lineRule="auto"/>
        <w:jc w:val="left"/>
        <w:rPr>
          <w:szCs w:val="24"/>
          <w:lang w:val="fr-CH"/>
        </w:rPr>
      </w:pPr>
      <w:r>
        <w:rPr>
          <w:szCs w:val="24"/>
          <w:lang w:val="fr-CH"/>
        </w:rPr>
        <w:t xml:space="preserve">François </w:t>
      </w:r>
      <w:proofErr w:type="spellStart"/>
      <w:r>
        <w:rPr>
          <w:szCs w:val="24"/>
          <w:lang w:val="fr-CH"/>
        </w:rPr>
        <w:t>Rancy</w:t>
      </w:r>
      <w:proofErr w:type="spellEnd"/>
      <w:r>
        <w:rPr>
          <w:szCs w:val="24"/>
          <w:lang w:val="fr-CH"/>
        </w:rPr>
        <w:br/>
        <w:t>Directeur</w:t>
      </w:r>
    </w:p>
    <w:p w:rsidR="007E228D" w:rsidRPr="000C69AF" w:rsidRDefault="00254E9E" w:rsidP="00622E5E">
      <w:pPr>
        <w:spacing w:before="1080" w:line="240" w:lineRule="auto"/>
        <w:rPr>
          <w:bCs/>
          <w:lang w:val="fr-CH"/>
        </w:rPr>
      </w:pPr>
      <w:r w:rsidRPr="000C69AF">
        <w:rPr>
          <w:b/>
          <w:bCs/>
          <w:lang w:val="fr-CH"/>
        </w:rPr>
        <w:t>Annexe:</w:t>
      </w:r>
      <w:r w:rsidRPr="000C69AF">
        <w:rPr>
          <w:b/>
          <w:bCs/>
          <w:lang w:val="fr-CH"/>
        </w:rPr>
        <w:tab/>
      </w:r>
      <w:r w:rsidR="00534176">
        <w:rPr>
          <w:b/>
          <w:bCs/>
          <w:lang w:val="fr-CH"/>
        </w:rPr>
        <w:tab/>
      </w:r>
      <w:r w:rsidRPr="000C69AF">
        <w:rPr>
          <w:bCs/>
          <w:lang w:val="fr-CH"/>
        </w:rPr>
        <w:t>Titres et résumés des projets de Recommandation</w:t>
      </w:r>
      <w:r w:rsidR="00EA40D3" w:rsidRPr="000C69AF">
        <w:rPr>
          <w:bCs/>
          <w:lang w:val="fr-CH"/>
        </w:rPr>
        <w:t>s</w:t>
      </w:r>
    </w:p>
    <w:p w:rsidR="007E228D" w:rsidRPr="000C69AF" w:rsidRDefault="00254E9E" w:rsidP="00534176">
      <w:pPr>
        <w:spacing w:before="600" w:line="240" w:lineRule="auto"/>
        <w:ind w:left="1588" w:hanging="1588"/>
        <w:rPr>
          <w:lang w:val="fr-CH"/>
        </w:rPr>
      </w:pPr>
      <w:r w:rsidRPr="000C69AF">
        <w:rPr>
          <w:b/>
          <w:bCs/>
          <w:lang w:val="fr-CH"/>
        </w:rPr>
        <w:t>Documents:</w:t>
      </w:r>
      <w:r w:rsidRPr="000C69AF">
        <w:rPr>
          <w:b/>
          <w:bCs/>
          <w:lang w:val="fr-CH"/>
        </w:rPr>
        <w:tab/>
      </w:r>
      <w:r w:rsidRPr="000C69AF">
        <w:rPr>
          <w:lang w:val="fr-CH"/>
        </w:rPr>
        <w:t xml:space="preserve">Documents </w:t>
      </w:r>
      <w:r w:rsidRPr="000C69AF">
        <w:rPr>
          <w:szCs w:val="24"/>
          <w:lang w:val="fr-CH"/>
        </w:rPr>
        <w:t>5/104, 5/105, 5/106, 5/107, 5/108, 5/109, 5/110, 5/112, 5/113, 5/120, 5/122, 5/126</w:t>
      </w:r>
    </w:p>
    <w:p w:rsidR="007E228D" w:rsidRPr="000C69AF" w:rsidRDefault="00254E9E" w:rsidP="00534176">
      <w:pPr>
        <w:spacing w:line="240" w:lineRule="auto"/>
        <w:jc w:val="left"/>
        <w:rPr>
          <w:lang w:val="fr-CH"/>
        </w:rPr>
      </w:pPr>
      <w:r w:rsidRPr="000C69AF">
        <w:rPr>
          <w:lang w:val="fr-CH"/>
        </w:rPr>
        <w:t xml:space="preserve">Ces documents sont disponibles en format électronique à l'adresse: </w:t>
      </w:r>
      <w:hyperlink r:id="rId11" w:history="1">
        <w:r w:rsidR="00534176" w:rsidRPr="00831B92">
          <w:rPr>
            <w:rStyle w:val="Hyperlink"/>
            <w:szCs w:val="24"/>
            <w:lang w:val="fr-CH"/>
          </w:rPr>
          <w:t>https://www.itu.int/md/R15</w:t>
        </w:r>
        <w:r w:rsidR="00534176" w:rsidRPr="00831B92">
          <w:rPr>
            <w:rStyle w:val="Hyperlink"/>
            <w:szCs w:val="24"/>
            <w:lang w:val="fr-CH"/>
          </w:rPr>
          <w:noBreakHyphen/>
          <w:t>sg05-C/</w:t>
        </w:r>
      </w:hyperlink>
      <w:r w:rsidR="006A567D" w:rsidRPr="006A567D">
        <w:rPr>
          <w:rStyle w:val="Hyperlink"/>
          <w:color w:val="auto"/>
          <w:szCs w:val="24"/>
          <w:u w:val="none"/>
          <w:lang w:val="fr-CH"/>
        </w:rPr>
        <w:t>.</w:t>
      </w:r>
    </w:p>
    <w:p w:rsidR="007E228D" w:rsidRPr="000C69AF" w:rsidRDefault="00254E9E" w:rsidP="003A7CD5">
      <w:pPr>
        <w:tabs>
          <w:tab w:val="left" w:pos="284"/>
          <w:tab w:val="left" w:pos="568"/>
        </w:tabs>
        <w:spacing w:before="3240" w:after="80" w:line="240" w:lineRule="auto"/>
        <w:rPr>
          <w:b/>
          <w:bCs/>
          <w:sz w:val="18"/>
          <w:szCs w:val="18"/>
          <w:lang w:val="fr-CH"/>
        </w:rPr>
      </w:pPr>
      <w:r w:rsidRPr="000C69AF">
        <w:rPr>
          <w:b/>
          <w:bCs/>
          <w:sz w:val="18"/>
          <w:szCs w:val="18"/>
          <w:lang w:val="fr-CH"/>
        </w:rPr>
        <w:t>Distribution:</w:t>
      </w:r>
    </w:p>
    <w:p w:rsidR="007E228D" w:rsidRPr="000C69AF" w:rsidRDefault="00254E9E" w:rsidP="00534176">
      <w:pPr>
        <w:tabs>
          <w:tab w:val="left" w:pos="284"/>
        </w:tabs>
        <w:spacing w:before="0" w:line="240" w:lineRule="auto"/>
        <w:ind w:left="284" w:hanging="284"/>
        <w:rPr>
          <w:bCs/>
          <w:sz w:val="18"/>
          <w:szCs w:val="18"/>
          <w:lang w:val="fr-CH"/>
        </w:rPr>
      </w:pPr>
      <w:r w:rsidRPr="000C69AF">
        <w:rPr>
          <w:bCs/>
          <w:sz w:val="18"/>
          <w:szCs w:val="18"/>
          <w:lang w:val="fr-CH"/>
        </w:rPr>
        <w:t>–</w:t>
      </w:r>
      <w:r w:rsidRPr="000C69AF">
        <w:rPr>
          <w:bCs/>
          <w:sz w:val="18"/>
          <w:szCs w:val="18"/>
          <w:lang w:val="fr-CH"/>
        </w:rPr>
        <w:tab/>
        <w:t>Administrations des Etats Membres de l'UIT et Membres du Secteur des radiocommunications participant aux travaux de la Commission d'études 5 des radiocommunications</w:t>
      </w:r>
    </w:p>
    <w:p w:rsidR="007E228D" w:rsidRPr="000C69AF" w:rsidRDefault="00254E9E" w:rsidP="00534176">
      <w:pPr>
        <w:tabs>
          <w:tab w:val="left" w:pos="284"/>
        </w:tabs>
        <w:spacing w:before="0" w:line="240" w:lineRule="auto"/>
        <w:ind w:left="284" w:hanging="284"/>
        <w:rPr>
          <w:sz w:val="18"/>
          <w:szCs w:val="18"/>
          <w:lang w:val="fr-CH"/>
        </w:rPr>
      </w:pPr>
      <w:r w:rsidRPr="000C69AF">
        <w:rPr>
          <w:sz w:val="18"/>
          <w:szCs w:val="18"/>
          <w:lang w:val="fr-CH"/>
        </w:rPr>
        <w:t>–</w:t>
      </w:r>
      <w:r w:rsidRPr="000C69AF">
        <w:rPr>
          <w:sz w:val="18"/>
          <w:szCs w:val="18"/>
          <w:lang w:val="fr-CH"/>
        </w:rPr>
        <w:tab/>
        <w:t xml:space="preserve">Associés de l'UIT-R participant aux travaux de la Commission d'études 5 des radiocommunications </w:t>
      </w:r>
    </w:p>
    <w:p w:rsidR="007E228D" w:rsidRPr="000C69AF" w:rsidRDefault="00254E9E" w:rsidP="00534176">
      <w:pPr>
        <w:tabs>
          <w:tab w:val="left" w:pos="284"/>
        </w:tabs>
        <w:spacing w:before="0" w:line="240" w:lineRule="auto"/>
        <w:ind w:left="284" w:hanging="284"/>
        <w:rPr>
          <w:sz w:val="18"/>
          <w:szCs w:val="18"/>
          <w:lang w:val="fr-CH"/>
        </w:rPr>
      </w:pPr>
      <w:r w:rsidRPr="000C69AF">
        <w:rPr>
          <w:sz w:val="18"/>
          <w:szCs w:val="18"/>
          <w:lang w:val="fr-CH"/>
        </w:rPr>
        <w:t>–</w:t>
      </w:r>
      <w:r w:rsidRPr="000C69AF">
        <w:rPr>
          <w:sz w:val="18"/>
          <w:szCs w:val="18"/>
          <w:lang w:val="fr-CH"/>
        </w:rPr>
        <w:tab/>
        <w:t xml:space="preserve">Etablissements universitaires participant aux travaux de l'UIT </w:t>
      </w:r>
    </w:p>
    <w:p w:rsidR="007E228D" w:rsidRPr="000C69AF" w:rsidRDefault="00254E9E" w:rsidP="00534176">
      <w:pPr>
        <w:tabs>
          <w:tab w:val="left" w:pos="284"/>
        </w:tabs>
        <w:spacing w:before="0" w:line="240" w:lineRule="auto"/>
        <w:ind w:left="284" w:hanging="284"/>
        <w:rPr>
          <w:sz w:val="18"/>
          <w:szCs w:val="18"/>
          <w:lang w:val="fr-CH"/>
        </w:rPr>
      </w:pPr>
      <w:r w:rsidRPr="000C69AF">
        <w:rPr>
          <w:sz w:val="18"/>
          <w:szCs w:val="18"/>
          <w:lang w:val="fr-CH"/>
        </w:rPr>
        <w:t>–</w:t>
      </w:r>
      <w:r w:rsidRPr="000C69AF">
        <w:rPr>
          <w:sz w:val="18"/>
          <w:szCs w:val="18"/>
          <w:lang w:val="fr-CH"/>
        </w:rPr>
        <w:tab/>
        <w:t>Présidents et Vice-Présidents des Commissions d'études des radiocommunications</w:t>
      </w:r>
    </w:p>
    <w:p w:rsidR="007E228D" w:rsidRPr="000C69AF" w:rsidRDefault="00254E9E" w:rsidP="00534176">
      <w:pPr>
        <w:tabs>
          <w:tab w:val="left" w:pos="284"/>
        </w:tabs>
        <w:spacing w:before="0" w:line="240" w:lineRule="auto"/>
        <w:ind w:left="284" w:hanging="284"/>
        <w:rPr>
          <w:sz w:val="18"/>
          <w:szCs w:val="18"/>
          <w:lang w:val="fr-CH"/>
        </w:rPr>
      </w:pPr>
      <w:r w:rsidRPr="000C69AF">
        <w:rPr>
          <w:sz w:val="18"/>
          <w:szCs w:val="18"/>
          <w:lang w:val="fr-CH"/>
        </w:rPr>
        <w:t>–</w:t>
      </w:r>
      <w:r w:rsidRPr="000C69AF">
        <w:rPr>
          <w:sz w:val="18"/>
          <w:szCs w:val="18"/>
          <w:lang w:val="fr-CH"/>
        </w:rPr>
        <w:tab/>
        <w:t>Président et Vice-Présidents de la Réunion de préparation à la Conférence</w:t>
      </w:r>
    </w:p>
    <w:p w:rsidR="007E228D" w:rsidRPr="000C69AF" w:rsidRDefault="00254E9E" w:rsidP="00534176">
      <w:pPr>
        <w:tabs>
          <w:tab w:val="left" w:pos="284"/>
        </w:tabs>
        <w:spacing w:before="0" w:line="240" w:lineRule="auto"/>
        <w:ind w:left="284" w:hanging="284"/>
        <w:rPr>
          <w:sz w:val="18"/>
          <w:szCs w:val="18"/>
          <w:lang w:val="fr-CH"/>
        </w:rPr>
      </w:pPr>
      <w:r w:rsidRPr="000C69AF">
        <w:rPr>
          <w:sz w:val="18"/>
          <w:szCs w:val="18"/>
          <w:lang w:val="fr-CH"/>
        </w:rPr>
        <w:t>–</w:t>
      </w:r>
      <w:r w:rsidRPr="000C69AF">
        <w:rPr>
          <w:sz w:val="18"/>
          <w:szCs w:val="18"/>
          <w:lang w:val="fr-CH"/>
        </w:rPr>
        <w:tab/>
        <w:t>Membres du Comité du Règlement des radiocommunications</w:t>
      </w:r>
    </w:p>
    <w:p w:rsidR="007E228D" w:rsidRPr="000C69AF" w:rsidRDefault="00254E9E" w:rsidP="00534176">
      <w:pPr>
        <w:tabs>
          <w:tab w:val="left" w:pos="284"/>
        </w:tabs>
        <w:spacing w:before="0" w:line="240" w:lineRule="auto"/>
        <w:ind w:left="284" w:hanging="284"/>
        <w:jc w:val="left"/>
        <w:rPr>
          <w:sz w:val="18"/>
          <w:szCs w:val="18"/>
          <w:lang w:val="fr-CH"/>
        </w:rPr>
      </w:pPr>
      <w:r w:rsidRPr="000C69AF">
        <w:rPr>
          <w:sz w:val="18"/>
          <w:szCs w:val="18"/>
          <w:lang w:val="fr-CH"/>
        </w:rPr>
        <w:t>–</w:t>
      </w:r>
      <w:r w:rsidRPr="000C69AF">
        <w:rPr>
          <w:sz w:val="18"/>
          <w:szCs w:val="18"/>
          <w:lang w:val="fr-CH"/>
        </w:rPr>
        <w:tab/>
        <w:t>Secrétaire général de l'UIT, Directeur du Bureau de la normalisation des télécommunications, Directeur du Bureau de développement des télécommunications</w:t>
      </w:r>
    </w:p>
    <w:p w:rsidR="007E228D" w:rsidRPr="000C69AF" w:rsidRDefault="00254E9E" w:rsidP="00534176">
      <w:pPr>
        <w:spacing w:before="0" w:line="240" w:lineRule="auto"/>
        <w:jc w:val="left"/>
        <w:rPr>
          <w:szCs w:val="24"/>
          <w:lang w:val="fr-CH"/>
        </w:rPr>
      </w:pPr>
      <w:r w:rsidRPr="000C69AF">
        <w:rPr>
          <w:szCs w:val="24"/>
          <w:lang w:val="fr-CH"/>
        </w:rPr>
        <w:br w:type="page"/>
      </w:r>
    </w:p>
    <w:p w:rsidR="00641596" w:rsidRPr="000C69AF" w:rsidRDefault="00254E9E" w:rsidP="00534176">
      <w:pPr>
        <w:pStyle w:val="AnnexNotitle0"/>
        <w:rPr>
          <w:rFonts w:asciiTheme="minorHAnsi" w:hAnsiTheme="minorHAnsi"/>
          <w:lang w:val="fr-CH"/>
        </w:rPr>
      </w:pPr>
      <w:r w:rsidRPr="000C69AF">
        <w:rPr>
          <w:rFonts w:asciiTheme="minorHAnsi" w:hAnsiTheme="minorHAnsi"/>
          <w:lang w:val="fr-CH"/>
        </w:rPr>
        <w:lastRenderedPageBreak/>
        <w:t>Annexe</w:t>
      </w:r>
      <w:r w:rsidRPr="000C69AF">
        <w:rPr>
          <w:rFonts w:asciiTheme="minorHAnsi" w:hAnsiTheme="minorHAnsi"/>
          <w:lang w:val="fr-CH"/>
        </w:rPr>
        <w:br/>
      </w:r>
      <w:r w:rsidRPr="000C69AF">
        <w:rPr>
          <w:rFonts w:asciiTheme="minorHAnsi" w:hAnsiTheme="minorHAnsi"/>
          <w:lang w:val="fr-CH"/>
        </w:rPr>
        <w:br/>
        <w:t>Titres et résumés des projets de Recommandation</w:t>
      </w:r>
      <w:r w:rsidR="00EA40D3" w:rsidRPr="000C69AF">
        <w:rPr>
          <w:rFonts w:asciiTheme="minorHAnsi" w:hAnsiTheme="minorHAnsi"/>
          <w:lang w:val="fr-CH"/>
        </w:rPr>
        <w:t>s</w:t>
      </w:r>
    </w:p>
    <w:p w:rsidR="00641596" w:rsidRPr="000C69AF" w:rsidRDefault="00254E9E" w:rsidP="00C44A49">
      <w:pPr>
        <w:pStyle w:val="Normalaftertitle0"/>
        <w:tabs>
          <w:tab w:val="left" w:pos="8505"/>
        </w:tabs>
        <w:spacing w:before="360"/>
        <w:rPr>
          <w:rFonts w:asciiTheme="minorHAnsi" w:hAnsiTheme="minorHAnsi" w:cstheme="minorHAnsi"/>
          <w:szCs w:val="24"/>
          <w:lang w:val="fr-CH"/>
        </w:rPr>
      </w:pPr>
      <w:r w:rsidRPr="000C69AF">
        <w:rPr>
          <w:rFonts w:asciiTheme="minorHAnsi" w:hAnsiTheme="minorHAnsi"/>
          <w:u w:val="single"/>
          <w:lang w:val="fr-CH"/>
        </w:rPr>
        <w:t xml:space="preserve">Projet de nouvelle Recommandation </w:t>
      </w:r>
      <w:r w:rsidR="00482080" w:rsidRPr="000C69AF">
        <w:rPr>
          <w:rFonts w:asciiTheme="minorHAnsi" w:hAnsiTheme="minorHAnsi"/>
          <w:u w:val="single"/>
          <w:lang w:val="fr-CH"/>
        </w:rPr>
        <w:t xml:space="preserve">UIT-R </w:t>
      </w:r>
      <w:r w:rsidRPr="000C69AF">
        <w:rPr>
          <w:rFonts w:asciiTheme="minorHAnsi" w:hAnsiTheme="minorHAnsi"/>
          <w:u w:val="single"/>
          <w:lang w:val="fr-CH"/>
        </w:rPr>
        <w:t>M.[</w:t>
      </w:r>
      <w:bookmarkStart w:id="0" w:name="_GoBack"/>
      <w:bookmarkEnd w:id="0"/>
      <w:r w:rsidRPr="000C69AF">
        <w:rPr>
          <w:rFonts w:asciiTheme="minorHAnsi" w:hAnsiTheme="minorHAnsi"/>
          <w:u w:val="single"/>
          <w:lang w:val="fr-CH"/>
        </w:rPr>
        <w:t>AMS_21</w:t>
      </w:r>
      <w:r w:rsidR="00EA40D3" w:rsidRPr="000C69AF">
        <w:rPr>
          <w:rFonts w:asciiTheme="minorHAnsi" w:hAnsiTheme="minorHAnsi"/>
          <w:u w:val="single"/>
          <w:lang w:val="fr-CH"/>
        </w:rPr>
        <w:t>,</w:t>
      </w:r>
      <w:r w:rsidRPr="000C69AF">
        <w:rPr>
          <w:rFonts w:asciiTheme="minorHAnsi" w:hAnsiTheme="minorHAnsi"/>
          <w:u w:val="single"/>
          <w:lang w:val="fr-CH"/>
        </w:rPr>
        <w:t>2-22 GHz]</w:t>
      </w:r>
      <w:r w:rsidRPr="000C69AF">
        <w:rPr>
          <w:rFonts w:asciiTheme="minorHAnsi" w:hAnsiTheme="minorHAnsi" w:cstheme="minorHAnsi"/>
          <w:szCs w:val="24"/>
          <w:lang w:val="fr-CH"/>
        </w:rPr>
        <w:tab/>
        <w:t>Doc. 5/110</w:t>
      </w:r>
    </w:p>
    <w:p w:rsidR="00641596" w:rsidRPr="000C69AF" w:rsidRDefault="00254E9E" w:rsidP="00BF6D74">
      <w:pPr>
        <w:pStyle w:val="Rectitle"/>
        <w:spacing w:before="160"/>
        <w:rPr>
          <w:lang w:val="fr-CH"/>
        </w:rPr>
      </w:pPr>
      <w:r w:rsidRPr="000C69AF">
        <w:rPr>
          <w:lang w:val="fr-CH"/>
        </w:rPr>
        <w:t xml:space="preserve">Caractéristiques techniques et critères de protection applicables aux systèmes </w:t>
      </w:r>
      <w:r w:rsidR="00482080" w:rsidRPr="000C69AF">
        <w:rPr>
          <w:lang w:val="fr-CH"/>
        </w:rPr>
        <w:t xml:space="preserve">mobiles aéronautiques </w:t>
      </w:r>
      <w:r w:rsidRPr="000C69AF">
        <w:rPr>
          <w:lang w:val="fr-CH"/>
        </w:rPr>
        <w:t xml:space="preserve">du service mobile </w:t>
      </w:r>
      <w:r w:rsidR="00482080" w:rsidRPr="000C69AF">
        <w:rPr>
          <w:lang w:val="fr-CH"/>
        </w:rPr>
        <w:t>fonctionnant</w:t>
      </w:r>
      <w:r w:rsidRPr="000C69AF">
        <w:rPr>
          <w:lang w:val="fr-CH"/>
        </w:rPr>
        <w:t xml:space="preserve"> dans la gamme </w:t>
      </w:r>
      <w:r w:rsidR="00482080" w:rsidRPr="000C69AF">
        <w:rPr>
          <w:lang w:val="fr-CH"/>
        </w:rPr>
        <w:br/>
      </w:r>
      <w:r w:rsidRPr="000C69AF">
        <w:rPr>
          <w:lang w:val="fr-CH"/>
        </w:rPr>
        <w:t>de fréquences 21,2-22 GHz</w:t>
      </w:r>
    </w:p>
    <w:p w:rsidR="00641596" w:rsidRPr="000C69AF" w:rsidRDefault="00740340" w:rsidP="00537A4C">
      <w:pPr>
        <w:pStyle w:val="Normalaftertitle0"/>
        <w:spacing w:before="120"/>
        <w:jc w:val="both"/>
        <w:rPr>
          <w:rFonts w:asciiTheme="minorHAnsi" w:hAnsiTheme="minorHAnsi"/>
          <w:lang w:val="fr-CH"/>
        </w:rPr>
      </w:pPr>
      <w:r w:rsidRPr="000C69AF">
        <w:rPr>
          <w:rFonts w:asciiTheme="minorHAnsi" w:hAnsiTheme="minorHAnsi"/>
          <w:lang w:val="fr-CH"/>
        </w:rPr>
        <w:t>Cette</w:t>
      </w:r>
      <w:r w:rsidR="00254E9E" w:rsidRPr="000C69AF">
        <w:rPr>
          <w:rFonts w:asciiTheme="minorHAnsi" w:hAnsiTheme="minorHAnsi"/>
          <w:lang w:val="fr-CH"/>
        </w:rPr>
        <w:t xml:space="preserve"> Recommandation fournit des informations sur les caractéristiques techniques et les critères de protection applicables aux systèmes du service mobile aéronautique (SMA) qui sont exploités ou qu'il est prévu d'exploiter dans la gamme de fréquences 21,2-22 GHz, à utiliser dans les études de partage et de compatibilité nécessaires.</w:t>
      </w:r>
    </w:p>
    <w:p w:rsidR="00641596" w:rsidRPr="000C69AF" w:rsidRDefault="00254E9E" w:rsidP="00BF6D74">
      <w:pPr>
        <w:pStyle w:val="Normalaftertitle0"/>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t>Projet de nouvelle Recommandation UIT</w:t>
      </w:r>
      <w:r w:rsidRPr="000C69AF">
        <w:rPr>
          <w:rFonts w:asciiTheme="minorHAnsi" w:hAnsiTheme="minorHAnsi"/>
          <w:u w:val="single"/>
          <w:lang w:val="fr-CH"/>
        </w:rPr>
        <w:noBreakHyphen/>
        <w:t>R M.[ITS_FRQ]</w:t>
      </w:r>
      <w:r w:rsidRPr="000C69AF">
        <w:rPr>
          <w:rFonts w:asciiTheme="minorHAnsi" w:hAnsiTheme="minorHAnsi" w:cstheme="minorHAnsi"/>
          <w:szCs w:val="24"/>
          <w:lang w:val="fr-CH"/>
        </w:rPr>
        <w:tab/>
        <w:t>Doc. 5/120</w:t>
      </w:r>
    </w:p>
    <w:p w:rsidR="00641596" w:rsidRPr="000C69AF" w:rsidRDefault="00254E9E" w:rsidP="00BF6D74">
      <w:pPr>
        <w:pStyle w:val="Rectitle"/>
        <w:spacing w:before="160"/>
        <w:rPr>
          <w:lang w:val="fr-CH"/>
        </w:rPr>
      </w:pPr>
      <w:r w:rsidRPr="000C69AF">
        <w:rPr>
          <w:lang w:val="fr-CH"/>
        </w:rPr>
        <w:t xml:space="preserve">Harmonisation des bandes de fréquences pour les systèmes </w:t>
      </w:r>
      <w:r w:rsidRPr="000C69AF">
        <w:rPr>
          <w:lang w:val="fr-CH"/>
        </w:rPr>
        <w:br/>
        <w:t>de transport intelligents dans le service mobile</w:t>
      </w:r>
    </w:p>
    <w:p w:rsidR="00641596" w:rsidRPr="000C69AF" w:rsidRDefault="00EA40D3" w:rsidP="00537A4C">
      <w:pPr>
        <w:pStyle w:val="Normalaftertitle0"/>
        <w:spacing w:before="120"/>
        <w:jc w:val="both"/>
        <w:rPr>
          <w:rFonts w:asciiTheme="minorHAnsi" w:hAnsiTheme="minorHAnsi"/>
          <w:lang w:val="fr-CH"/>
        </w:rPr>
      </w:pPr>
      <w:r w:rsidRPr="000C69AF">
        <w:rPr>
          <w:rFonts w:asciiTheme="minorHAnsi" w:hAnsiTheme="minorHAnsi"/>
          <w:lang w:val="fr-CH"/>
        </w:rPr>
        <w:t>Cette Recommandation fournit des directives concernant les bandes de fréquences harmonisées qui doivent être utilisées par les systèmes de transport intelligents (ITS) et encourage les administrations à utiliser des bandes de fréquences harmonisées pour les applications ITS.</w:t>
      </w:r>
    </w:p>
    <w:p w:rsidR="00641596" w:rsidRPr="000C69AF" w:rsidRDefault="00254E9E" w:rsidP="00BF6D74">
      <w:pPr>
        <w:pStyle w:val="Normalaftertitle0"/>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t>Projet de nouvelle Recommandation UIT</w:t>
      </w:r>
      <w:r w:rsidRPr="000C69AF">
        <w:rPr>
          <w:rFonts w:asciiTheme="minorHAnsi" w:hAnsiTheme="minorHAnsi"/>
          <w:u w:val="single"/>
          <w:lang w:val="fr-CH"/>
        </w:rPr>
        <w:noBreakHyphen/>
        <w:t>R M.[AMT-CHAR-5GHz]</w:t>
      </w:r>
      <w:r w:rsidRPr="000C69AF">
        <w:rPr>
          <w:rFonts w:asciiTheme="minorHAnsi" w:hAnsiTheme="minorHAnsi" w:cstheme="minorHAnsi"/>
          <w:szCs w:val="24"/>
          <w:lang w:val="fr-CH"/>
        </w:rPr>
        <w:tab/>
        <w:t>Doc. 5/126</w:t>
      </w:r>
    </w:p>
    <w:p w:rsidR="00641596" w:rsidRPr="000C69AF" w:rsidRDefault="00254E9E" w:rsidP="00BF6D74">
      <w:pPr>
        <w:pStyle w:val="Rectitle"/>
        <w:spacing w:before="160"/>
        <w:rPr>
          <w:lang w:val="fr-CH"/>
        </w:rPr>
      </w:pPr>
      <w:r w:rsidRPr="000C69AF">
        <w:rPr>
          <w:lang w:val="fr-CH"/>
        </w:rPr>
        <w:t xml:space="preserve">Caractéristiques techniques et opérationnelles des systèmes du service mobile aéronautique limités aux transmissions de télémesure mobile aéronautique </w:t>
      </w:r>
      <w:r w:rsidR="00482080" w:rsidRPr="000C69AF">
        <w:rPr>
          <w:lang w:val="fr-CH"/>
        </w:rPr>
        <w:br/>
      </w:r>
      <w:r w:rsidRPr="000C69AF">
        <w:rPr>
          <w:lang w:val="fr-CH"/>
        </w:rPr>
        <w:t>des aéronefs</w:t>
      </w:r>
      <w:r w:rsidR="0090136B" w:rsidRPr="000C69AF">
        <w:rPr>
          <w:lang w:val="fr-CH"/>
        </w:rPr>
        <w:t xml:space="preserve"> </w:t>
      </w:r>
      <w:r w:rsidRPr="000C69AF">
        <w:rPr>
          <w:lang w:val="fr-CH"/>
        </w:rPr>
        <w:t>pour les essais en vol dans la bande 5 150-5 250 MHz</w:t>
      </w:r>
      <w:r w:rsidR="0090136B" w:rsidRPr="000C69AF">
        <w:rPr>
          <w:lang w:val="fr-CH"/>
        </w:rPr>
        <w:t xml:space="preserve"> dans </w:t>
      </w:r>
      <w:r w:rsidR="00482080" w:rsidRPr="000C69AF">
        <w:rPr>
          <w:lang w:val="fr-CH"/>
        </w:rPr>
        <w:br/>
      </w:r>
      <w:r w:rsidR="0090136B" w:rsidRPr="000C69AF">
        <w:rPr>
          <w:lang w:val="fr-CH"/>
        </w:rPr>
        <w:t xml:space="preserve">la Région 1 et au Brésil, conformément au numéro 5.446C </w:t>
      </w:r>
      <w:r w:rsidR="00482080" w:rsidRPr="000C69AF">
        <w:rPr>
          <w:lang w:val="fr-CH"/>
        </w:rPr>
        <w:br/>
      </w:r>
      <w:r w:rsidR="0090136B" w:rsidRPr="000C69AF">
        <w:rPr>
          <w:lang w:val="fr-CH"/>
        </w:rPr>
        <w:t xml:space="preserve">du </w:t>
      </w:r>
      <w:r w:rsidR="0090136B" w:rsidRPr="000C69AF">
        <w:rPr>
          <w:color w:val="000000"/>
          <w:lang w:val="fr-CH"/>
        </w:rPr>
        <w:t>Règlement des radiocommunications</w:t>
      </w:r>
    </w:p>
    <w:p w:rsidR="00641596" w:rsidRPr="000C69AF" w:rsidRDefault="0090136B" w:rsidP="00537A4C">
      <w:pPr>
        <w:pStyle w:val="Normalaftertitle0"/>
        <w:spacing w:before="120"/>
        <w:jc w:val="both"/>
        <w:rPr>
          <w:rFonts w:asciiTheme="minorHAnsi" w:hAnsiTheme="minorHAnsi"/>
          <w:lang w:val="fr-CH"/>
        </w:rPr>
      </w:pPr>
      <w:r w:rsidRPr="000C69AF">
        <w:rPr>
          <w:rFonts w:asciiTheme="minorHAnsi" w:hAnsiTheme="minorHAnsi"/>
          <w:lang w:val="fr-CH"/>
        </w:rPr>
        <w:t xml:space="preserve">Cette Recommandation fournit les caractéristiques techniques et opérationnelles de la télémesure mobile aéronautique (AMT) dans les pays de la Région 1 (sauf dans les pays suivants: Algérie, Arabie saoudite, Bahreïn, Egypte, Emirats arabes unis, Jordanie, Koweït, Liban, Maroc, Oman, Qatar, République arabe syrienne, Soudan, Soudan du Sud et Tunisie) et au Brésil dans la </w:t>
      </w:r>
      <w:r w:rsidR="00740340" w:rsidRPr="000C69AF">
        <w:rPr>
          <w:rFonts w:asciiTheme="minorHAnsi" w:hAnsiTheme="minorHAnsi"/>
          <w:lang w:val="fr-CH"/>
        </w:rPr>
        <w:t>gamme</w:t>
      </w:r>
      <w:r w:rsidRPr="000C69AF">
        <w:rPr>
          <w:rFonts w:asciiTheme="minorHAnsi" w:hAnsiTheme="minorHAnsi"/>
          <w:lang w:val="fr-CH"/>
        </w:rPr>
        <w:t xml:space="preserve"> de fréquences 5 150-5 250 MHz, conformément au numéro </w:t>
      </w:r>
      <w:r w:rsidRPr="000C69AF">
        <w:rPr>
          <w:rFonts w:asciiTheme="minorHAnsi" w:hAnsiTheme="minorHAnsi"/>
          <w:b/>
          <w:bCs/>
          <w:lang w:val="fr-CH"/>
        </w:rPr>
        <w:t>5.446C</w:t>
      </w:r>
      <w:r w:rsidRPr="000C69AF">
        <w:rPr>
          <w:rFonts w:asciiTheme="minorHAnsi" w:hAnsiTheme="minorHAnsi"/>
          <w:lang w:val="fr-CH"/>
        </w:rPr>
        <w:t xml:space="preserve"> du </w:t>
      </w:r>
      <w:r w:rsidRPr="000C69AF">
        <w:rPr>
          <w:rFonts w:asciiTheme="minorHAnsi" w:hAnsiTheme="minorHAnsi"/>
          <w:color w:val="000000"/>
          <w:lang w:val="fr-CH"/>
        </w:rPr>
        <w:t>Règlement des radiocommunications</w:t>
      </w:r>
      <w:r w:rsidRPr="000C69AF">
        <w:rPr>
          <w:rFonts w:asciiTheme="minorHAnsi" w:hAnsiTheme="minorHAnsi"/>
          <w:lang w:val="fr-CH"/>
        </w:rPr>
        <w:t xml:space="preserve"> (RR), </w:t>
      </w:r>
      <w:r w:rsidR="00482080" w:rsidRPr="000C69AF">
        <w:rPr>
          <w:rFonts w:asciiTheme="minorHAnsi" w:hAnsiTheme="minorHAnsi"/>
          <w:lang w:val="fr-CH"/>
        </w:rPr>
        <w:t>par lequel</w:t>
      </w:r>
      <w:r w:rsidRPr="000C69AF">
        <w:rPr>
          <w:rFonts w:asciiTheme="minorHAnsi" w:hAnsiTheme="minorHAnsi"/>
          <w:lang w:val="fr-CH"/>
        </w:rPr>
        <w:t xml:space="preserve"> une attribution </w:t>
      </w:r>
      <w:r w:rsidR="00482080" w:rsidRPr="000C69AF">
        <w:rPr>
          <w:rFonts w:asciiTheme="minorHAnsi" w:hAnsiTheme="minorHAnsi"/>
          <w:lang w:val="fr-CH"/>
        </w:rPr>
        <w:t xml:space="preserve">est faite </w:t>
      </w:r>
      <w:r w:rsidRPr="000C69AF">
        <w:rPr>
          <w:rFonts w:asciiTheme="minorHAnsi" w:hAnsiTheme="minorHAnsi"/>
          <w:lang w:val="fr-CH"/>
        </w:rPr>
        <w:t>au service mobile aéronautique à titre primaire</w:t>
      </w:r>
      <w:r w:rsidR="00482080" w:rsidRPr="000C69AF">
        <w:rPr>
          <w:rFonts w:asciiTheme="minorHAnsi" w:hAnsiTheme="minorHAnsi"/>
          <w:lang w:val="fr-CH"/>
        </w:rPr>
        <w:t>, cette attribution étant</w:t>
      </w:r>
      <w:r w:rsidRPr="000C69AF">
        <w:rPr>
          <w:rFonts w:asciiTheme="minorHAnsi" w:hAnsiTheme="minorHAnsi"/>
          <w:lang w:val="fr-CH"/>
        </w:rPr>
        <w:t xml:space="preserve"> limitée aux transmissions de télémesure aéronautique des stations d'aéronef.</w:t>
      </w:r>
    </w:p>
    <w:p w:rsidR="003E2BAF" w:rsidRPr="000C69AF" w:rsidRDefault="00254E9E" w:rsidP="00BF6D74">
      <w:pPr>
        <w:pStyle w:val="Normalaftertitle0"/>
        <w:keepNext/>
        <w:keepLines/>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t xml:space="preserve">Projet de révision </w:t>
      </w:r>
      <w:r w:rsidR="0090136B" w:rsidRPr="000C69AF">
        <w:rPr>
          <w:rFonts w:asciiTheme="minorHAnsi" w:hAnsiTheme="minorHAnsi"/>
          <w:u w:val="single"/>
          <w:lang w:val="fr-CH"/>
        </w:rPr>
        <w:t xml:space="preserve">de la </w:t>
      </w:r>
      <w:r w:rsidRPr="000C69AF">
        <w:rPr>
          <w:rFonts w:asciiTheme="minorHAnsi" w:hAnsiTheme="minorHAnsi"/>
          <w:u w:val="single"/>
          <w:lang w:val="fr-CH"/>
        </w:rPr>
        <w:t>Recommandation UIT</w:t>
      </w:r>
      <w:r w:rsidRPr="000C69AF">
        <w:rPr>
          <w:rFonts w:asciiTheme="minorHAnsi" w:hAnsiTheme="minorHAnsi"/>
          <w:u w:val="single"/>
          <w:lang w:val="fr-CH"/>
        </w:rPr>
        <w:noBreakHyphen/>
        <w:t>R M.1637-0</w:t>
      </w:r>
      <w:r w:rsidRPr="000C69AF">
        <w:rPr>
          <w:rFonts w:asciiTheme="minorHAnsi" w:hAnsiTheme="minorHAnsi" w:cstheme="minorHAnsi"/>
          <w:szCs w:val="24"/>
          <w:lang w:val="fr-CH"/>
        </w:rPr>
        <w:tab/>
        <w:t>Doc. 5/104</w:t>
      </w:r>
    </w:p>
    <w:p w:rsidR="003E2BAF" w:rsidRPr="000C69AF" w:rsidRDefault="00254E9E" w:rsidP="00BF6D74">
      <w:pPr>
        <w:pStyle w:val="Rectitle"/>
        <w:spacing w:before="160"/>
        <w:rPr>
          <w:lang w:val="fr-CH"/>
        </w:rPr>
      </w:pPr>
      <w:r w:rsidRPr="000C69AF">
        <w:rPr>
          <w:lang w:val="fr-CH"/>
        </w:rPr>
        <w:t xml:space="preserve">Circulation transfrontalière à l'échelle mondiale des équipements de radiocommunication destinés à être utilisés dans les situations </w:t>
      </w:r>
      <w:r w:rsidR="006A567D">
        <w:rPr>
          <w:lang w:val="fr-CH"/>
        </w:rPr>
        <w:br/>
      </w:r>
      <w:r w:rsidRPr="000C69AF">
        <w:rPr>
          <w:lang w:val="fr-CH"/>
        </w:rPr>
        <w:t>d'urgence et pour les secours en cas de catastrophe</w:t>
      </w:r>
    </w:p>
    <w:p w:rsidR="003E2BAF" w:rsidRPr="000C69AF" w:rsidRDefault="0090136B" w:rsidP="00537A4C">
      <w:pPr>
        <w:pStyle w:val="Normalaftertitle0"/>
        <w:spacing w:before="120"/>
        <w:jc w:val="both"/>
        <w:rPr>
          <w:rFonts w:asciiTheme="minorHAnsi" w:hAnsiTheme="minorHAnsi"/>
          <w:lang w:val="fr-CH"/>
        </w:rPr>
      </w:pPr>
      <w:r w:rsidRPr="000C69AF">
        <w:rPr>
          <w:rFonts w:asciiTheme="minorHAnsi" w:hAnsiTheme="minorHAnsi"/>
          <w:lang w:val="fr-CH"/>
        </w:rPr>
        <w:t>Etant donné que la Recommandation UIT-R M.1637 a été publiée en 2003, beaucoup de références qui y sont citées ont été révisées ou supprimées.</w:t>
      </w:r>
      <w:r w:rsidR="00254E9E" w:rsidRPr="000C69AF">
        <w:rPr>
          <w:rFonts w:asciiTheme="minorHAnsi" w:hAnsiTheme="minorHAnsi"/>
          <w:lang w:val="fr-CH"/>
        </w:rPr>
        <w:t xml:space="preserve"> </w:t>
      </w:r>
      <w:r w:rsidR="00AC40D2" w:rsidRPr="000C69AF">
        <w:rPr>
          <w:rFonts w:asciiTheme="minorHAnsi" w:hAnsiTheme="minorHAnsi"/>
          <w:lang w:val="fr-CH"/>
        </w:rPr>
        <w:t>Cette révision met à jour le contenu de la Recommandation afin d'aligner le texte avec les documents en vigueur et d'apporter des modifications de forme supplémentaires.</w:t>
      </w:r>
      <w:r w:rsidR="00254E9E" w:rsidRPr="000C69AF">
        <w:rPr>
          <w:rFonts w:asciiTheme="minorHAnsi" w:hAnsiTheme="minorHAnsi"/>
          <w:lang w:val="fr-CH"/>
        </w:rPr>
        <w:t xml:space="preserve"> </w:t>
      </w:r>
      <w:r w:rsidR="00D2415E" w:rsidRPr="000C69AF">
        <w:rPr>
          <w:rFonts w:asciiTheme="minorHAnsi" w:hAnsiTheme="minorHAnsi"/>
          <w:lang w:val="fr-CH"/>
        </w:rPr>
        <w:t xml:space="preserve">Aucune modification n'a été apportée au dispositif de la Recommandation, c'est-à-dire au </w:t>
      </w:r>
      <w:r w:rsidR="00D2415E" w:rsidRPr="000C69AF">
        <w:rPr>
          <w:rFonts w:asciiTheme="minorHAnsi" w:hAnsiTheme="minorHAnsi"/>
          <w:i/>
          <w:lang w:val="fr-CH"/>
        </w:rPr>
        <w:t>recommande</w:t>
      </w:r>
      <w:r w:rsidR="00D2415E" w:rsidRPr="000C69AF">
        <w:rPr>
          <w:rFonts w:asciiTheme="minorHAnsi" w:hAnsiTheme="minorHAnsi"/>
          <w:lang w:val="fr-CH"/>
        </w:rPr>
        <w:t>.</w:t>
      </w:r>
    </w:p>
    <w:p w:rsidR="003E2BAF" w:rsidRPr="000C69AF" w:rsidRDefault="00254E9E" w:rsidP="00BF6D74">
      <w:pPr>
        <w:pStyle w:val="Normalaftertitle0"/>
        <w:keepNext/>
        <w:keepLines/>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lastRenderedPageBreak/>
        <w:t xml:space="preserve">Projet de révision </w:t>
      </w:r>
      <w:r w:rsidR="00C35637" w:rsidRPr="000C69AF">
        <w:rPr>
          <w:rFonts w:asciiTheme="minorHAnsi" w:hAnsiTheme="minorHAnsi"/>
          <w:u w:val="single"/>
          <w:lang w:val="fr-CH"/>
        </w:rPr>
        <w:t>de la</w:t>
      </w:r>
      <w:r w:rsidRPr="000C69AF">
        <w:rPr>
          <w:rFonts w:asciiTheme="minorHAnsi" w:hAnsiTheme="minorHAnsi"/>
          <w:u w:val="single"/>
          <w:lang w:val="fr-CH"/>
        </w:rPr>
        <w:t xml:space="preserve"> Recommandation UIT</w:t>
      </w:r>
      <w:r w:rsidRPr="000C69AF">
        <w:rPr>
          <w:rFonts w:asciiTheme="minorHAnsi" w:hAnsiTheme="minorHAnsi"/>
          <w:u w:val="single"/>
          <w:lang w:val="fr-CH"/>
        </w:rPr>
        <w:noBreakHyphen/>
        <w:t>R M.2009-1</w:t>
      </w:r>
      <w:r w:rsidRPr="000C69AF">
        <w:rPr>
          <w:rFonts w:asciiTheme="minorHAnsi" w:hAnsiTheme="minorHAnsi" w:cstheme="minorHAnsi"/>
          <w:szCs w:val="24"/>
          <w:lang w:val="fr-CH"/>
        </w:rPr>
        <w:tab/>
        <w:t>Doc. 5/105</w:t>
      </w:r>
    </w:p>
    <w:p w:rsidR="003E2BAF" w:rsidRPr="000C69AF" w:rsidRDefault="00254E9E" w:rsidP="00BF6D74">
      <w:pPr>
        <w:pStyle w:val="Rectitle"/>
        <w:spacing w:before="240"/>
        <w:rPr>
          <w:lang w:val="fr-CH"/>
        </w:rPr>
      </w:pPr>
      <w:r w:rsidRPr="000C69AF">
        <w:rPr>
          <w:lang w:val="fr-CH"/>
        </w:rPr>
        <w:t>Normes d'interface radioélectrique à utiliser pour les opérations de protection du public et de secours en cas de catastrophe dans certaines parties de la bande d'ondes décimétriques conformément à la Résolution 646 (Rév.CMR-12)</w:t>
      </w:r>
    </w:p>
    <w:p w:rsidR="003E2BAF" w:rsidRPr="000C69AF" w:rsidRDefault="00C35637" w:rsidP="00537A4C">
      <w:pPr>
        <w:pStyle w:val="Normalaftertitle0"/>
        <w:spacing w:before="120"/>
        <w:jc w:val="both"/>
        <w:rPr>
          <w:rFonts w:asciiTheme="minorHAnsi" w:hAnsiTheme="minorHAnsi"/>
          <w:lang w:val="fr-CH"/>
        </w:rPr>
      </w:pPr>
      <w:r w:rsidRPr="000C69AF">
        <w:rPr>
          <w:rFonts w:asciiTheme="minorHAnsi" w:hAnsiTheme="minorHAnsi"/>
          <w:lang w:val="fr-CH"/>
        </w:rPr>
        <w:t>Suite aux décisions prises lors de la CMR-15, certains documents auxquels il est fait référence dans la Recommandation ont été révisés ou supprimés.</w:t>
      </w:r>
      <w:r w:rsidR="00254E9E" w:rsidRPr="000C69AF">
        <w:rPr>
          <w:rFonts w:asciiTheme="minorHAnsi" w:hAnsiTheme="minorHAnsi"/>
          <w:lang w:val="fr-CH"/>
        </w:rPr>
        <w:t xml:space="preserve"> </w:t>
      </w:r>
      <w:r w:rsidR="006B34EA" w:rsidRPr="000C69AF">
        <w:rPr>
          <w:rFonts w:asciiTheme="minorHAnsi" w:hAnsiTheme="minorHAnsi"/>
          <w:lang w:val="fr-CH"/>
        </w:rPr>
        <w:t>Cette révision met à jour le contenu de la Recommandation afin d'aligner le texte avec les documents en vigueur et d'apporter des modifications de forme visant à respecter le format commun obligatoire à utiliser pour les Recommandations UIT-R.</w:t>
      </w:r>
    </w:p>
    <w:p w:rsidR="003E2BAF" w:rsidRPr="000C69AF" w:rsidRDefault="00254E9E" w:rsidP="00BF6D74">
      <w:pPr>
        <w:pStyle w:val="Normalaftertitle0"/>
        <w:keepNext/>
        <w:keepLines/>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t xml:space="preserve">Projet de révision de </w:t>
      </w:r>
      <w:r w:rsidR="001E6B69" w:rsidRPr="000C69AF">
        <w:rPr>
          <w:rFonts w:asciiTheme="minorHAnsi" w:hAnsiTheme="minorHAnsi"/>
          <w:u w:val="single"/>
          <w:lang w:val="fr-CH"/>
        </w:rPr>
        <w:t>la</w:t>
      </w:r>
      <w:r w:rsidRPr="000C69AF">
        <w:rPr>
          <w:rFonts w:asciiTheme="minorHAnsi" w:hAnsiTheme="minorHAnsi"/>
          <w:u w:val="single"/>
          <w:lang w:val="fr-CH"/>
        </w:rPr>
        <w:t xml:space="preserve"> Recommandation UIT</w:t>
      </w:r>
      <w:r w:rsidRPr="000C69AF">
        <w:rPr>
          <w:rFonts w:asciiTheme="minorHAnsi" w:hAnsiTheme="minorHAnsi"/>
          <w:u w:val="single"/>
          <w:lang w:val="fr-CH"/>
        </w:rPr>
        <w:noBreakHyphen/>
        <w:t>R F.1336-4</w:t>
      </w:r>
      <w:r w:rsidRPr="000C69AF">
        <w:rPr>
          <w:rFonts w:asciiTheme="minorHAnsi" w:hAnsiTheme="minorHAnsi" w:cstheme="minorHAnsi"/>
          <w:szCs w:val="24"/>
          <w:lang w:val="fr-CH"/>
        </w:rPr>
        <w:tab/>
        <w:t>Doc. 5/106</w:t>
      </w:r>
    </w:p>
    <w:p w:rsidR="003E2BAF" w:rsidRPr="000C69AF" w:rsidRDefault="00254E9E" w:rsidP="00BF6D74">
      <w:pPr>
        <w:pStyle w:val="Rectitle"/>
        <w:spacing w:before="240"/>
        <w:rPr>
          <w:lang w:val="fr-CH"/>
        </w:rPr>
      </w:pPr>
      <w:r w:rsidRPr="000C69AF">
        <w:rPr>
          <w:lang w:val="fr-CH"/>
        </w:rPr>
        <w:t xml:space="preserve">Diagrammes de rayonnement de référence des antennes équidirectives, sectorielles et autres antennes pour les services fixe et mobile, à utiliser </w:t>
      </w:r>
      <w:r w:rsidR="00482080" w:rsidRPr="000C69AF">
        <w:rPr>
          <w:lang w:val="fr-CH"/>
        </w:rPr>
        <w:br/>
      </w:r>
      <w:r w:rsidRPr="000C69AF">
        <w:rPr>
          <w:lang w:val="fr-CH"/>
        </w:rPr>
        <w:t xml:space="preserve">pour les études de partage dans la gamme de fréquences </w:t>
      </w:r>
      <w:r w:rsidR="00482080" w:rsidRPr="000C69AF">
        <w:rPr>
          <w:lang w:val="fr-CH"/>
        </w:rPr>
        <w:br/>
      </w:r>
      <w:r w:rsidRPr="000C69AF">
        <w:rPr>
          <w:lang w:val="fr-CH"/>
        </w:rPr>
        <w:t>comprise entre 400 MHz et environ 70 GHz</w:t>
      </w:r>
    </w:p>
    <w:p w:rsidR="003E2BAF" w:rsidRPr="000C69AF" w:rsidRDefault="001E6B69" w:rsidP="00537A4C">
      <w:pPr>
        <w:pStyle w:val="Normalaftertitle0"/>
        <w:spacing w:before="120"/>
        <w:jc w:val="both"/>
        <w:rPr>
          <w:rFonts w:asciiTheme="minorHAnsi" w:hAnsiTheme="minorHAnsi"/>
          <w:lang w:val="fr-CH"/>
        </w:rPr>
      </w:pPr>
      <w:r w:rsidRPr="000C69AF">
        <w:rPr>
          <w:rFonts w:asciiTheme="minorHAnsi" w:hAnsiTheme="minorHAnsi"/>
          <w:lang w:val="fr-CH"/>
        </w:rPr>
        <w:t>Cette révision consiste à ajouter un no</w:t>
      </w:r>
      <w:r w:rsidR="00740340" w:rsidRPr="000C69AF">
        <w:rPr>
          <w:rFonts w:asciiTheme="minorHAnsi" w:hAnsiTheme="minorHAnsi"/>
          <w:lang w:val="fr-CH"/>
        </w:rPr>
        <w:t>uveau diagramme de rayonnement dans</w:t>
      </w:r>
      <w:r w:rsidRPr="000C69AF">
        <w:rPr>
          <w:rFonts w:asciiTheme="minorHAnsi" w:hAnsiTheme="minorHAnsi"/>
          <w:lang w:val="fr-CH"/>
        </w:rPr>
        <w:t xml:space="preserve"> l'Annexe 1, à réviser le texte existant en insérant une note explicative, ainsi qu'à apporter d'autres modifications de forme</w:t>
      </w:r>
      <w:r w:rsidR="00740340" w:rsidRPr="000C69AF">
        <w:rPr>
          <w:rFonts w:asciiTheme="minorHAnsi" w:hAnsiTheme="minorHAnsi"/>
          <w:lang w:val="fr-CH"/>
        </w:rPr>
        <w:t>,</w:t>
      </w:r>
      <w:r w:rsidRPr="000C69AF">
        <w:rPr>
          <w:rFonts w:asciiTheme="minorHAnsi" w:hAnsiTheme="minorHAnsi"/>
          <w:lang w:val="fr-CH"/>
        </w:rPr>
        <w:t xml:space="preserve"> afin de donner des précisions en ce qui concerne les unités utilisées dans les équations.</w:t>
      </w:r>
    </w:p>
    <w:p w:rsidR="003E2BAF" w:rsidRPr="000C69AF" w:rsidRDefault="00254E9E" w:rsidP="00BF6D74">
      <w:pPr>
        <w:pStyle w:val="Normalaftertitle0"/>
        <w:keepNext/>
        <w:keepLines/>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t xml:space="preserve">Projet de révision de </w:t>
      </w:r>
      <w:r w:rsidR="00740340" w:rsidRPr="000C69AF">
        <w:rPr>
          <w:rFonts w:asciiTheme="minorHAnsi" w:hAnsiTheme="minorHAnsi"/>
          <w:u w:val="single"/>
          <w:lang w:val="fr-CH"/>
        </w:rPr>
        <w:t>la</w:t>
      </w:r>
      <w:r w:rsidRPr="000C69AF">
        <w:rPr>
          <w:rFonts w:asciiTheme="minorHAnsi" w:hAnsiTheme="minorHAnsi"/>
          <w:u w:val="single"/>
          <w:lang w:val="fr-CH"/>
        </w:rPr>
        <w:t xml:space="preserve"> Recommandation UIT</w:t>
      </w:r>
      <w:r w:rsidRPr="000C69AF">
        <w:rPr>
          <w:rFonts w:asciiTheme="minorHAnsi" w:hAnsiTheme="minorHAnsi"/>
          <w:u w:val="single"/>
          <w:lang w:val="fr-CH"/>
        </w:rPr>
        <w:noBreakHyphen/>
        <w:t>R F.1245-2</w:t>
      </w:r>
      <w:r w:rsidRPr="000C69AF">
        <w:rPr>
          <w:rFonts w:asciiTheme="minorHAnsi" w:hAnsiTheme="minorHAnsi" w:cstheme="minorHAnsi"/>
          <w:szCs w:val="24"/>
          <w:lang w:val="fr-CH"/>
        </w:rPr>
        <w:tab/>
        <w:t>Doc. 5/107</w:t>
      </w:r>
    </w:p>
    <w:p w:rsidR="003E2BAF" w:rsidRPr="000C69AF" w:rsidRDefault="00254E9E" w:rsidP="00BF6D74">
      <w:pPr>
        <w:pStyle w:val="Rectitle"/>
        <w:spacing w:before="240"/>
        <w:rPr>
          <w:lang w:val="fr-CH"/>
        </w:rPr>
      </w:pPr>
      <w:r w:rsidRPr="000C69AF">
        <w:rPr>
          <w:lang w:val="fr-CH"/>
        </w:rPr>
        <w:t xml:space="preserve">Modèle mathématique de diagrammes de rayonnement moyens et de diagrammes de rayonnement connexes pour antennes de systèmes </w:t>
      </w:r>
      <w:r w:rsidR="00482080" w:rsidRPr="000C69AF">
        <w:rPr>
          <w:lang w:val="fr-CH"/>
        </w:rPr>
        <w:br/>
      </w:r>
      <w:r w:rsidRPr="000C69AF">
        <w:rPr>
          <w:lang w:val="fr-CH"/>
        </w:rPr>
        <w:t xml:space="preserve">hertziens fixes en visibilité directe point à point, à utiliser dans </w:t>
      </w:r>
      <w:r w:rsidR="00482080" w:rsidRPr="000C69AF">
        <w:rPr>
          <w:lang w:val="fr-CH"/>
        </w:rPr>
        <w:br/>
      </w:r>
      <w:r w:rsidRPr="000C69AF">
        <w:rPr>
          <w:lang w:val="fr-CH"/>
        </w:rPr>
        <w:t xml:space="preserve">certaines études de coordination et pour l'évaluation du </w:t>
      </w:r>
      <w:r w:rsidR="00482080" w:rsidRPr="000C69AF">
        <w:rPr>
          <w:lang w:val="fr-CH"/>
        </w:rPr>
        <w:br/>
      </w:r>
      <w:r w:rsidRPr="000C69AF">
        <w:rPr>
          <w:lang w:val="fr-CH"/>
        </w:rPr>
        <w:t xml:space="preserve">brouillage dans la gamme de fréquences comprise </w:t>
      </w:r>
      <w:r w:rsidR="00482080" w:rsidRPr="000C69AF">
        <w:rPr>
          <w:lang w:val="fr-CH"/>
        </w:rPr>
        <w:br/>
      </w:r>
      <w:r w:rsidRPr="000C69AF">
        <w:rPr>
          <w:lang w:val="fr-CH"/>
        </w:rPr>
        <w:t>entre 1 GHz et environ 70 GHz</w:t>
      </w:r>
    </w:p>
    <w:p w:rsidR="003E2BAF" w:rsidRPr="000C69AF" w:rsidRDefault="00836383" w:rsidP="00537A4C">
      <w:pPr>
        <w:pStyle w:val="Normalaftertitle0"/>
        <w:spacing w:before="120"/>
        <w:jc w:val="both"/>
        <w:rPr>
          <w:rFonts w:asciiTheme="minorHAnsi" w:hAnsiTheme="minorHAnsi"/>
          <w:lang w:val="fr-CH"/>
        </w:rPr>
      </w:pPr>
      <w:r w:rsidRPr="000C69AF">
        <w:rPr>
          <w:rFonts w:asciiTheme="minorHAnsi" w:hAnsiTheme="minorHAnsi"/>
          <w:lang w:val="fr-CH"/>
        </w:rPr>
        <w:t>Cette révision consiste à élargir la gamme de fréquences applicable de la Recommandation jusqu'à 86 GHz au lieu de 70 GHz.</w:t>
      </w:r>
      <w:r w:rsidR="00254E9E" w:rsidRPr="000C69AF">
        <w:rPr>
          <w:rFonts w:asciiTheme="minorHAnsi" w:hAnsiTheme="minorHAnsi"/>
          <w:lang w:val="fr-CH"/>
        </w:rPr>
        <w:t xml:space="preserve"> </w:t>
      </w:r>
      <w:r w:rsidR="003568AC" w:rsidRPr="000C69AF">
        <w:rPr>
          <w:rFonts w:asciiTheme="minorHAnsi" w:hAnsiTheme="minorHAnsi"/>
          <w:lang w:val="fr-CH"/>
        </w:rPr>
        <w:t>En outre, pour les fréquences supplémentaires, la valeur indiquant où se termine la décroissance dans les lobes latéraux a été changée, passant de 48 à 120 degrés, ce qui permet d'abaisser de 10 dB les valeurs «plancher» du gain d'antenne.</w:t>
      </w:r>
      <w:r w:rsidR="00254E9E" w:rsidRPr="000C69AF">
        <w:rPr>
          <w:rFonts w:asciiTheme="minorHAnsi" w:hAnsiTheme="minorHAnsi"/>
          <w:lang w:val="fr-CH"/>
        </w:rPr>
        <w:t xml:space="preserve"> </w:t>
      </w:r>
      <w:r w:rsidR="00DC64C2" w:rsidRPr="000C69AF">
        <w:rPr>
          <w:rFonts w:asciiTheme="minorHAnsi" w:hAnsiTheme="minorHAnsi"/>
          <w:lang w:val="fr-CH"/>
        </w:rPr>
        <w:t>La révision comprend aussi une comparaison entre les équations et les diagrammes d'antenne réels</w:t>
      </w:r>
      <w:r w:rsidR="00740340" w:rsidRPr="000C69AF">
        <w:rPr>
          <w:rFonts w:asciiTheme="minorHAnsi" w:hAnsiTheme="minorHAnsi"/>
          <w:lang w:val="fr-CH"/>
        </w:rPr>
        <w:t xml:space="preserve">, ainsi qu'entre </w:t>
      </w:r>
      <w:r w:rsidR="00482080" w:rsidRPr="000C69AF">
        <w:rPr>
          <w:rFonts w:asciiTheme="minorHAnsi" w:hAnsiTheme="minorHAnsi"/>
          <w:lang w:val="fr-CH"/>
        </w:rPr>
        <w:t>les valeurs théoriques relatives à la</w:t>
      </w:r>
      <w:r w:rsidR="00DC64C2" w:rsidRPr="000C69AF">
        <w:rPr>
          <w:rFonts w:asciiTheme="minorHAnsi" w:hAnsiTheme="minorHAnsi"/>
          <w:lang w:val="fr-CH"/>
        </w:rPr>
        <w:t xml:space="preserve"> polarisation croisée et les mesures.</w:t>
      </w:r>
    </w:p>
    <w:p w:rsidR="003E2BAF" w:rsidRPr="000C69AF" w:rsidRDefault="00254E9E" w:rsidP="00BF6D74">
      <w:pPr>
        <w:pStyle w:val="Normalaftertitle0"/>
        <w:keepNext/>
        <w:keepLines/>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t xml:space="preserve">Projet de révision de </w:t>
      </w:r>
      <w:r w:rsidR="008161B6" w:rsidRPr="000C69AF">
        <w:rPr>
          <w:rFonts w:asciiTheme="minorHAnsi" w:hAnsiTheme="minorHAnsi"/>
          <w:u w:val="single"/>
          <w:lang w:val="fr-CH"/>
        </w:rPr>
        <w:t>la</w:t>
      </w:r>
      <w:r w:rsidRPr="000C69AF">
        <w:rPr>
          <w:rFonts w:asciiTheme="minorHAnsi" w:hAnsiTheme="minorHAnsi"/>
          <w:u w:val="single"/>
          <w:lang w:val="fr-CH"/>
        </w:rPr>
        <w:t xml:space="preserve"> Recommandation UIT</w:t>
      </w:r>
      <w:r w:rsidRPr="000C69AF">
        <w:rPr>
          <w:rFonts w:asciiTheme="minorHAnsi" w:hAnsiTheme="minorHAnsi"/>
          <w:u w:val="single"/>
          <w:lang w:val="fr-CH"/>
        </w:rPr>
        <w:noBreakHyphen/>
        <w:t>R M.1462-0</w:t>
      </w:r>
      <w:r w:rsidRPr="000C69AF">
        <w:rPr>
          <w:rFonts w:asciiTheme="minorHAnsi" w:hAnsiTheme="minorHAnsi" w:cstheme="minorHAnsi"/>
          <w:szCs w:val="24"/>
          <w:lang w:val="fr-CH"/>
        </w:rPr>
        <w:tab/>
        <w:t>Doc. 5/108</w:t>
      </w:r>
    </w:p>
    <w:p w:rsidR="003E2BAF" w:rsidRPr="000C69AF" w:rsidRDefault="00254E9E" w:rsidP="00BF6D74">
      <w:pPr>
        <w:pStyle w:val="Rectitle"/>
        <w:spacing w:before="240"/>
        <w:rPr>
          <w:lang w:val="fr-CH"/>
        </w:rPr>
      </w:pPr>
      <w:r w:rsidRPr="000C69AF">
        <w:rPr>
          <w:lang w:val="fr-CH"/>
        </w:rPr>
        <w:t>Caractéristiques et critères de protection des radars fonctionnant dans le service de radiolocalisation dans la gamme de fréquences 420-450 MHz</w:t>
      </w:r>
    </w:p>
    <w:p w:rsidR="003E2BAF" w:rsidRPr="000C69AF" w:rsidRDefault="008161B6" w:rsidP="00537A4C">
      <w:pPr>
        <w:pStyle w:val="Normalaftertitle0"/>
        <w:spacing w:before="120"/>
        <w:jc w:val="both"/>
        <w:rPr>
          <w:rFonts w:asciiTheme="minorHAnsi" w:hAnsiTheme="minorHAnsi"/>
          <w:lang w:val="fr-CH"/>
        </w:rPr>
      </w:pPr>
      <w:r w:rsidRPr="000C69AF">
        <w:rPr>
          <w:rFonts w:asciiTheme="minorHAnsi" w:hAnsiTheme="minorHAnsi"/>
          <w:lang w:val="fr-CH"/>
        </w:rPr>
        <w:t>Les modifications proposées comprennent les caractéristiques techniques de deux systèmes de radar au sol et d'un système de radar aéroporté supplémentaires.</w:t>
      </w:r>
      <w:r w:rsidR="00482080" w:rsidRPr="000C69AF">
        <w:rPr>
          <w:rFonts w:asciiTheme="minorHAnsi" w:hAnsiTheme="minorHAnsi"/>
          <w:lang w:val="fr-CH"/>
        </w:rPr>
        <w:t xml:space="preserve"> </w:t>
      </w:r>
      <w:r w:rsidR="00254E9E" w:rsidRPr="000C69AF">
        <w:rPr>
          <w:rFonts w:asciiTheme="minorHAnsi" w:hAnsiTheme="minorHAnsi"/>
          <w:lang w:val="fr-CH"/>
        </w:rPr>
        <w:t xml:space="preserve">Les points </w:t>
      </w:r>
      <w:r w:rsidR="00740340" w:rsidRPr="000C69AF">
        <w:rPr>
          <w:rFonts w:asciiTheme="minorHAnsi" w:hAnsiTheme="minorHAnsi"/>
          <w:lang w:val="fr-CH"/>
        </w:rPr>
        <w:t xml:space="preserve">obsolètes </w:t>
      </w:r>
      <w:r w:rsidR="00254E9E" w:rsidRPr="000C69AF">
        <w:rPr>
          <w:rFonts w:asciiTheme="minorHAnsi" w:hAnsiTheme="minorHAnsi"/>
          <w:lang w:val="fr-CH"/>
        </w:rPr>
        <w:t xml:space="preserve">du </w:t>
      </w:r>
      <w:r w:rsidR="00254E9E" w:rsidRPr="000C69AF">
        <w:rPr>
          <w:rFonts w:asciiTheme="minorHAnsi" w:hAnsiTheme="minorHAnsi"/>
          <w:i/>
          <w:lang w:val="fr-CH"/>
        </w:rPr>
        <w:t xml:space="preserve">considérant </w:t>
      </w:r>
      <w:r w:rsidR="00254E9E" w:rsidRPr="000C69AF">
        <w:rPr>
          <w:rFonts w:asciiTheme="minorHAnsi" w:hAnsiTheme="minorHAnsi"/>
          <w:lang w:val="fr-CH"/>
        </w:rPr>
        <w:t xml:space="preserve">ont été supprimés ou mis à jour et un </w:t>
      </w:r>
      <w:r w:rsidR="00254E9E" w:rsidRPr="000C69AF">
        <w:rPr>
          <w:rFonts w:asciiTheme="minorHAnsi" w:hAnsiTheme="minorHAnsi"/>
          <w:i/>
          <w:lang w:val="fr-CH"/>
        </w:rPr>
        <w:t>reconnaissant</w:t>
      </w:r>
      <w:r w:rsidR="00254E9E" w:rsidRPr="000C69AF">
        <w:rPr>
          <w:rFonts w:asciiTheme="minorHAnsi" w:hAnsiTheme="minorHAnsi"/>
          <w:lang w:val="fr-CH"/>
        </w:rPr>
        <w:t xml:space="preserve"> ainsi qu'un </w:t>
      </w:r>
      <w:r w:rsidR="00254E9E" w:rsidRPr="000C69AF">
        <w:rPr>
          <w:rFonts w:asciiTheme="minorHAnsi" w:hAnsiTheme="minorHAnsi"/>
          <w:i/>
          <w:lang w:val="fr-CH"/>
        </w:rPr>
        <w:t>notant</w:t>
      </w:r>
      <w:r w:rsidR="00254E9E" w:rsidRPr="000C69AF">
        <w:rPr>
          <w:rFonts w:asciiTheme="minorHAnsi" w:hAnsiTheme="minorHAnsi"/>
          <w:lang w:val="fr-CH"/>
        </w:rPr>
        <w:t xml:space="preserve"> ont été ajoutés.</w:t>
      </w:r>
    </w:p>
    <w:p w:rsidR="003E2BAF" w:rsidRPr="000C69AF" w:rsidRDefault="00254E9E" w:rsidP="00BF6D74">
      <w:pPr>
        <w:pStyle w:val="Normalaftertitle0"/>
        <w:keepNext/>
        <w:keepLines/>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lastRenderedPageBreak/>
        <w:t>Projet de révision de</w:t>
      </w:r>
      <w:r w:rsidR="00CF0A51" w:rsidRPr="000C69AF">
        <w:rPr>
          <w:rFonts w:asciiTheme="minorHAnsi" w:hAnsiTheme="minorHAnsi"/>
          <w:u w:val="single"/>
          <w:lang w:val="fr-CH"/>
        </w:rPr>
        <w:t xml:space="preserve"> la</w:t>
      </w:r>
      <w:r w:rsidRPr="000C69AF">
        <w:rPr>
          <w:rFonts w:asciiTheme="minorHAnsi" w:hAnsiTheme="minorHAnsi"/>
          <w:u w:val="single"/>
          <w:lang w:val="fr-CH"/>
        </w:rPr>
        <w:t xml:space="preserve"> Recommandation UIT</w:t>
      </w:r>
      <w:r w:rsidRPr="000C69AF">
        <w:rPr>
          <w:rFonts w:asciiTheme="minorHAnsi" w:hAnsiTheme="minorHAnsi"/>
          <w:u w:val="single"/>
          <w:lang w:val="fr-CH"/>
        </w:rPr>
        <w:noBreakHyphen/>
        <w:t>R M.1849-1</w:t>
      </w:r>
      <w:r w:rsidRPr="000C69AF">
        <w:rPr>
          <w:rFonts w:asciiTheme="minorHAnsi" w:hAnsiTheme="minorHAnsi" w:cstheme="minorHAnsi"/>
          <w:szCs w:val="24"/>
          <w:lang w:val="fr-CH"/>
        </w:rPr>
        <w:tab/>
        <w:t>Doc. 5/109</w:t>
      </w:r>
    </w:p>
    <w:p w:rsidR="003E2BAF" w:rsidRPr="000C69AF" w:rsidRDefault="00254E9E" w:rsidP="00BF6D74">
      <w:pPr>
        <w:pStyle w:val="Rectitle"/>
        <w:spacing w:before="240"/>
        <w:rPr>
          <w:lang w:val="fr-CH"/>
        </w:rPr>
      </w:pPr>
      <w:r w:rsidRPr="000C69AF">
        <w:rPr>
          <w:lang w:val="fr-CH"/>
        </w:rPr>
        <w:t>Aspects techniques et opérationnels des radars météorologiques au sol</w:t>
      </w:r>
    </w:p>
    <w:p w:rsidR="003E2BAF" w:rsidRPr="000C69AF" w:rsidRDefault="00CF0A51" w:rsidP="00537A4C">
      <w:pPr>
        <w:pStyle w:val="Normalaftertitle0"/>
        <w:spacing w:before="120"/>
        <w:jc w:val="both"/>
        <w:rPr>
          <w:rFonts w:asciiTheme="minorHAnsi" w:hAnsiTheme="minorHAnsi"/>
          <w:lang w:val="fr-CH"/>
        </w:rPr>
      </w:pPr>
      <w:r w:rsidRPr="000C69AF">
        <w:rPr>
          <w:rFonts w:asciiTheme="minorHAnsi" w:hAnsiTheme="minorHAnsi"/>
          <w:lang w:val="fr-CH"/>
        </w:rPr>
        <w:t>Cette révision a pour objet l'ajout de caractéristiques techniques supplémentaires pour les radars météorologiques au sol.</w:t>
      </w:r>
    </w:p>
    <w:p w:rsidR="003E2BAF" w:rsidRPr="000C69AF" w:rsidRDefault="00254E9E" w:rsidP="00BF6D74">
      <w:pPr>
        <w:pStyle w:val="Normalaftertitle0"/>
        <w:keepNext/>
        <w:keepLines/>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t xml:space="preserve">Projet de révision de </w:t>
      </w:r>
      <w:r w:rsidR="00FB33A4" w:rsidRPr="000C69AF">
        <w:rPr>
          <w:rFonts w:asciiTheme="minorHAnsi" w:hAnsiTheme="minorHAnsi"/>
          <w:u w:val="single"/>
          <w:lang w:val="fr-CH"/>
        </w:rPr>
        <w:t>la</w:t>
      </w:r>
      <w:r w:rsidRPr="000C69AF">
        <w:rPr>
          <w:rFonts w:asciiTheme="minorHAnsi" w:hAnsiTheme="minorHAnsi"/>
          <w:u w:val="single"/>
          <w:lang w:val="fr-CH"/>
        </w:rPr>
        <w:t xml:space="preserve"> Recommandation UIT</w:t>
      </w:r>
      <w:r w:rsidRPr="000C69AF">
        <w:rPr>
          <w:rFonts w:asciiTheme="minorHAnsi" w:hAnsiTheme="minorHAnsi"/>
          <w:u w:val="single"/>
          <w:lang w:val="fr-CH"/>
        </w:rPr>
        <w:noBreakHyphen/>
        <w:t>R M.493-14</w:t>
      </w:r>
      <w:r w:rsidRPr="000C69AF">
        <w:rPr>
          <w:rFonts w:asciiTheme="minorHAnsi" w:hAnsiTheme="minorHAnsi" w:cstheme="minorHAnsi"/>
          <w:szCs w:val="24"/>
          <w:lang w:val="fr-CH"/>
        </w:rPr>
        <w:tab/>
        <w:t>Doc. 5/112</w:t>
      </w:r>
    </w:p>
    <w:p w:rsidR="003E2BAF" w:rsidRPr="000C69AF" w:rsidRDefault="00254E9E" w:rsidP="00BF6D74">
      <w:pPr>
        <w:pStyle w:val="Rectitle"/>
        <w:spacing w:before="240"/>
        <w:rPr>
          <w:lang w:val="fr-CH"/>
        </w:rPr>
      </w:pPr>
      <w:r w:rsidRPr="000C69AF">
        <w:rPr>
          <w:lang w:val="fr-CH"/>
        </w:rPr>
        <w:t>Système d'appel sélectif numérique à utiliser dans le service mobile maritime</w:t>
      </w:r>
    </w:p>
    <w:p w:rsidR="003E2BAF" w:rsidRPr="000C69AF" w:rsidRDefault="00FB33A4" w:rsidP="00537A4C">
      <w:pPr>
        <w:pStyle w:val="Normalaftertitle0"/>
        <w:spacing w:before="120"/>
        <w:jc w:val="both"/>
        <w:rPr>
          <w:rFonts w:asciiTheme="minorHAnsi" w:hAnsiTheme="minorHAnsi"/>
          <w:lang w:val="fr-CH"/>
        </w:rPr>
      </w:pPr>
      <w:r w:rsidRPr="000C69AF">
        <w:rPr>
          <w:rFonts w:asciiTheme="minorHAnsi" w:hAnsiTheme="minorHAnsi"/>
          <w:lang w:val="fr-CH"/>
        </w:rPr>
        <w:t>Cette révision comprend la suppression de la classe B, car aucune demande du marché n'accompagne ce type d'équipement</w:t>
      </w:r>
      <w:r w:rsidR="00740340" w:rsidRPr="000C69AF">
        <w:rPr>
          <w:rFonts w:asciiTheme="minorHAnsi" w:hAnsiTheme="minorHAnsi"/>
          <w:lang w:val="fr-CH"/>
        </w:rPr>
        <w:t>s</w:t>
      </w:r>
      <w:r w:rsidRPr="000C69AF">
        <w:rPr>
          <w:rFonts w:asciiTheme="minorHAnsi" w:hAnsiTheme="minorHAnsi"/>
          <w:lang w:val="fr-CH"/>
        </w:rPr>
        <w:t xml:space="preserve"> et le domaine d'application avait été demandé par les administrations.</w:t>
      </w:r>
    </w:p>
    <w:p w:rsidR="003E2BAF" w:rsidRPr="000C69AF" w:rsidRDefault="00A20BF9" w:rsidP="00537A4C">
      <w:pPr>
        <w:spacing w:before="120" w:line="240" w:lineRule="auto"/>
        <w:rPr>
          <w:lang w:val="fr-CH"/>
        </w:rPr>
      </w:pPr>
      <w:r w:rsidRPr="000C69AF">
        <w:rPr>
          <w:lang w:val="fr-CH"/>
        </w:rPr>
        <w:t xml:space="preserve">Harmonisation des alarmes audibles à bord </w:t>
      </w:r>
      <w:r w:rsidR="00482080" w:rsidRPr="000C69AF">
        <w:rPr>
          <w:lang w:val="fr-CH"/>
        </w:rPr>
        <w:t xml:space="preserve">des navires </w:t>
      </w:r>
      <w:r w:rsidRPr="000C69AF">
        <w:rPr>
          <w:lang w:val="fr-CH"/>
        </w:rPr>
        <w:t>pour les équipements à ondes métriques, hectométriques et ceux à ondes hectométriques/décamétriques.</w:t>
      </w:r>
      <w:r w:rsidR="00254E9E" w:rsidRPr="000C69AF">
        <w:rPr>
          <w:lang w:val="fr-CH"/>
        </w:rPr>
        <w:t xml:space="preserve"> </w:t>
      </w:r>
      <w:r w:rsidR="00457DD5" w:rsidRPr="000C69AF">
        <w:rPr>
          <w:lang w:val="fr-CH"/>
        </w:rPr>
        <w:t>Modifications des procédures disponibles pour les opérations relatives aux appels d'essai et aux accusés de réception avec des équipements de classe M et modification des fonctionnalités des équipements de classe E.</w:t>
      </w:r>
      <w:r w:rsidR="00254E9E" w:rsidRPr="000C69AF">
        <w:rPr>
          <w:lang w:val="fr-CH"/>
        </w:rPr>
        <w:t xml:space="preserve"> </w:t>
      </w:r>
    </w:p>
    <w:p w:rsidR="003E2BAF" w:rsidRPr="000C69AF" w:rsidRDefault="00DF4F15" w:rsidP="00537A4C">
      <w:pPr>
        <w:spacing w:before="120" w:line="240" w:lineRule="auto"/>
        <w:rPr>
          <w:lang w:val="fr-CH"/>
        </w:rPr>
      </w:pPr>
      <w:r w:rsidRPr="000C69AF">
        <w:rPr>
          <w:lang w:val="fr-CH"/>
        </w:rPr>
        <w:t xml:space="preserve">Modification du traitement des accusés de réception </w:t>
      </w:r>
      <w:r w:rsidR="00482080" w:rsidRPr="000C69AF">
        <w:rPr>
          <w:lang w:val="fr-CH"/>
        </w:rPr>
        <w:t>dans le cadre</w:t>
      </w:r>
      <w:r w:rsidRPr="000C69AF">
        <w:rPr>
          <w:lang w:val="fr-CH"/>
        </w:rPr>
        <w:t xml:space="preserve"> des procédures automatisées.</w:t>
      </w:r>
    </w:p>
    <w:p w:rsidR="003E2BAF" w:rsidRPr="000C69AF" w:rsidRDefault="00254E9E" w:rsidP="00BF6D74">
      <w:pPr>
        <w:pStyle w:val="Normalaftertitle0"/>
        <w:keepNext/>
        <w:keepLines/>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t xml:space="preserve">Projet de révision de </w:t>
      </w:r>
      <w:r w:rsidR="00D727A9" w:rsidRPr="000C69AF">
        <w:rPr>
          <w:rFonts w:asciiTheme="minorHAnsi" w:hAnsiTheme="minorHAnsi"/>
          <w:u w:val="single"/>
          <w:lang w:val="fr-CH"/>
        </w:rPr>
        <w:t>la</w:t>
      </w:r>
      <w:r w:rsidRPr="000C69AF">
        <w:rPr>
          <w:rFonts w:asciiTheme="minorHAnsi" w:hAnsiTheme="minorHAnsi"/>
          <w:u w:val="single"/>
          <w:lang w:val="fr-CH"/>
        </w:rPr>
        <w:t xml:space="preserve"> Recommandation UIT</w:t>
      </w:r>
      <w:r w:rsidRPr="000C69AF">
        <w:rPr>
          <w:rFonts w:asciiTheme="minorHAnsi" w:hAnsiTheme="minorHAnsi"/>
          <w:u w:val="single"/>
          <w:lang w:val="fr-CH"/>
        </w:rPr>
        <w:noBreakHyphen/>
        <w:t>R M.2010-0</w:t>
      </w:r>
      <w:r w:rsidRPr="000C69AF">
        <w:rPr>
          <w:rFonts w:asciiTheme="minorHAnsi" w:hAnsiTheme="minorHAnsi" w:cstheme="minorHAnsi"/>
          <w:szCs w:val="24"/>
          <w:lang w:val="fr-CH"/>
        </w:rPr>
        <w:tab/>
        <w:t>Doc. 5/113</w:t>
      </w:r>
    </w:p>
    <w:p w:rsidR="003E2BAF" w:rsidRPr="000C69AF" w:rsidRDefault="00254E9E" w:rsidP="00BF6D74">
      <w:pPr>
        <w:pStyle w:val="Rectitle"/>
        <w:spacing w:before="240"/>
        <w:rPr>
          <w:lang w:val="fr-CH"/>
        </w:rPr>
      </w:pPr>
      <w:r w:rsidRPr="000C69AF">
        <w:rPr>
          <w:lang w:val="fr-CH"/>
        </w:rPr>
        <w:t xml:space="preserve">Caractéristiques du système numérique NAVDAT de diffusion d'informations relatives à la sécurité et à la sûreté en mer dans le sens côtière-navire </w:t>
      </w:r>
      <w:r w:rsidR="00482080" w:rsidRPr="000C69AF">
        <w:rPr>
          <w:lang w:val="fr-CH"/>
        </w:rPr>
        <w:br/>
      </w:r>
      <w:r w:rsidRPr="000C69AF">
        <w:rPr>
          <w:lang w:val="fr-CH"/>
        </w:rPr>
        <w:t>dans la bande des 500 kHz</w:t>
      </w:r>
    </w:p>
    <w:p w:rsidR="003E2BAF" w:rsidRPr="000C69AF" w:rsidRDefault="00D727A9" w:rsidP="00537A4C">
      <w:pPr>
        <w:pStyle w:val="Normalaftertitle0"/>
        <w:spacing w:before="120"/>
        <w:jc w:val="both"/>
        <w:rPr>
          <w:rFonts w:asciiTheme="minorHAnsi" w:hAnsiTheme="minorHAnsi"/>
          <w:lang w:val="fr-CH"/>
        </w:rPr>
      </w:pPr>
      <w:r w:rsidRPr="000C69AF">
        <w:rPr>
          <w:rFonts w:asciiTheme="minorHAnsi" w:hAnsiTheme="minorHAnsi"/>
          <w:lang w:val="fr-CH"/>
        </w:rPr>
        <w:t>Les modifications proposées visent à mettre à jour et à compléter les caractéristiques techniques du système NAVDAT en ondes hectométriques.</w:t>
      </w:r>
    </w:p>
    <w:p w:rsidR="003E2BAF" w:rsidRPr="000C69AF" w:rsidRDefault="00937888" w:rsidP="00537A4C">
      <w:pPr>
        <w:spacing w:before="80" w:line="240" w:lineRule="auto"/>
        <w:rPr>
          <w:lang w:val="fr-CH"/>
        </w:rPr>
      </w:pPr>
      <w:r w:rsidRPr="000C69AF">
        <w:rPr>
          <w:lang w:val="fr-CH"/>
        </w:rPr>
        <w:t>Les Annexes 1, 2 et 3 sont modifiées.</w:t>
      </w:r>
      <w:r w:rsidR="00254E9E" w:rsidRPr="000C69AF">
        <w:rPr>
          <w:lang w:val="fr-CH"/>
        </w:rPr>
        <w:t xml:space="preserve"> </w:t>
      </w:r>
    </w:p>
    <w:p w:rsidR="003E2BAF" w:rsidRPr="000C69AF" w:rsidRDefault="00482080" w:rsidP="00537A4C">
      <w:pPr>
        <w:spacing w:before="80" w:line="240" w:lineRule="auto"/>
        <w:rPr>
          <w:lang w:val="fr-CH"/>
        </w:rPr>
      </w:pPr>
      <w:r w:rsidRPr="000C69AF">
        <w:rPr>
          <w:lang w:val="fr-CH"/>
        </w:rPr>
        <w:t>L'Annexe 4 «</w:t>
      </w:r>
      <w:r w:rsidR="000804E6" w:rsidRPr="000C69AF">
        <w:rPr>
          <w:lang w:val="fr-CH"/>
        </w:rPr>
        <w:t>Structure de transmission</w:t>
      </w:r>
      <w:r w:rsidRPr="000C69AF">
        <w:rPr>
          <w:lang w:val="fr-CH"/>
        </w:rPr>
        <w:t>»</w:t>
      </w:r>
      <w:r w:rsidR="000804E6" w:rsidRPr="000C69AF">
        <w:rPr>
          <w:lang w:val="fr-CH"/>
        </w:rPr>
        <w:t xml:space="preserve"> est ajoutée.</w:t>
      </w:r>
    </w:p>
    <w:p w:rsidR="003E2BAF" w:rsidRPr="000C69AF" w:rsidRDefault="00BE4048" w:rsidP="00537A4C">
      <w:pPr>
        <w:spacing w:before="80" w:line="240" w:lineRule="auto"/>
        <w:rPr>
          <w:lang w:val="fr-CH"/>
        </w:rPr>
      </w:pPr>
      <w:r w:rsidRPr="000C69AF">
        <w:rPr>
          <w:lang w:val="fr-CH"/>
        </w:rPr>
        <w:t>L'Annexe</w:t>
      </w:r>
      <w:r w:rsidR="00740340" w:rsidRPr="000C69AF">
        <w:rPr>
          <w:lang w:val="fr-CH"/>
        </w:rPr>
        <w:t xml:space="preserve"> 5</w:t>
      </w:r>
      <w:r w:rsidR="00482080" w:rsidRPr="000C69AF">
        <w:rPr>
          <w:lang w:val="fr-CH"/>
        </w:rPr>
        <w:t xml:space="preserve"> «</w:t>
      </w:r>
      <w:r w:rsidRPr="000C69AF">
        <w:rPr>
          <w:lang w:val="fr-CH"/>
        </w:rPr>
        <w:t>Structure des fichiers de messages</w:t>
      </w:r>
      <w:r w:rsidR="00482080" w:rsidRPr="000C69AF">
        <w:rPr>
          <w:lang w:val="fr-CH"/>
        </w:rPr>
        <w:t>»</w:t>
      </w:r>
      <w:r w:rsidRPr="000C69AF">
        <w:rPr>
          <w:lang w:val="fr-CH"/>
        </w:rPr>
        <w:t xml:space="preserve"> est ajoutée.</w:t>
      </w:r>
      <w:r w:rsidR="00254E9E" w:rsidRPr="000C69AF">
        <w:rPr>
          <w:lang w:val="fr-CH"/>
        </w:rPr>
        <w:t xml:space="preserve"> </w:t>
      </w:r>
    </w:p>
    <w:p w:rsidR="003E2BAF" w:rsidRPr="000C69AF" w:rsidRDefault="003A6BCE" w:rsidP="00537A4C">
      <w:pPr>
        <w:spacing w:before="80" w:line="240" w:lineRule="auto"/>
        <w:rPr>
          <w:lang w:val="fr-CH"/>
        </w:rPr>
      </w:pPr>
      <w:r w:rsidRPr="000C69AF">
        <w:rPr>
          <w:lang w:val="fr-CH"/>
        </w:rPr>
        <w:t>L'Annexe 6 remplace l'ancienne Annexe 4 relative au mode réseau monofréquence.</w:t>
      </w:r>
    </w:p>
    <w:p w:rsidR="003E2BAF" w:rsidRPr="000C69AF" w:rsidRDefault="00254E9E" w:rsidP="00BF6D74">
      <w:pPr>
        <w:pStyle w:val="Normalaftertitle0"/>
        <w:keepNext/>
        <w:keepLines/>
        <w:tabs>
          <w:tab w:val="left" w:pos="8505"/>
        </w:tabs>
        <w:spacing w:before="240"/>
        <w:rPr>
          <w:rFonts w:asciiTheme="minorHAnsi" w:hAnsiTheme="minorHAnsi" w:cstheme="minorHAnsi"/>
          <w:szCs w:val="24"/>
          <w:lang w:val="fr-CH"/>
        </w:rPr>
      </w:pPr>
      <w:r w:rsidRPr="000C69AF">
        <w:rPr>
          <w:rFonts w:asciiTheme="minorHAnsi" w:hAnsiTheme="minorHAnsi"/>
          <w:u w:val="single"/>
          <w:lang w:val="fr-CH"/>
        </w:rPr>
        <w:t xml:space="preserve">Projet de révision de </w:t>
      </w:r>
      <w:r w:rsidR="00207243" w:rsidRPr="000C69AF">
        <w:rPr>
          <w:rFonts w:asciiTheme="minorHAnsi" w:hAnsiTheme="minorHAnsi"/>
          <w:u w:val="single"/>
          <w:lang w:val="fr-CH"/>
        </w:rPr>
        <w:t>la</w:t>
      </w:r>
      <w:r w:rsidRPr="000C69AF">
        <w:rPr>
          <w:rFonts w:asciiTheme="minorHAnsi" w:hAnsiTheme="minorHAnsi"/>
          <w:u w:val="single"/>
          <w:lang w:val="fr-CH"/>
        </w:rPr>
        <w:t xml:space="preserve"> Recommandation UIT</w:t>
      </w:r>
      <w:r w:rsidRPr="000C69AF">
        <w:rPr>
          <w:rFonts w:asciiTheme="minorHAnsi" w:hAnsiTheme="minorHAnsi"/>
          <w:u w:val="single"/>
          <w:lang w:val="fr-CH"/>
        </w:rPr>
        <w:noBreakHyphen/>
        <w:t>R M.1890-0</w:t>
      </w:r>
      <w:r w:rsidRPr="000C69AF">
        <w:rPr>
          <w:rFonts w:asciiTheme="minorHAnsi" w:hAnsiTheme="minorHAnsi" w:cstheme="minorHAnsi"/>
          <w:szCs w:val="24"/>
          <w:lang w:val="fr-CH"/>
        </w:rPr>
        <w:tab/>
        <w:t>Doc. 5/122</w:t>
      </w:r>
    </w:p>
    <w:p w:rsidR="003E2BAF" w:rsidRPr="000C69AF" w:rsidRDefault="00254E9E" w:rsidP="00BF6D74">
      <w:pPr>
        <w:pStyle w:val="Rectitle"/>
        <w:spacing w:before="240"/>
        <w:rPr>
          <w:lang w:val="fr-CH"/>
        </w:rPr>
      </w:pPr>
      <w:r w:rsidRPr="000C69AF">
        <w:rPr>
          <w:lang w:val="fr-CH"/>
        </w:rPr>
        <w:t>Systèmes de transport intelligent</w:t>
      </w:r>
      <w:r w:rsidR="00207243" w:rsidRPr="000C69AF">
        <w:rPr>
          <w:lang w:val="fr-CH"/>
        </w:rPr>
        <w:t>s</w:t>
      </w:r>
      <w:r w:rsidRPr="000C69AF">
        <w:rPr>
          <w:lang w:val="fr-CH"/>
        </w:rPr>
        <w:t xml:space="preserve"> – Lignes directrices et objectifs</w:t>
      </w:r>
    </w:p>
    <w:p w:rsidR="003E2BAF" w:rsidRPr="000C69AF" w:rsidRDefault="00207243" w:rsidP="00537A4C">
      <w:pPr>
        <w:pStyle w:val="Normalaftertitle0"/>
        <w:spacing w:before="120"/>
        <w:jc w:val="both"/>
        <w:rPr>
          <w:rFonts w:asciiTheme="minorHAnsi" w:hAnsiTheme="minorHAnsi"/>
          <w:lang w:val="fr-CH"/>
        </w:rPr>
      </w:pPr>
      <w:r w:rsidRPr="000C69AF">
        <w:rPr>
          <w:rFonts w:asciiTheme="minorHAnsi" w:hAnsiTheme="minorHAnsi"/>
          <w:lang w:val="fr-CH"/>
        </w:rPr>
        <w:t>Cette révision vise à ajouter des caractéristiques et des objectifs en matière de radiocommunications pour l'exploitation des systèmes</w:t>
      </w:r>
      <w:r w:rsidR="00D4308D" w:rsidRPr="000C69AF">
        <w:rPr>
          <w:rFonts w:asciiTheme="minorHAnsi" w:hAnsiTheme="minorHAnsi"/>
          <w:lang w:val="fr-CH"/>
        </w:rPr>
        <w:t xml:space="preserve"> </w:t>
      </w:r>
      <w:r w:rsidRPr="000C69AF">
        <w:rPr>
          <w:rFonts w:asciiTheme="minorHAnsi" w:hAnsiTheme="minorHAnsi"/>
          <w:lang w:val="fr-CH"/>
        </w:rPr>
        <w:t>de transport intelligents (ITS) évolués.</w:t>
      </w:r>
      <w:r w:rsidR="00254E9E" w:rsidRPr="000C69AF">
        <w:rPr>
          <w:rFonts w:asciiTheme="minorHAnsi" w:hAnsiTheme="minorHAnsi"/>
          <w:lang w:val="fr-CH"/>
        </w:rPr>
        <w:t xml:space="preserve"> </w:t>
      </w:r>
      <w:r w:rsidR="000C69AF">
        <w:rPr>
          <w:rFonts w:asciiTheme="minorHAnsi" w:hAnsiTheme="minorHAnsi"/>
          <w:lang w:val="fr-CH"/>
        </w:rPr>
        <w:t>En outre, d</w:t>
      </w:r>
      <w:r w:rsidR="00482080" w:rsidRPr="000C69AF">
        <w:rPr>
          <w:rFonts w:asciiTheme="minorHAnsi" w:hAnsiTheme="minorHAnsi"/>
          <w:lang w:val="fr-CH"/>
        </w:rPr>
        <w:t xml:space="preserve">es </w:t>
      </w:r>
      <w:r w:rsidR="00843FA2" w:rsidRPr="000C69AF">
        <w:rPr>
          <w:rFonts w:asciiTheme="minorHAnsi" w:hAnsiTheme="minorHAnsi"/>
          <w:lang w:val="fr-CH"/>
        </w:rPr>
        <w:t xml:space="preserve">modifications </w:t>
      </w:r>
      <w:r w:rsidR="00482080" w:rsidRPr="000C69AF">
        <w:rPr>
          <w:rFonts w:asciiTheme="minorHAnsi" w:hAnsiTheme="minorHAnsi"/>
          <w:lang w:val="fr-CH"/>
        </w:rPr>
        <w:t xml:space="preserve">ont été </w:t>
      </w:r>
      <w:r w:rsidR="00843FA2" w:rsidRPr="000C69AF">
        <w:rPr>
          <w:rFonts w:asciiTheme="minorHAnsi" w:hAnsiTheme="minorHAnsi"/>
          <w:lang w:val="fr-CH"/>
        </w:rPr>
        <w:t>apportées au titre et à la structure de la Recommandation afin de se conformer au format obligatoire à utiliser pour les Recommandations nouvelles ou révisées.</w:t>
      </w:r>
    </w:p>
    <w:p w:rsidR="003E2BAF" w:rsidRPr="000C69AF" w:rsidRDefault="00C44A49" w:rsidP="00534176">
      <w:pPr>
        <w:spacing w:line="240" w:lineRule="auto"/>
        <w:rPr>
          <w:lang w:val="fr-CH"/>
        </w:rPr>
      </w:pPr>
    </w:p>
    <w:p w:rsidR="003E2BAF" w:rsidRPr="000C69AF" w:rsidRDefault="00254E9E" w:rsidP="00534176">
      <w:pPr>
        <w:spacing w:line="240" w:lineRule="auto"/>
        <w:jc w:val="center"/>
        <w:rPr>
          <w:lang w:val="fr-CH"/>
        </w:rPr>
      </w:pPr>
      <w:r w:rsidRPr="000C69AF">
        <w:rPr>
          <w:lang w:val="fr-CH"/>
        </w:rPr>
        <w:t>______________</w:t>
      </w:r>
    </w:p>
    <w:sectPr w:rsidR="003E2BAF" w:rsidRPr="000C69AF" w:rsidSect="003A7CD5">
      <w:headerReference w:type="even" r:id="rId12"/>
      <w:headerReference w:type="default" r:id="rId13"/>
      <w:headerReference w:type="first" r:id="rId14"/>
      <w:footerReference w:type="first" r:id="rId15"/>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633" w:rsidRDefault="00254E9E">
      <w:pPr>
        <w:spacing w:before="0" w:line="240" w:lineRule="auto"/>
      </w:pPr>
      <w:r>
        <w:separator/>
      </w:r>
    </w:p>
  </w:endnote>
  <w:endnote w:type="continuationSeparator" w:id="0">
    <w:p w:rsidR="004A3633" w:rsidRDefault="00254E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254E9E" w:rsidP="005E42F8">
    <w:pPr>
      <w:pStyle w:val="FirstFooter"/>
      <w:spacing w:line="240" w:lineRule="auto"/>
      <w:ind w:left="-397" w:right="-397"/>
      <w:jc w:val="center"/>
      <w:rPr>
        <w:sz w:val="18"/>
        <w:szCs w:val="18"/>
        <w:lang w:val="fr-CH"/>
      </w:rPr>
    </w:pPr>
    <w:r w:rsidRPr="001C6518">
      <w:rPr>
        <w:sz w:val="18"/>
        <w:szCs w:val="18"/>
        <w:lang w:val="fr-CH"/>
      </w:rPr>
      <w:t>Union internationale des télécommunications</w:t>
    </w:r>
    <w:r w:rsidRPr="000E443D">
      <w:rPr>
        <w:sz w:val="18"/>
        <w:szCs w:val="18"/>
        <w:lang w:val="fr-CH"/>
      </w:rPr>
      <w:t xml:space="preserve"> • </w:t>
    </w:r>
    <w:r w:rsidRPr="001C6518">
      <w:rPr>
        <w:sz w:val="18"/>
        <w:szCs w:val="18"/>
        <w:lang w:val="fr-CH"/>
      </w:rPr>
      <w:t>Place des Nations</w:t>
    </w:r>
    <w:r w:rsidRPr="000E443D">
      <w:rPr>
        <w:sz w:val="18"/>
        <w:szCs w:val="18"/>
        <w:lang w:val="fr-CH"/>
      </w:rPr>
      <w:t xml:space="preserve"> • </w:t>
    </w:r>
    <w:r w:rsidRPr="001C6518">
      <w:rPr>
        <w:sz w:val="18"/>
        <w:szCs w:val="18"/>
        <w:lang w:val="fr-CH"/>
      </w:rPr>
      <w:t>CH</w:t>
    </w:r>
    <w:r w:rsidRPr="001C6518">
      <w:rPr>
        <w:sz w:val="18"/>
        <w:szCs w:val="18"/>
        <w:lang w:val="fr-CH"/>
      </w:rPr>
      <w:noBreakHyphen/>
      <w:t>1211 Genève 20</w:t>
    </w:r>
    <w:r w:rsidRPr="000E443D">
      <w:rPr>
        <w:sz w:val="18"/>
        <w:szCs w:val="18"/>
        <w:lang w:val="fr-CH"/>
      </w:rPr>
      <w:t xml:space="preserve"> • </w:t>
    </w:r>
    <w:r w:rsidRPr="001C6518">
      <w:rPr>
        <w:sz w:val="18"/>
        <w:szCs w:val="18"/>
        <w:lang w:val="fr-CH"/>
      </w:rPr>
      <w:t>Suisse</w:t>
    </w:r>
    <w:r w:rsidRPr="000E443D">
      <w:rPr>
        <w:sz w:val="18"/>
        <w:szCs w:val="18"/>
        <w:lang w:val="fr-CH"/>
      </w:rPr>
      <w:t xml:space="preserve"> </w:t>
    </w:r>
    <w:r w:rsidRPr="000E443D">
      <w:rPr>
        <w:sz w:val="18"/>
        <w:szCs w:val="18"/>
        <w:lang w:val="fr-CH"/>
      </w:rPr>
      <w:br/>
    </w:r>
    <w:r w:rsidRPr="001C6518">
      <w:rPr>
        <w:sz w:val="18"/>
        <w:szCs w:val="18"/>
        <w:lang w:val="fr-CH"/>
      </w:rPr>
      <w:t>Tél.:</w:t>
    </w:r>
    <w:r w:rsidRPr="000E443D">
      <w:rPr>
        <w:sz w:val="18"/>
        <w:szCs w:val="18"/>
        <w:lang w:val="fr-CH"/>
      </w:rPr>
      <w:t xml:space="preserve"> +41 22 730 5111 • </w:t>
    </w:r>
    <w:r w:rsidRPr="001C6518">
      <w:rPr>
        <w:sz w:val="18"/>
        <w:szCs w:val="18"/>
        <w:lang w:val="fr-CH"/>
      </w:rPr>
      <w:t>Fax:</w:t>
    </w:r>
    <w:r w:rsidRPr="000E443D">
      <w:rPr>
        <w:sz w:val="18"/>
        <w:szCs w:val="18"/>
        <w:lang w:val="fr-CH"/>
      </w:rPr>
      <w:t xml:space="preserve"> +41 22 733 7256 • </w:t>
    </w:r>
    <w:r w:rsidRPr="001C6518">
      <w:rPr>
        <w:sz w:val="18"/>
        <w:szCs w:val="18"/>
        <w:lang w:val="fr-CH"/>
      </w:rPr>
      <w:t>Courriel:</w:t>
    </w:r>
    <w:r w:rsidRPr="000E443D">
      <w:rPr>
        <w:sz w:val="18"/>
        <w:szCs w:val="18"/>
        <w:lang w:val="fr-CH"/>
      </w:rPr>
      <w:t xml:space="preserve"> </w:t>
    </w:r>
    <w:hyperlink r:id="rId1" w:history="1">
      <w:r w:rsidRPr="001C6518">
        <w:rPr>
          <w:rStyle w:val="Hyperlink"/>
          <w:sz w:val="18"/>
          <w:szCs w:val="18"/>
          <w:lang w:val="fr-CH"/>
        </w:rPr>
        <w:t>itumail@itu.int</w:t>
      </w:r>
    </w:hyperlink>
    <w:r w:rsidRPr="000E443D">
      <w:rPr>
        <w:sz w:val="18"/>
        <w:szCs w:val="18"/>
        <w:lang w:val="fr-CH"/>
      </w:rPr>
      <w:t xml:space="preserve"> • </w:t>
    </w:r>
    <w:hyperlink r:id="rId2" w:history="1">
      <w:r w:rsidRPr="001C6518">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633" w:rsidRDefault="00254E9E">
      <w:pPr>
        <w:spacing w:before="0" w:line="240" w:lineRule="auto"/>
      </w:pPr>
      <w:r>
        <w:separator/>
      </w:r>
    </w:p>
  </w:footnote>
  <w:footnote w:type="continuationSeparator" w:id="0">
    <w:p w:rsidR="004A3633" w:rsidRDefault="00254E9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254E9E"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254E9E"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C44A49">
      <w:rPr>
        <w:noProof/>
        <w:sz w:val="18"/>
        <w:szCs w:val="16"/>
      </w:rPr>
      <w:t>- 5 -</w:t>
    </w:r>
    <w:r w:rsidRPr="003F2F34">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32DF5" w:rsidTr="00A14242">
      <w:tc>
        <w:tcPr>
          <w:tcW w:w="9923" w:type="dxa"/>
        </w:tcPr>
        <w:p w:rsidR="000E443D" w:rsidRDefault="00254E9E" w:rsidP="000E443D">
          <w:pPr>
            <w:pStyle w:val="Header"/>
            <w:tabs>
              <w:tab w:val="clear" w:pos="794"/>
              <w:tab w:val="clear" w:pos="4820"/>
            </w:tabs>
            <w:spacing w:line="360" w:lineRule="auto"/>
            <w:jc w:val="center"/>
          </w:pPr>
          <w:r>
            <w:rPr>
              <w:b/>
              <w:bCs/>
              <w:noProof/>
              <w:lang w:val="en-GB" w:eastAsia="zh-CN"/>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89488" name="Picture 1"/>
                        <pic:cNvPicPr>
                          <a:picLocks noChangeAspect="1" noChangeArrowheads="1"/>
                        </pic:cNvPicPr>
                      </pic:nvPicPr>
                      <pic:blipFill>
                        <a:blip r:embed="rId1"/>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C44A49"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442EF27C">
      <w:start w:val="1"/>
      <w:numFmt w:val="decimal"/>
      <w:lvlText w:val="%1."/>
      <w:lvlJc w:val="left"/>
      <w:pPr>
        <w:tabs>
          <w:tab w:val="num" w:pos="1130"/>
        </w:tabs>
        <w:ind w:left="1130" w:hanging="360"/>
      </w:pPr>
      <w:rPr>
        <w:rFonts w:cs="Times New Roman"/>
      </w:rPr>
    </w:lvl>
    <w:lvl w:ilvl="1" w:tplc="27CC243E">
      <w:start w:val="1"/>
      <w:numFmt w:val="lowerLetter"/>
      <w:lvlText w:val="%2."/>
      <w:lvlJc w:val="left"/>
      <w:pPr>
        <w:tabs>
          <w:tab w:val="num" w:pos="1850"/>
        </w:tabs>
        <w:ind w:left="1850" w:hanging="360"/>
      </w:pPr>
      <w:rPr>
        <w:rFonts w:cs="Times New Roman"/>
      </w:rPr>
    </w:lvl>
    <w:lvl w:ilvl="2" w:tplc="C6CE5A30">
      <w:start w:val="1"/>
      <w:numFmt w:val="lowerRoman"/>
      <w:lvlText w:val="%3."/>
      <w:lvlJc w:val="right"/>
      <w:pPr>
        <w:tabs>
          <w:tab w:val="num" w:pos="2570"/>
        </w:tabs>
        <w:ind w:left="2570" w:hanging="180"/>
      </w:pPr>
      <w:rPr>
        <w:rFonts w:cs="Times New Roman"/>
      </w:rPr>
    </w:lvl>
    <w:lvl w:ilvl="3" w:tplc="7624E1D0">
      <w:start w:val="1"/>
      <w:numFmt w:val="decimal"/>
      <w:lvlText w:val="%4."/>
      <w:lvlJc w:val="left"/>
      <w:pPr>
        <w:tabs>
          <w:tab w:val="num" w:pos="3290"/>
        </w:tabs>
        <w:ind w:left="3290" w:hanging="360"/>
      </w:pPr>
      <w:rPr>
        <w:rFonts w:cs="Times New Roman"/>
      </w:rPr>
    </w:lvl>
    <w:lvl w:ilvl="4" w:tplc="8AF20914">
      <w:start w:val="1"/>
      <w:numFmt w:val="lowerLetter"/>
      <w:lvlText w:val="%5."/>
      <w:lvlJc w:val="left"/>
      <w:pPr>
        <w:tabs>
          <w:tab w:val="num" w:pos="4010"/>
        </w:tabs>
        <w:ind w:left="4010" w:hanging="360"/>
      </w:pPr>
      <w:rPr>
        <w:rFonts w:cs="Times New Roman"/>
      </w:rPr>
    </w:lvl>
    <w:lvl w:ilvl="5" w:tplc="C64E21EA">
      <w:start w:val="1"/>
      <w:numFmt w:val="lowerRoman"/>
      <w:lvlText w:val="%6."/>
      <w:lvlJc w:val="right"/>
      <w:pPr>
        <w:tabs>
          <w:tab w:val="num" w:pos="4730"/>
        </w:tabs>
        <w:ind w:left="4730" w:hanging="180"/>
      </w:pPr>
      <w:rPr>
        <w:rFonts w:cs="Times New Roman"/>
      </w:rPr>
    </w:lvl>
    <w:lvl w:ilvl="6" w:tplc="830CF976">
      <w:start w:val="1"/>
      <w:numFmt w:val="decimal"/>
      <w:lvlText w:val="%7."/>
      <w:lvlJc w:val="left"/>
      <w:pPr>
        <w:tabs>
          <w:tab w:val="num" w:pos="5450"/>
        </w:tabs>
        <w:ind w:left="5450" w:hanging="360"/>
      </w:pPr>
      <w:rPr>
        <w:rFonts w:cs="Times New Roman"/>
      </w:rPr>
    </w:lvl>
    <w:lvl w:ilvl="7" w:tplc="B6CAE5C2">
      <w:start w:val="1"/>
      <w:numFmt w:val="lowerLetter"/>
      <w:lvlText w:val="%8."/>
      <w:lvlJc w:val="left"/>
      <w:pPr>
        <w:tabs>
          <w:tab w:val="num" w:pos="6170"/>
        </w:tabs>
        <w:ind w:left="6170" w:hanging="360"/>
      </w:pPr>
      <w:rPr>
        <w:rFonts w:cs="Times New Roman"/>
      </w:rPr>
    </w:lvl>
    <w:lvl w:ilvl="8" w:tplc="EA845A92">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5FD6FC50">
      <w:start w:val="3"/>
      <w:numFmt w:val="decimal"/>
      <w:lvlText w:val="%1"/>
      <w:lvlJc w:val="left"/>
      <w:pPr>
        <w:tabs>
          <w:tab w:val="num" w:pos="644"/>
        </w:tabs>
        <w:ind w:left="644" w:hanging="360"/>
      </w:pPr>
      <w:rPr>
        <w:rFonts w:hint="default"/>
      </w:rPr>
    </w:lvl>
    <w:lvl w:ilvl="1" w:tplc="46F0E2B8" w:tentative="1">
      <w:start w:val="1"/>
      <w:numFmt w:val="lowerLetter"/>
      <w:lvlText w:val="%2."/>
      <w:lvlJc w:val="left"/>
      <w:pPr>
        <w:tabs>
          <w:tab w:val="num" w:pos="1364"/>
        </w:tabs>
        <w:ind w:left="1364" w:hanging="360"/>
      </w:pPr>
    </w:lvl>
    <w:lvl w:ilvl="2" w:tplc="50EE0C74" w:tentative="1">
      <w:start w:val="1"/>
      <w:numFmt w:val="lowerRoman"/>
      <w:lvlText w:val="%3."/>
      <w:lvlJc w:val="right"/>
      <w:pPr>
        <w:tabs>
          <w:tab w:val="num" w:pos="2084"/>
        </w:tabs>
        <w:ind w:left="2084" w:hanging="180"/>
      </w:pPr>
    </w:lvl>
    <w:lvl w:ilvl="3" w:tplc="F7FE5F5C" w:tentative="1">
      <w:start w:val="1"/>
      <w:numFmt w:val="decimal"/>
      <w:lvlText w:val="%4."/>
      <w:lvlJc w:val="left"/>
      <w:pPr>
        <w:tabs>
          <w:tab w:val="num" w:pos="2804"/>
        </w:tabs>
        <w:ind w:left="2804" w:hanging="360"/>
      </w:pPr>
    </w:lvl>
    <w:lvl w:ilvl="4" w:tplc="DA6CF07C" w:tentative="1">
      <w:start w:val="1"/>
      <w:numFmt w:val="lowerLetter"/>
      <w:lvlText w:val="%5."/>
      <w:lvlJc w:val="left"/>
      <w:pPr>
        <w:tabs>
          <w:tab w:val="num" w:pos="3524"/>
        </w:tabs>
        <w:ind w:left="3524" w:hanging="360"/>
      </w:pPr>
    </w:lvl>
    <w:lvl w:ilvl="5" w:tplc="55FC0996" w:tentative="1">
      <w:start w:val="1"/>
      <w:numFmt w:val="lowerRoman"/>
      <w:lvlText w:val="%6."/>
      <w:lvlJc w:val="right"/>
      <w:pPr>
        <w:tabs>
          <w:tab w:val="num" w:pos="4244"/>
        </w:tabs>
        <w:ind w:left="4244" w:hanging="180"/>
      </w:pPr>
    </w:lvl>
    <w:lvl w:ilvl="6" w:tplc="3B6268E2" w:tentative="1">
      <w:start w:val="1"/>
      <w:numFmt w:val="decimal"/>
      <w:lvlText w:val="%7."/>
      <w:lvlJc w:val="left"/>
      <w:pPr>
        <w:tabs>
          <w:tab w:val="num" w:pos="4964"/>
        </w:tabs>
        <w:ind w:left="4964" w:hanging="360"/>
      </w:pPr>
    </w:lvl>
    <w:lvl w:ilvl="7" w:tplc="001699DA" w:tentative="1">
      <w:start w:val="1"/>
      <w:numFmt w:val="lowerLetter"/>
      <w:lvlText w:val="%8."/>
      <w:lvlJc w:val="left"/>
      <w:pPr>
        <w:tabs>
          <w:tab w:val="num" w:pos="5684"/>
        </w:tabs>
        <w:ind w:left="5684" w:hanging="360"/>
      </w:pPr>
    </w:lvl>
    <w:lvl w:ilvl="8" w:tplc="BFB2C8F0"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32DF5"/>
    <w:rsid w:val="000804E6"/>
    <w:rsid w:val="000A54DC"/>
    <w:rsid w:val="000C69AF"/>
    <w:rsid w:val="001C6518"/>
    <w:rsid w:val="001E6B69"/>
    <w:rsid w:val="00207243"/>
    <w:rsid w:val="00254E9E"/>
    <w:rsid w:val="003568AC"/>
    <w:rsid w:val="003A6BCE"/>
    <w:rsid w:val="003A7CD5"/>
    <w:rsid w:val="00457DD5"/>
    <w:rsid w:val="00482080"/>
    <w:rsid w:val="004A00C8"/>
    <w:rsid w:val="004A3633"/>
    <w:rsid w:val="004E3450"/>
    <w:rsid w:val="00534176"/>
    <w:rsid w:val="00537A4C"/>
    <w:rsid w:val="00622E5E"/>
    <w:rsid w:val="00632DF5"/>
    <w:rsid w:val="006A23DC"/>
    <w:rsid w:val="006A567D"/>
    <w:rsid w:val="006B34EA"/>
    <w:rsid w:val="00740340"/>
    <w:rsid w:val="007526B8"/>
    <w:rsid w:val="008161B6"/>
    <w:rsid w:val="00836383"/>
    <w:rsid w:val="00843FA2"/>
    <w:rsid w:val="008643EB"/>
    <w:rsid w:val="00895D6F"/>
    <w:rsid w:val="0090136B"/>
    <w:rsid w:val="00937888"/>
    <w:rsid w:val="00A20BF9"/>
    <w:rsid w:val="00A4567C"/>
    <w:rsid w:val="00A921CB"/>
    <w:rsid w:val="00AC40D2"/>
    <w:rsid w:val="00B90871"/>
    <w:rsid w:val="00BE4048"/>
    <w:rsid w:val="00BF6D74"/>
    <w:rsid w:val="00C35637"/>
    <w:rsid w:val="00C44A49"/>
    <w:rsid w:val="00C858B3"/>
    <w:rsid w:val="00CF0A51"/>
    <w:rsid w:val="00D103F2"/>
    <w:rsid w:val="00D2415E"/>
    <w:rsid w:val="00D4308D"/>
    <w:rsid w:val="00D63A63"/>
    <w:rsid w:val="00D727A9"/>
    <w:rsid w:val="00DC64C2"/>
    <w:rsid w:val="00DF4F15"/>
    <w:rsid w:val="00E03C4C"/>
    <w:rsid w:val="00EA40D3"/>
    <w:rsid w:val="00ED0372"/>
    <w:rsid w:val="00FB33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56D395-2122-42C5-BA48-84C2BF77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 &amp; title"/>
    <w:basedOn w:val="Normal"/>
    <w:next w:val="Normalaftertitle"/>
    <w:rsid w:val="00641596"/>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
    <w:rsid w:val="00641596"/>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641596"/>
    <w:rPr>
      <w:rFonts w:ascii="Times New Roman" w:hAnsi="Times New Roman" w:cs="Times New Roman"/>
      <w:sz w:val="24"/>
      <w:lang w:val="en-GB" w:eastAsia="en-US"/>
    </w:rPr>
  </w:style>
  <w:style w:type="paragraph" w:customStyle="1" w:styleId="Reasons">
    <w:name w:val="Reasons"/>
    <w:basedOn w:val="Normal"/>
    <w:qFormat/>
    <w:rsid w:val="003E2BA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4820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B836-734F-4EEB-90BF-7B2B66A7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537</TotalTime>
  <Pages>5</Pages>
  <Words>1607</Words>
  <Characters>9987</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ITU</cp:lastModifiedBy>
  <cp:revision>18</cp:revision>
  <cp:lastPrinted>2018-11-29T08:39:00Z</cp:lastPrinted>
  <dcterms:created xsi:type="dcterms:W3CDTF">2018-11-27T12:33:00Z</dcterms:created>
  <dcterms:modified xsi:type="dcterms:W3CDTF">2018-11-29T09:52:00Z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QPubMacros.dot</vt:lpwstr>
  </property>
  <property fmtid="{D5CDD505-2E9C-101B-9397-08002B2CF9AE}" pid="3" name="docnum">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