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01121E">
            <w:pPr>
              <w:spacing w:before="0"/>
              <w:jc w:val="left"/>
              <w:rPr>
                <w:sz w:val="28"/>
                <w:szCs w:val="28"/>
                <w:lang w:val="fr-CH"/>
              </w:rPr>
            </w:pPr>
            <w:r w:rsidRPr="00AA781A">
              <w:rPr>
                <w:szCs w:val="24"/>
                <w:lang w:val="fr-CH"/>
              </w:rPr>
              <w:t>Circulaire administrative</w:t>
            </w:r>
          </w:p>
          <w:p w:rsidR="00E53DCE" w:rsidRPr="00773F7E" w:rsidRDefault="00AA781A" w:rsidP="001432D5">
            <w:pPr>
              <w:spacing w:before="0"/>
              <w:jc w:val="left"/>
              <w:rPr>
                <w:b/>
                <w:bCs/>
                <w:sz w:val="28"/>
                <w:szCs w:val="28"/>
                <w:lang w:val="fr-CH"/>
              </w:rPr>
            </w:pPr>
            <w:proofErr w:type="spellStart"/>
            <w:r>
              <w:rPr>
                <w:b/>
                <w:bCs/>
                <w:szCs w:val="24"/>
                <w:lang w:val="fr-CH"/>
              </w:rPr>
              <w:t>CACE</w:t>
            </w:r>
            <w:proofErr w:type="spellEnd"/>
            <w:r>
              <w:rPr>
                <w:b/>
                <w:bCs/>
                <w:szCs w:val="24"/>
                <w:lang w:val="fr-CH"/>
              </w:rPr>
              <w:t>/</w:t>
            </w:r>
            <w:r w:rsidR="001432D5">
              <w:rPr>
                <w:b/>
                <w:bCs/>
                <w:szCs w:val="24"/>
                <w:lang w:val="fr-CH"/>
              </w:rPr>
              <w:t>878</w:t>
            </w:r>
          </w:p>
        </w:tc>
        <w:tc>
          <w:tcPr>
            <w:tcW w:w="2835" w:type="dxa"/>
            <w:shd w:val="clear" w:color="auto" w:fill="auto"/>
          </w:tcPr>
          <w:p w:rsidR="00E53DCE" w:rsidRPr="00773F7E" w:rsidRDefault="00AA781A" w:rsidP="006160CB">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1DDF32C04D474E83BFEC9CA2BE3FFB3B"/>
                </w:placeholder>
                <w:date w:fullDate="2018-11-28T00:00:00Z">
                  <w:dateFormat w:val="d MMMM yyyy"/>
                  <w:lid w:val="fr-FR"/>
                  <w:storeMappedDataAs w:val="date"/>
                  <w:calendar w:val="gregorian"/>
                </w:date>
              </w:sdtPr>
              <w:sdtEndPr/>
              <w:sdtContent>
                <w:r w:rsidR="00D47E8E">
                  <w:rPr>
                    <w:rFonts w:cs="Arial"/>
                    <w:szCs w:val="24"/>
                    <w:lang w:val="fr-FR"/>
                  </w:rPr>
                  <w:t>28 novembre 2018</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962F88" w:rsidTr="004228FA">
        <w:trPr>
          <w:jc w:val="center"/>
        </w:trPr>
        <w:tc>
          <w:tcPr>
            <w:tcW w:w="9889" w:type="dxa"/>
            <w:gridSpan w:val="3"/>
            <w:shd w:val="clear" w:color="auto" w:fill="auto"/>
          </w:tcPr>
          <w:p w:rsidR="00E53DCE" w:rsidRPr="002569F7" w:rsidRDefault="0001121E" w:rsidP="00882BB5">
            <w:pPr>
              <w:spacing w:before="0"/>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Pr="005622AB">
              <w:rPr>
                <w:b/>
                <w:lang w:val="fr-CH"/>
              </w:rPr>
              <w:t>, aux Membres du Secteur des radiocommunications, aux Associés de l'</w:t>
            </w:r>
            <w:proofErr w:type="spellStart"/>
            <w:r w:rsidRPr="005622AB">
              <w:rPr>
                <w:b/>
                <w:lang w:val="fr-CH"/>
              </w:rPr>
              <w:t>UIT</w:t>
            </w:r>
            <w:proofErr w:type="spellEnd"/>
            <w:r w:rsidRPr="005622AB">
              <w:rPr>
                <w:b/>
                <w:lang w:val="fr-CH"/>
              </w:rPr>
              <w:t>-R participa</w:t>
            </w:r>
            <w:r>
              <w:rPr>
                <w:b/>
                <w:lang w:val="fr-CH"/>
              </w:rPr>
              <w:t xml:space="preserve">nt aux travaux de la Commission </w:t>
            </w:r>
            <w:r w:rsidRPr="005622AB">
              <w:rPr>
                <w:b/>
                <w:lang w:val="fr-CH"/>
              </w:rPr>
              <w:t>d'études</w:t>
            </w:r>
            <w:r>
              <w:rPr>
                <w:b/>
                <w:lang w:val="fr-CH"/>
              </w:rPr>
              <w:t> </w:t>
            </w:r>
            <w:r w:rsidR="00D47E8E">
              <w:rPr>
                <w:b/>
                <w:lang w:val="fr-CH"/>
              </w:rPr>
              <w:t>5</w:t>
            </w:r>
            <w:r w:rsidRPr="005622AB">
              <w:rPr>
                <w:b/>
                <w:lang w:val="fr-CH"/>
              </w:rPr>
              <w:t xml:space="preserve"> des radiocommunications et aux </w:t>
            </w:r>
            <w:r>
              <w:rPr>
                <w:b/>
                <w:lang w:val="fr-CH"/>
              </w:rPr>
              <w:t>é</w:t>
            </w:r>
            <w:r w:rsidRPr="005622AB">
              <w:rPr>
                <w:b/>
                <w:lang w:val="fr-CH"/>
              </w:rPr>
              <w:t>tablissements universitaire</w:t>
            </w:r>
            <w:r>
              <w:rPr>
                <w:b/>
                <w:lang w:val="fr-CH"/>
              </w:rPr>
              <w:t>s</w:t>
            </w:r>
            <w:r w:rsidRPr="0022079C">
              <w:rPr>
                <w:b/>
                <w:lang w:val="fr-CH"/>
              </w:rPr>
              <w:t xml:space="preserve"> </w:t>
            </w:r>
            <w:r w:rsidRPr="005622AB">
              <w:rPr>
                <w:b/>
                <w:lang w:val="fr-CH"/>
              </w:rPr>
              <w:t>participa</w:t>
            </w:r>
            <w:r>
              <w:rPr>
                <w:b/>
                <w:lang w:val="fr-CH"/>
              </w:rPr>
              <w:t>nt aux travaux</w:t>
            </w:r>
            <w:r w:rsidRPr="005622AB">
              <w:rPr>
                <w:b/>
                <w:lang w:val="fr-CH"/>
              </w:rPr>
              <w:t xml:space="preserve"> de l'</w:t>
            </w:r>
            <w:proofErr w:type="spellStart"/>
            <w:r w:rsidRPr="005622AB">
              <w:rPr>
                <w:b/>
                <w:lang w:val="fr-CH"/>
              </w:rPr>
              <w:t>UIT</w:t>
            </w:r>
            <w:proofErr w:type="spellEnd"/>
          </w:p>
          <w:p w:rsidR="00E53DCE" w:rsidRPr="00773F7E" w:rsidRDefault="00E53DCE" w:rsidP="006160CB">
            <w:pPr>
              <w:spacing w:before="0"/>
              <w:jc w:val="left"/>
              <w:rPr>
                <w:b/>
                <w:bCs/>
                <w:szCs w:val="24"/>
                <w:lang w:val="fr-CH"/>
              </w:rPr>
            </w:pPr>
          </w:p>
        </w:tc>
      </w:tr>
      <w:tr w:rsidR="00E53DCE" w:rsidRPr="00962F88"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62F88"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62F88"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01121E" w:rsidRPr="005622AB" w:rsidRDefault="0001121E" w:rsidP="00D16B01">
            <w:pPr>
              <w:tabs>
                <w:tab w:val="clear" w:pos="794"/>
                <w:tab w:val="clear" w:pos="1191"/>
                <w:tab w:val="clear" w:pos="1588"/>
                <w:tab w:val="clear" w:pos="1985"/>
              </w:tabs>
              <w:spacing w:before="0"/>
              <w:rPr>
                <w:b/>
                <w:bCs/>
                <w:lang w:val="fr-CH"/>
              </w:rPr>
            </w:pPr>
            <w:r w:rsidRPr="005622AB">
              <w:rPr>
                <w:b/>
                <w:bCs/>
                <w:lang w:val="fr-CH"/>
              </w:rPr>
              <w:t xml:space="preserve">Commission d'études </w:t>
            </w:r>
            <w:r w:rsidR="00D16B01">
              <w:rPr>
                <w:b/>
                <w:bCs/>
                <w:lang w:val="fr-CH"/>
              </w:rPr>
              <w:t>5</w:t>
            </w:r>
            <w:r w:rsidRPr="005622AB">
              <w:rPr>
                <w:b/>
                <w:bCs/>
                <w:lang w:val="fr-CH"/>
              </w:rPr>
              <w:t xml:space="preserve"> des radiocommunications</w:t>
            </w:r>
            <w:r>
              <w:rPr>
                <w:b/>
                <w:bCs/>
                <w:lang w:val="fr-CH"/>
              </w:rPr>
              <w:t xml:space="preserve"> (</w:t>
            </w:r>
            <w:r w:rsidR="009351FA">
              <w:rPr>
                <w:b/>
                <w:bCs/>
                <w:lang w:val="fr-FR"/>
              </w:rPr>
              <w:t>Services de Terre</w:t>
            </w:r>
            <w:r>
              <w:rPr>
                <w:b/>
                <w:bCs/>
                <w:lang w:val="fr-CH"/>
              </w:rPr>
              <w:t>)</w:t>
            </w:r>
          </w:p>
          <w:p w:rsidR="00E53DCE" w:rsidRPr="0001121E" w:rsidRDefault="0001121E" w:rsidP="0097544D">
            <w:pPr>
              <w:tabs>
                <w:tab w:val="clear" w:pos="1588"/>
                <w:tab w:val="left" w:pos="1560"/>
              </w:tabs>
              <w:spacing w:beforeLines="50" w:before="120"/>
              <w:rPr>
                <w:b/>
                <w:bCs/>
                <w:szCs w:val="24"/>
                <w:lang w:val="fr-CH"/>
              </w:rPr>
            </w:pPr>
            <w:r w:rsidRPr="00416FE8">
              <w:rPr>
                <w:b/>
                <w:bCs/>
                <w:lang w:val="fr-CH"/>
              </w:rPr>
              <w:t>–</w:t>
            </w:r>
            <w:r w:rsidRPr="00416FE8">
              <w:rPr>
                <w:b/>
                <w:bCs/>
                <w:lang w:val="fr-CH"/>
              </w:rPr>
              <w:tab/>
            </w:r>
            <w:r w:rsidRPr="00CB3366">
              <w:rPr>
                <w:b/>
                <w:bCs/>
                <w:lang w:val="fr-CH"/>
              </w:rPr>
              <w:t xml:space="preserve">Proposition </w:t>
            </w:r>
            <w:r>
              <w:rPr>
                <w:b/>
                <w:bCs/>
                <w:lang w:val="fr-CH"/>
              </w:rPr>
              <w:t xml:space="preserve">d'approbation </w:t>
            </w:r>
            <w:r w:rsidR="009351FA">
              <w:rPr>
                <w:b/>
                <w:bCs/>
                <w:lang w:val="fr-CH"/>
              </w:rPr>
              <w:t xml:space="preserve">d'un projet de nouvelle Question </w:t>
            </w:r>
            <w:proofErr w:type="spellStart"/>
            <w:r w:rsidR="009351FA">
              <w:rPr>
                <w:b/>
                <w:bCs/>
                <w:lang w:val="fr-CH"/>
              </w:rPr>
              <w:t>UIT</w:t>
            </w:r>
            <w:proofErr w:type="spellEnd"/>
            <w:r w:rsidR="009351FA">
              <w:rPr>
                <w:b/>
                <w:bCs/>
                <w:lang w:val="fr-CH"/>
              </w:rPr>
              <w:t>-R</w:t>
            </w:r>
          </w:p>
        </w:tc>
      </w:tr>
      <w:tr w:rsidR="00E53DCE" w:rsidRPr="00962F88" w:rsidTr="004228FA">
        <w:trPr>
          <w:jc w:val="center"/>
        </w:trPr>
        <w:tc>
          <w:tcPr>
            <w:tcW w:w="1526" w:type="dxa"/>
            <w:shd w:val="clear" w:color="auto" w:fill="auto"/>
          </w:tcPr>
          <w:p w:rsidR="00E53DCE" w:rsidRPr="0001121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01121E" w:rsidRDefault="00E53DCE" w:rsidP="006160CB">
            <w:pPr>
              <w:tabs>
                <w:tab w:val="clear" w:pos="1588"/>
                <w:tab w:val="left" w:pos="1560"/>
              </w:tabs>
              <w:spacing w:before="0"/>
              <w:rPr>
                <w:b/>
                <w:bCs/>
                <w:szCs w:val="24"/>
                <w:lang w:val="fr-CH"/>
              </w:rPr>
            </w:pPr>
          </w:p>
        </w:tc>
      </w:tr>
      <w:tr w:rsidR="00E53DCE" w:rsidRPr="00962F88" w:rsidTr="004228FA">
        <w:trPr>
          <w:jc w:val="center"/>
        </w:trPr>
        <w:tc>
          <w:tcPr>
            <w:tcW w:w="1526" w:type="dxa"/>
            <w:shd w:val="clear" w:color="auto" w:fill="auto"/>
          </w:tcPr>
          <w:p w:rsidR="00E53DCE" w:rsidRPr="0001121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01121E" w:rsidRDefault="00E53DCE" w:rsidP="006160CB">
            <w:pPr>
              <w:tabs>
                <w:tab w:val="clear" w:pos="1588"/>
                <w:tab w:val="left" w:pos="1560"/>
              </w:tabs>
              <w:spacing w:before="0"/>
              <w:rPr>
                <w:b/>
                <w:bCs/>
                <w:szCs w:val="24"/>
                <w:lang w:val="fr-CH"/>
              </w:rPr>
            </w:pPr>
          </w:p>
        </w:tc>
      </w:tr>
      <w:tr w:rsidR="00E53DCE" w:rsidRPr="00962F88" w:rsidTr="004228FA">
        <w:trPr>
          <w:jc w:val="center"/>
        </w:trPr>
        <w:tc>
          <w:tcPr>
            <w:tcW w:w="9889" w:type="dxa"/>
            <w:gridSpan w:val="3"/>
            <w:shd w:val="clear" w:color="auto" w:fill="auto"/>
          </w:tcPr>
          <w:p w:rsidR="00E53DCE" w:rsidRPr="0001121E" w:rsidRDefault="00E53DCE" w:rsidP="00E53DCE">
            <w:pPr>
              <w:tabs>
                <w:tab w:val="clear" w:pos="1588"/>
                <w:tab w:val="left" w:pos="1560"/>
              </w:tabs>
              <w:spacing w:before="0"/>
              <w:jc w:val="left"/>
              <w:rPr>
                <w:szCs w:val="24"/>
                <w:lang w:val="fr-CH"/>
              </w:rPr>
            </w:pPr>
          </w:p>
        </w:tc>
      </w:tr>
      <w:tr w:rsidR="00E53DCE" w:rsidRPr="00962F88" w:rsidTr="004228FA">
        <w:trPr>
          <w:jc w:val="center"/>
        </w:trPr>
        <w:tc>
          <w:tcPr>
            <w:tcW w:w="9889" w:type="dxa"/>
            <w:gridSpan w:val="3"/>
            <w:shd w:val="clear" w:color="auto" w:fill="auto"/>
          </w:tcPr>
          <w:p w:rsidR="00E53DCE" w:rsidRPr="0001121E" w:rsidRDefault="00E53DCE" w:rsidP="006160CB">
            <w:pPr>
              <w:spacing w:before="0"/>
              <w:jc w:val="left"/>
              <w:rPr>
                <w:b/>
                <w:bCs/>
                <w:szCs w:val="24"/>
                <w:lang w:val="fr-CH"/>
              </w:rPr>
            </w:pPr>
          </w:p>
        </w:tc>
      </w:tr>
    </w:tbl>
    <w:p w:rsidR="0001121E" w:rsidRPr="009A2D92" w:rsidRDefault="0001121E" w:rsidP="00E1049F">
      <w:pPr>
        <w:spacing w:before="360"/>
        <w:rPr>
          <w:lang w:val="fr-CH"/>
        </w:rPr>
      </w:pPr>
      <w:r w:rsidRPr="00B51075">
        <w:rPr>
          <w:lang w:val="fr-CH"/>
        </w:rPr>
        <w:t xml:space="preserve">A sa réunion tenue </w:t>
      </w:r>
      <w:r w:rsidR="009351FA">
        <w:rPr>
          <w:lang w:val="fr-CH"/>
        </w:rPr>
        <w:t>le</w:t>
      </w:r>
      <w:r>
        <w:rPr>
          <w:lang w:val="fr-CH"/>
        </w:rPr>
        <w:t xml:space="preserve"> </w:t>
      </w:r>
      <w:r w:rsidR="009351FA">
        <w:rPr>
          <w:lang w:val="fr-CH"/>
        </w:rPr>
        <w:t>19 novembre</w:t>
      </w:r>
      <w:r>
        <w:rPr>
          <w:lang w:val="fr-CH"/>
        </w:rPr>
        <w:t xml:space="preserve"> 201</w:t>
      </w:r>
      <w:r w:rsidR="00D47E8E">
        <w:rPr>
          <w:lang w:val="fr-CH"/>
        </w:rPr>
        <w:t>8</w:t>
      </w:r>
      <w:r>
        <w:rPr>
          <w:lang w:val="fr-CH"/>
        </w:rPr>
        <w:t xml:space="preserve">, la Commission d'études </w:t>
      </w:r>
      <w:r w:rsidR="009351FA">
        <w:rPr>
          <w:lang w:val="fr-CH"/>
        </w:rPr>
        <w:t>5</w:t>
      </w:r>
      <w:r w:rsidRPr="00B51075">
        <w:rPr>
          <w:lang w:val="fr-CH"/>
        </w:rPr>
        <w:t xml:space="preserve"> des radiocommunications a </w:t>
      </w:r>
      <w:r>
        <w:rPr>
          <w:lang w:val="fr-CH"/>
        </w:rPr>
        <w:t>adopté</w:t>
      </w:r>
      <w:r w:rsidRPr="00B51075">
        <w:rPr>
          <w:lang w:val="fr-CH"/>
        </w:rPr>
        <w:t xml:space="preserve"> </w:t>
      </w:r>
      <w:r w:rsidR="009351FA">
        <w:rPr>
          <w:lang w:val="fr-CH"/>
        </w:rPr>
        <w:t>un</w:t>
      </w:r>
      <w:r>
        <w:rPr>
          <w:lang w:val="fr-CH"/>
        </w:rPr>
        <w:t xml:space="preserve"> </w:t>
      </w:r>
      <w:r w:rsidRPr="00B51075">
        <w:rPr>
          <w:lang w:val="fr-CH"/>
        </w:rPr>
        <w:t xml:space="preserve">projet de nouvelle </w:t>
      </w:r>
      <w:r>
        <w:rPr>
          <w:lang w:val="fr-CH"/>
        </w:rPr>
        <w:t xml:space="preserve">Question </w:t>
      </w:r>
      <w:proofErr w:type="spellStart"/>
      <w:r>
        <w:rPr>
          <w:lang w:val="fr-CH"/>
        </w:rPr>
        <w:t>UIT</w:t>
      </w:r>
      <w:proofErr w:type="spellEnd"/>
      <w:r>
        <w:rPr>
          <w:lang w:val="fr-CH"/>
        </w:rPr>
        <w:t xml:space="preserve">-R conformément à la Résolution </w:t>
      </w:r>
      <w:proofErr w:type="spellStart"/>
      <w:r>
        <w:rPr>
          <w:lang w:val="fr-CH"/>
        </w:rPr>
        <w:t>UIT</w:t>
      </w:r>
      <w:proofErr w:type="spellEnd"/>
      <w:r>
        <w:rPr>
          <w:lang w:val="fr-CH"/>
        </w:rPr>
        <w:t xml:space="preserve"> R </w:t>
      </w:r>
      <w:r w:rsidRPr="009A2D92">
        <w:rPr>
          <w:lang w:val="fr-CH"/>
        </w:rPr>
        <w:t>1-7 (§</w:t>
      </w:r>
      <w:r>
        <w:rPr>
          <w:lang w:val="fr-CH"/>
        </w:rPr>
        <w:t xml:space="preserve"> </w:t>
      </w:r>
      <w:proofErr w:type="spellStart"/>
      <w:r w:rsidRPr="009A2D92">
        <w:rPr>
          <w:lang w:val="fr-CH"/>
        </w:rPr>
        <w:t>A2.5.2.2</w:t>
      </w:r>
      <w:proofErr w:type="spellEnd"/>
      <w:r w:rsidRPr="009A2D92">
        <w:rPr>
          <w:lang w:val="fr-CH"/>
        </w:rPr>
        <w:t xml:space="preserve">) </w:t>
      </w:r>
      <w:r w:rsidRPr="0083107E">
        <w:rPr>
          <w:lang w:val="fr-CH"/>
        </w:rPr>
        <w:t xml:space="preserve">et </w:t>
      </w:r>
      <w:r>
        <w:rPr>
          <w:lang w:val="fr-CH"/>
        </w:rPr>
        <w:t xml:space="preserve">a décidé d'appliquer la procédure prévue dans la Résolution </w:t>
      </w:r>
      <w:proofErr w:type="spellStart"/>
      <w:r>
        <w:rPr>
          <w:lang w:val="fr-CH"/>
        </w:rPr>
        <w:t>UIT</w:t>
      </w:r>
      <w:proofErr w:type="spellEnd"/>
      <w:r>
        <w:rPr>
          <w:lang w:val="fr-CH"/>
        </w:rPr>
        <w:t>-R 1-7</w:t>
      </w:r>
      <w:r w:rsidRPr="0083107E">
        <w:rPr>
          <w:lang w:val="fr-CH"/>
        </w:rPr>
        <w:t xml:space="preserve"> (voir le § </w:t>
      </w:r>
      <w:proofErr w:type="spellStart"/>
      <w:r w:rsidRPr="009A2D92">
        <w:rPr>
          <w:lang w:val="fr-CH"/>
        </w:rPr>
        <w:t>A2.5.2.3</w:t>
      </w:r>
      <w:proofErr w:type="spellEnd"/>
      <w:r w:rsidRPr="0083107E">
        <w:rPr>
          <w:lang w:val="fr-CH"/>
        </w:rPr>
        <w:t>) pour l'approbation d</w:t>
      </w:r>
      <w:r>
        <w:rPr>
          <w:lang w:val="fr-CH"/>
        </w:rPr>
        <w:t>es Questions dans l'intervalle entre deux Assemblées des radiocommunications.</w:t>
      </w:r>
      <w:r w:rsidRPr="009A2D92">
        <w:rPr>
          <w:color w:val="000000"/>
          <w:lang w:val="fr-CH"/>
        </w:rPr>
        <w:t xml:space="preserve"> Le</w:t>
      </w:r>
      <w:r w:rsidR="009351FA">
        <w:rPr>
          <w:color w:val="000000"/>
          <w:lang w:val="fr-CH"/>
        </w:rPr>
        <w:t xml:space="preserve"> </w:t>
      </w:r>
      <w:r w:rsidRPr="009A2D92">
        <w:rPr>
          <w:color w:val="000000"/>
          <w:lang w:val="fr-CH"/>
        </w:rPr>
        <w:t>texte du projet</w:t>
      </w:r>
      <w:r w:rsidR="009351FA">
        <w:rPr>
          <w:color w:val="000000"/>
          <w:lang w:val="fr-CH"/>
        </w:rPr>
        <w:t xml:space="preserve"> </w:t>
      </w:r>
      <w:r w:rsidRPr="009A2D92">
        <w:rPr>
          <w:color w:val="000000"/>
          <w:lang w:val="fr-CH"/>
        </w:rPr>
        <w:t xml:space="preserve">de Question </w:t>
      </w:r>
      <w:proofErr w:type="spellStart"/>
      <w:r w:rsidRPr="009A2D92">
        <w:rPr>
          <w:color w:val="000000"/>
          <w:lang w:val="fr-CH"/>
        </w:rPr>
        <w:t>UIT</w:t>
      </w:r>
      <w:proofErr w:type="spellEnd"/>
      <w:r w:rsidRPr="009A2D92">
        <w:rPr>
          <w:color w:val="000000"/>
          <w:lang w:val="fr-CH"/>
        </w:rPr>
        <w:t>-R est</w:t>
      </w:r>
      <w:r>
        <w:rPr>
          <w:color w:val="000000"/>
          <w:lang w:val="fr-CH"/>
        </w:rPr>
        <w:t xml:space="preserve"> </w:t>
      </w:r>
      <w:r w:rsidR="009351FA">
        <w:rPr>
          <w:color w:val="000000"/>
          <w:lang w:val="fr-CH"/>
        </w:rPr>
        <w:t>joint</w:t>
      </w:r>
      <w:r w:rsidRPr="009A2D92">
        <w:rPr>
          <w:color w:val="000000"/>
          <w:lang w:val="fr-CH"/>
        </w:rPr>
        <w:t xml:space="preserve"> pour votre information dans l'Annexe de la présente lettre</w:t>
      </w:r>
      <w:r w:rsidRPr="009A2D92">
        <w:rPr>
          <w:lang w:val="fr-CH"/>
        </w:rPr>
        <w:t>. Un Etat Membre qui soulève une objection au sujet de l'approbation d'un projet de Question est prié d'informer le Directeur et le Président de la Commission d'études des raisons de cette objection.</w:t>
      </w:r>
    </w:p>
    <w:p w:rsidR="0001121E" w:rsidRPr="0010038F" w:rsidRDefault="0001121E" w:rsidP="00C21D91">
      <w:pPr>
        <w:rPr>
          <w:lang w:val="fr-CH"/>
        </w:rPr>
      </w:pPr>
      <w:r w:rsidRPr="0010038F">
        <w:rPr>
          <w:lang w:val="fr-CH"/>
        </w:rPr>
        <w:t xml:space="preserve">Compte tenu des dispositions du § </w:t>
      </w:r>
      <w:proofErr w:type="spellStart"/>
      <w:r w:rsidRPr="009A2D92">
        <w:rPr>
          <w:lang w:val="fr-CH"/>
        </w:rPr>
        <w:t>A2.5.2.3</w:t>
      </w:r>
      <w:proofErr w:type="spellEnd"/>
      <w:r w:rsidRPr="009A2D92">
        <w:rPr>
          <w:lang w:val="fr-CH"/>
        </w:rPr>
        <w:t xml:space="preserve"> </w:t>
      </w:r>
      <w:r>
        <w:rPr>
          <w:lang w:val="fr-CH"/>
        </w:rPr>
        <w:t xml:space="preserve">de la Résolution </w:t>
      </w:r>
      <w:proofErr w:type="spellStart"/>
      <w:r>
        <w:rPr>
          <w:lang w:val="fr-CH"/>
        </w:rPr>
        <w:t>UIT</w:t>
      </w:r>
      <w:proofErr w:type="spellEnd"/>
      <w:r>
        <w:rPr>
          <w:lang w:val="fr-CH"/>
        </w:rPr>
        <w:t xml:space="preserve">-R 1-7, les Etats Membres sont priés de </w:t>
      </w:r>
      <w:r w:rsidRPr="0010038F">
        <w:rPr>
          <w:lang w:val="fr-CH"/>
        </w:rPr>
        <w:t>faire savoir au Secrétariat (</w:t>
      </w:r>
      <w:proofErr w:type="spellStart"/>
      <w:r>
        <w:rPr>
          <w:rStyle w:val="Hyperlink"/>
          <w:lang w:val="fr-CH"/>
        </w:rPr>
        <w:fldChar w:fldCharType="begin"/>
      </w:r>
      <w:r>
        <w:rPr>
          <w:rStyle w:val="Hyperlink"/>
          <w:lang w:val="fr-CH"/>
        </w:rPr>
        <w:instrText xml:space="preserve"> HYPERLINK "mailto:brsgd@itu.int" </w:instrText>
      </w:r>
      <w:r>
        <w:rPr>
          <w:rStyle w:val="Hyperlink"/>
          <w:lang w:val="fr-CH"/>
        </w:rPr>
        <w:fldChar w:fldCharType="separate"/>
      </w:r>
      <w:r w:rsidRPr="0010038F">
        <w:rPr>
          <w:rStyle w:val="Hyperlink"/>
          <w:lang w:val="fr-CH"/>
        </w:rPr>
        <w:t>brsgd@itu.int</w:t>
      </w:r>
      <w:proofErr w:type="spellEnd"/>
      <w:r>
        <w:rPr>
          <w:rStyle w:val="Hyperlink"/>
          <w:lang w:val="fr-CH"/>
        </w:rPr>
        <w:fldChar w:fldCharType="end"/>
      </w:r>
      <w:r w:rsidRPr="0010038F">
        <w:rPr>
          <w:lang w:val="fr-CH"/>
        </w:rPr>
        <w:t xml:space="preserve">), au plus tard le </w:t>
      </w:r>
      <w:r w:rsidR="00D47E8E">
        <w:rPr>
          <w:u w:val="single"/>
          <w:lang w:val="fr-CH"/>
        </w:rPr>
        <w:t>28</w:t>
      </w:r>
      <w:r>
        <w:rPr>
          <w:u w:val="single"/>
          <w:lang w:val="fr-CH"/>
        </w:rPr>
        <w:t xml:space="preserve"> </w:t>
      </w:r>
      <w:r w:rsidR="009351FA">
        <w:rPr>
          <w:u w:val="single"/>
          <w:lang w:val="fr-CH"/>
        </w:rPr>
        <w:t>janvier</w:t>
      </w:r>
      <w:r w:rsidRPr="0010038F">
        <w:rPr>
          <w:u w:val="single"/>
          <w:lang w:val="fr-CH"/>
        </w:rPr>
        <w:t xml:space="preserve"> 201</w:t>
      </w:r>
      <w:r w:rsidR="009351FA">
        <w:rPr>
          <w:u w:val="single"/>
          <w:lang w:val="fr-CH"/>
        </w:rPr>
        <w:t>9</w:t>
      </w:r>
      <w:r w:rsidRPr="0010038F">
        <w:rPr>
          <w:lang w:val="fr-CH"/>
        </w:rPr>
        <w:t xml:space="preserve">, </w:t>
      </w:r>
      <w:r>
        <w:rPr>
          <w:lang w:val="fr-CH"/>
        </w:rPr>
        <w:t>s'ils approuvent ou non l</w:t>
      </w:r>
      <w:r w:rsidR="00C21D91">
        <w:rPr>
          <w:lang w:val="fr-CH"/>
        </w:rPr>
        <w:t xml:space="preserve">a </w:t>
      </w:r>
      <w:r>
        <w:rPr>
          <w:lang w:val="fr-CH"/>
        </w:rPr>
        <w:t>proposition ci-dessus</w:t>
      </w:r>
      <w:r w:rsidRPr="0010038F">
        <w:rPr>
          <w:lang w:val="fr-CH"/>
        </w:rPr>
        <w:t>.</w:t>
      </w:r>
    </w:p>
    <w:p w:rsidR="0001121E" w:rsidRDefault="0001121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01121E" w:rsidRPr="00C61D55" w:rsidRDefault="0001121E" w:rsidP="003921AF">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la Question sera publiée dans les meilleurs délais </w:t>
      </w:r>
      <w:r w:rsidRPr="00EE4B86">
        <w:rPr>
          <w:lang w:val="fr-CH"/>
        </w:rPr>
        <w:t>(</w:t>
      </w:r>
      <w:r>
        <w:rPr>
          <w:lang w:val="fr-CH"/>
        </w:rPr>
        <w:t xml:space="preserve">voir </w:t>
      </w:r>
      <w:hyperlink r:id="rId8" w:history="1">
        <w:r w:rsidR="00444A99" w:rsidRPr="00444A99">
          <w:rPr>
            <w:rStyle w:val="Hyperlink"/>
            <w:lang w:val="fr-CH"/>
          </w:rPr>
          <w:t>http://</w:t>
        </w:r>
        <w:proofErr w:type="spellStart"/>
        <w:r w:rsidR="00444A99" w:rsidRPr="00444A99">
          <w:rPr>
            <w:rStyle w:val="Hyperlink"/>
            <w:lang w:val="fr-CH"/>
          </w:rPr>
          <w:t>www.itu.int</w:t>
        </w:r>
        <w:proofErr w:type="spellEnd"/>
        <w:r w:rsidR="00444A99" w:rsidRPr="00444A99">
          <w:rPr>
            <w:rStyle w:val="Hyperlink"/>
            <w:lang w:val="fr-CH"/>
          </w:rPr>
          <w:t>/</w:t>
        </w:r>
        <w:proofErr w:type="spellStart"/>
        <w:r w:rsidR="00444A99" w:rsidRPr="00444A99">
          <w:rPr>
            <w:rStyle w:val="Hyperlink"/>
            <w:lang w:val="fr-CH"/>
          </w:rPr>
          <w:t>ITU</w:t>
        </w:r>
        <w:proofErr w:type="spellEnd"/>
        <w:r w:rsidR="00444A99" w:rsidRPr="00444A99">
          <w:rPr>
            <w:rStyle w:val="Hyperlink"/>
            <w:lang w:val="fr-CH"/>
          </w:rPr>
          <w:t>-R/go/que-</w:t>
        </w:r>
        <w:proofErr w:type="spellStart"/>
        <w:r w:rsidR="00444A99" w:rsidRPr="00444A99">
          <w:rPr>
            <w:rStyle w:val="Hyperlink"/>
            <w:lang w:val="fr-CH"/>
          </w:rPr>
          <w:t>rsg5</w:t>
        </w:r>
        <w:proofErr w:type="spellEnd"/>
        <w:r w:rsidR="00444A99" w:rsidRPr="00444A99">
          <w:rPr>
            <w:rStyle w:val="Hyperlink"/>
            <w:lang w:val="fr-CH"/>
          </w:rPr>
          <w:t>/en</w:t>
        </w:r>
      </w:hyperlink>
      <w:r w:rsidRPr="00A60672">
        <w:rPr>
          <w:lang w:val="fr-CH"/>
        </w:rPr>
        <w:t>).</w:t>
      </w:r>
    </w:p>
    <w:p w:rsidR="0001121E" w:rsidRDefault="0001121E" w:rsidP="00AF0AD5">
      <w:pPr>
        <w:spacing w:before="1800"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01121E" w:rsidRDefault="0001121E" w:rsidP="0001121E">
      <w:pPr>
        <w:spacing w:before="0" w:line="240" w:lineRule="auto"/>
        <w:jc w:val="left"/>
        <w:rPr>
          <w:szCs w:val="24"/>
          <w:lang w:val="fr-FR"/>
        </w:rPr>
      </w:pPr>
    </w:p>
    <w:p w:rsidR="0001121E" w:rsidRDefault="0001121E" w:rsidP="0001121E">
      <w:pPr>
        <w:spacing w:before="0" w:line="240" w:lineRule="auto"/>
        <w:jc w:val="left"/>
        <w:rPr>
          <w:szCs w:val="24"/>
          <w:lang w:val="fr-FR"/>
        </w:rPr>
      </w:pPr>
    </w:p>
    <w:p w:rsidR="0001121E" w:rsidRDefault="0001121E" w:rsidP="0001121E">
      <w:pPr>
        <w:spacing w:before="0" w:line="240" w:lineRule="auto"/>
        <w:jc w:val="left"/>
        <w:rPr>
          <w:szCs w:val="24"/>
          <w:lang w:val="fr-FR"/>
        </w:rPr>
      </w:pPr>
    </w:p>
    <w:p w:rsidR="0001121E" w:rsidRDefault="0001121E" w:rsidP="00AF0AD5">
      <w:pPr>
        <w:spacing w:before="360"/>
        <w:rPr>
          <w:lang w:val="fr-CH"/>
        </w:rPr>
      </w:pPr>
      <w:r w:rsidRPr="001E15EC">
        <w:rPr>
          <w:b/>
          <w:bCs/>
          <w:lang w:val="fr-CH"/>
        </w:rPr>
        <w:t>Annexe</w:t>
      </w:r>
      <w:r>
        <w:rPr>
          <w:lang w:val="fr-CH"/>
        </w:rPr>
        <w:t xml:space="preserve">: </w:t>
      </w:r>
      <w:r w:rsidR="009351FA">
        <w:rPr>
          <w:lang w:val="fr-CH"/>
        </w:rPr>
        <w:t>1</w:t>
      </w:r>
    </w:p>
    <w:p w:rsidR="0001121E" w:rsidRPr="005C1D2C" w:rsidRDefault="0001121E" w:rsidP="00D01D7D">
      <w:pPr>
        <w:rPr>
          <w:lang w:val="fr-CH"/>
        </w:rPr>
      </w:pPr>
      <w:r w:rsidRPr="005C1D2C">
        <w:rPr>
          <w:lang w:val="fr-CH"/>
        </w:rPr>
        <w:t>–</w:t>
      </w:r>
      <w:r w:rsidRPr="005C1D2C">
        <w:rPr>
          <w:lang w:val="fr-CH"/>
        </w:rPr>
        <w:tab/>
      </w:r>
      <w:r w:rsidR="00D01D7D">
        <w:rPr>
          <w:lang w:val="fr-CH"/>
        </w:rPr>
        <w:t>Un projet</w:t>
      </w:r>
      <w:r w:rsidRPr="005C1D2C">
        <w:rPr>
          <w:lang w:val="fr-CH"/>
        </w:rPr>
        <w:t xml:space="preserve"> de n</w:t>
      </w:r>
      <w:r>
        <w:rPr>
          <w:lang w:val="fr-CH"/>
        </w:rPr>
        <w:t>o</w:t>
      </w:r>
      <w:r w:rsidRPr="005C1D2C">
        <w:rPr>
          <w:lang w:val="fr-CH"/>
        </w:rPr>
        <w:t xml:space="preserve">uvelle Question </w:t>
      </w:r>
      <w:proofErr w:type="spellStart"/>
      <w:r w:rsidRPr="005C1D2C">
        <w:rPr>
          <w:lang w:val="fr-CH"/>
        </w:rPr>
        <w:t>UIT</w:t>
      </w:r>
      <w:proofErr w:type="spellEnd"/>
      <w:r w:rsidRPr="005C1D2C">
        <w:rPr>
          <w:lang w:val="fr-CH"/>
        </w:rPr>
        <w:t>-R</w:t>
      </w:r>
      <w:r>
        <w:rPr>
          <w:lang w:val="fr-CH"/>
        </w:rPr>
        <w:t xml:space="preserve"> </w:t>
      </w:r>
    </w:p>
    <w:p w:rsidR="0001121E" w:rsidRPr="00F748BA" w:rsidRDefault="0001121E" w:rsidP="0001121E">
      <w:pPr>
        <w:rPr>
          <w:bCs/>
          <w:lang w:val="fr-CH"/>
        </w:rPr>
      </w:pPr>
    </w:p>
    <w:p w:rsidR="0001121E" w:rsidRPr="00005977" w:rsidRDefault="0001121E" w:rsidP="0001121E">
      <w:pPr>
        <w:jc w:val="left"/>
        <w:rPr>
          <w:lang w:val="fr-CH"/>
        </w:rPr>
      </w:pPr>
    </w:p>
    <w:p w:rsidR="0001121E" w:rsidRPr="009A2D92" w:rsidRDefault="0001121E" w:rsidP="00E1049F">
      <w:pPr>
        <w:tabs>
          <w:tab w:val="left" w:pos="284"/>
          <w:tab w:val="left" w:pos="568"/>
        </w:tabs>
        <w:spacing w:before="4320" w:line="240" w:lineRule="auto"/>
        <w:rPr>
          <w:b/>
          <w:bCs/>
          <w:sz w:val="18"/>
          <w:szCs w:val="18"/>
          <w:lang w:val="fr-CH"/>
        </w:rPr>
      </w:pPr>
      <w:bookmarkStart w:id="0" w:name="ddistribution"/>
      <w:bookmarkEnd w:id="0"/>
      <w:r w:rsidRPr="009A2D92">
        <w:rPr>
          <w:b/>
          <w:bCs/>
          <w:sz w:val="18"/>
          <w:szCs w:val="18"/>
          <w:lang w:val="fr-CH"/>
        </w:rPr>
        <w:t>Distribution:</w:t>
      </w:r>
    </w:p>
    <w:p w:rsidR="0001121E" w:rsidRPr="009A2D92" w:rsidRDefault="0001121E" w:rsidP="00D114F9">
      <w:pPr>
        <w:pStyle w:val="enumlev1"/>
        <w:tabs>
          <w:tab w:val="clear" w:pos="794"/>
        </w:tabs>
        <w:spacing w:beforeLines="50" w:before="120" w:line="240" w:lineRule="auto"/>
        <w:ind w:left="380" w:hanging="380"/>
        <w:rPr>
          <w:sz w:val="18"/>
          <w:szCs w:val="18"/>
          <w:lang w:val="fr-CH"/>
        </w:rPr>
      </w:pPr>
      <w:r w:rsidRPr="009A2D92">
        <w:rPr>
          <w:sz w:val="18"/>
          <w:szCs w:val="18"/>
          <w:lang w:val="fr-CH"/>
        </w:rPr>
        <w:t>–</w:t>
      </w:r>
      <w:r w:rsidRPr="009A2D92">
        <w:rPr>
          <w:sz w:val="18"/>
          <w:szCs w:val="18"/>
          <w:lang w:val="fr-CH"/>
        </w:rPr>
        <w:tab/>
        <w:t>Administrations des Etats Membres de l'</w:t>
      </w:r>
      <w:proofErr w:type="spellStart"/>
      <w:r w:rsidRPr="009A2D92">
        <w:rPr>
          <w:sz w:val="18"/>
          <w:szCs w:val="18"/>
          <w:lang w:val="fr-CH"/>
        </w:rPr>
        <w:t>UIT</w:t>
      </w:r>
      <w:proofErr w:type="spellEnd"/>
      <w:r w:rsidRPr="009A2D92">
        <w:rPr>
          <w:sz w:val="18"/>
          <w:szCs w:val="18"/>
          <w:lang w:val="fr-CH"/>
        </w:rPr>
        <w:t xml:space="preserve"> et Membres du Secteur des radiocommunications participant aux travaux de la Commission d'études </w:t>
      </w:r>
      <w:r w:rsidR="00D01D7D">
        <w:rPr>
          <w:sz w:val="18"/>
          <w:szCs w:val="18"/>
          <w:lang w:val="fr-CH"/>
        </w:rPr>
        <w:t>5</w:t>
      </w:r>
      <w:r w:rsidR="00CA2CDA">
        <w:rPr>
          <w:sz w:val="18"/>
          <w:szCs w:val="18"/>
          <w:lang w:val="fr-CH"/>
        </w:rPr>
        <w:t xml:space="preserve"> </w:t>
      </w:r>
      <w:r w:rsidRPr="009A2D92">
        <w:rPr>
          <w:sz w:val="18"/>
          <w:szCs w:val="18"/>
          <w:lang w:val="fr-CH"/>
        </w:rPr>
        <w:t>des radiocommunications</w:t>
      </w:r>
    </w:p>
    <w:p w:rsidR="0001121E" w:rsidRPr="009A2D92" w:rsidRDefault="0001121E" w:rsidP="00C30385">
      <w:pPr>
        <w:pStyle w:val="enumlev1"/>
        <w:tabs>
          <w:tab w:val="clear" w:pos="794"/>
        </w:tabs>
        <w:spacing w:before="0" w:line="240" w:lineRule="auto"/>
        <w:ind w:left="378" w:hanging="378"/>
        <w:rPr>
          <w:sz w:val="18"/>
          <w:szCs w:val="18"/>
          <w:lang w:val="fr-CH"/>
        </w:rPr>
      </w:pPr>
      <w:r w:rsidRPr="009A2D92">
        <w:rPr>
          <w:sz w:val="18"/>
          <w:szCs w:val="18"/>
          <w:lang w:val="fr-CH"/>
        </w:rPr>
        <w:t>–</w:t>
      </w:r>
      <w:r w:rsidRPr="009A2D92">
        <w:rPr>
          <w:sz w:val="18"/>
          <w:szCs w:val="18"/>
          <w:lang w:val="fr-CH"/>
        </w:rPr>
        <w:tab/>
        <w:t>Associés de l'</w:t>
      </w:r>
      <w:proofErr w:type="spellStart"/>
      <w:r w:rsidRPr="009A2D92">
        <w:rPr>
          <w:sz w:val="18"/>
          <w:szCs w:val="18"/>
          <w:lang w:val="fr-CH"/>
        </w:rPr>
        <w:t>UIT</w:t>
      </w:r>
      <w:proofErr w:type="spellEnd"/>
      <w:r w:rsidRPr="009A2D92">
        <w:rPr>
          <w:sz w:val="18"/>
          <w:szCs w:val="18"/>
          <w:lang w:val="fr-CH"/>
        </w:rPr>
        <w:t xml:space="preserve">-R participant aux travaux de la Commission d'études </w:t>
      </w:r>
      <w:r w:rsidR="00C30385">
        <w:rPr>
          <w:sz w:val="18"/>
          <w:szCs w:val="18"/>
          <w:lang w:val="fr-CH"/>
        </w:rPr>
        <w:t>5</w:t>
      </w:r>
      <w:r w:rsidRPr="009A2D92">
        <w:rPr>
          <w:sz w:val="18"/>
          <w:szCs w:val="18"/>
          <w:lang w:val="fr-CH"/>
        </w:rPr>
        <w:t xml:space="preserve"> des radiocommunications</w:t>
      </w:r>
    </w:p>
    <w:p w:rsidR="0001121E" w:rsidRPr="009A2D92" w:rsidRDefault="0001121E" w:rsidP="0001121E">
      <w:pPr>
        <w:pStyle w:val="enumlev1"/>
        <w:tabs>
          <w:tab w:val="clear" w:pos="794"/>
        </w:tabs>
        <w:spacing w:before="0" w:line="240" w:lineRule="auto"/>
        <w:ind w:left="378" w:hanging="378"/>
        <w:rPr>
          <w:sz w:val="18"/>
          <w:szCs w:val="18"/>
          <w:lang w:val="fr-CH"/>
        </w:rPr>
      </w:pPr>
      <w:r w:rsidRPr="009A2D92">
        <w:rPr>
          <w:sz w:val="18"/>
          <w:szCs w:val="18"/>
          <w:lang w:val="fr-CH"/>
        </w:rPr>
        <w:t>–</w:t>
      </w:r>
      <w:r w:rsidRPr="009A2D92">
        <w:rPr>
          <w:sz w:val="18"/>
          <w:szCs w:val="18"/>
          <w:lang w:val="fr-CH"/>
        </w:rPr>
        <w:tab/>
        <w:t>Etablissements universitaires pa</w:t>
      </w:r>
      <w:r>
        <w:rPr>
          <w:sz w:val="18"/>
          <w:szCs w:val="18"/>
          <w:lang w:val="fr-CH"/>
        </w:rPr>
        <w:t>rticipant aux travaux de l'</w:t>
      </w:r>
      <w:proofErr w:type="spellStart"/>
      <w:r>
        <w:rPr>
          <w:sz w:val="18"/>
          <w:szCs w:val="18"/>
          <w:lang w:val="fr-CH"/>
        </w:rPr>
        <w:t>UIT</w:t>
      </w:r>
      <w:proofErr w:type="spellEnd"/>
    </w:p>
    <w:p w:rsidR="0001121E" w:rsidRPr="009A2D92" w:rsidRDefault="0001121E" w:rsidP="00C50A57">
      <w:pPr>
        <w:pStyle w:val="enumlev1"/>
        <w:tabs>
          <w:tab w:val="clear" w:pos="794"/>
        </w:tabs>
        <w:spacing w:before="0" w:line="240" w:lineRule="auto"/>
        <w:ind w:left="378" w:hanging="378"/>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01121E" w:rsidRPr="009A2D92" w:rsidRDefault="0001121E" w:rsidP="0001121E">
      <w:pPr>
        <w:pStyle w:val="enumlev1"/>
        <w:tabs>
          <w:tab w:val="clear" w:pos="794"/>
        </w:tabs>
        <w:spacing w:before="0" w:line="240" w:lineRule="auto"/>
        <w:ind w:left="378" w:hanging="378"/>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01121E" w:rsidRPr="009A2D92" w:rsidRDefault="0001121E" w:rsidP="0001121E">
      <w:pPr>
        <w:pStyle w:val="enumlev1"/>
        <w:tabs>
          <w:tab w:val="clear" w:pos="794"/>
        </w:tabs>
        <w:spacing w:before="0" w:line="240" w:lineRule="auto"/>
        <w:ind w:left="378" w:hanging="378"/>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01121E" w:rsidRDefault="0001121E" w:rsidP="00335B51">
      <w:pPr>
        <w:spacing w:before="0" w:line="220" w:lineRule="exact"/>
        <w:ind w:left="360" w:hangingChars="200" w:hanging="360"/>
        <w:rPr>
          <w:sz w:val="18"/>
          <w:szCs w:val="18"/>
          <w:lang w:val="fr-CH"/>
        </w:rPr>
      </w:pPr>
      <w:r w:rsidRPr="009A2D92">
        <w:rPr>
          <w:sz w:val="18"/>
          <w:szCs w:val="18"/>
          <w:lang w:val="fr-CH"/>
        </w:rPr>
        <w:t>–</w:t>
      </w:r>
      <w:r w:rsidRPr="009A2D92">
        <w:rPr>
          <w:sz w:val="18"/>
          <w:szCs w:val="18"/>
          <w:lang w:val="fr-CH"/>
        </w:rPr>
        <w:tab/>
        <w:t>Secrétaire général de l'</w:t>
      </w:r>
      <w:proofErr w:type="spellStart"/>
      <w:r w:rsidRPr="009A2D92">
        <w:rPr>
          <w:sz w:val="18"/>
          <w:szCs w:val="18"/>
          <w:lang w:val="fr-CH"/>
        </w:rPr>
        <w:t>UIT</w:t>
      </w:r>
      <w:proofErr w:type="spellEnd"/>
      <w:r w:rsidRPr="009A2D92">
        <w:rPr>
          <w:sz w:val="18"/>
          <w:szCs w:val="18"/>
          <w:lang w:val="fr-CH"/>
        </w:rPr>
        <w:t>, Directeur du Bureau de normalisation des télécommunications, Directeur du Bureau de développement des télécommunications</w:t>
      </w:r>
    </w:p>
    <w:p w:rsidR="0001121E" w:rsidRDefault="0001121E">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p>
    <w:p w:rsidR="0001121E" w:rsidRPr="00444A99" w:rsidRDefault="0001121E">
      <w:pPr>
        <w:tabs>
          <w:tab w:val="clear" w:pos="794"/>
          <w:tab w:val="clear" w:pos="1191"/>
          <w:tab w:val="clear" w:pos="1588"/>
          <w:tab w:val="clear" w:pos="1985"/>
        </w:tabs>
        <w:overflowPunct/>
        <w:autoSpaceDE/>
        <w:autoSpaceDN/>
        <w:adjustRightInd/>
        <w:spacing w:before="0" w:line="240" w:lineRule="auto"/>
        <w:jc w:val="left"/>
        <w:textAlignment w:val="auto"/>
        <w:rPr>
          <w:szCs w:val="24"/>
          <w:lang w:val="fr-CH"/>
        </w:rPr>
      </w:pPr>
      <w:r w:rsidRPr="00444A99">
        <w:rPr>
          <w:szCs w:val="24"/>
          <w:lang w:val="fr-CH"/>
        </w:rPr>
        <w:br w:type="page"/>
      </w:r>
    </w:p>
    <w:p w:rsidR="00E53DCE" w:rsidRPr="00444A99" w:rsidRDefault="0001121E" w:rsidP="0001121E">
      <w:pPr>
        <w:pStyle w:val="AppendixNoTitle"/>
        <w:rPr>
          <w:sz w:val="28"/>
          <w:szCs w:val="28"/>
          <w:lang w:val="fr-CH"/>
        </w:rPr>
      </w:pPr>
      <w:r w:rsidRPr="00444A99">
        <w:rPr>
          <w:sz w:val="28"/>
          <w:szCs w:val="28"/>
          <w:lang w:val="fr-CH"/>
        </w:rPr>
        <w:lastRenderedPageBreak/>
        <w:t>Annexe</w:t>
      </w:r>
    </w:p>
    <w:p w:rsidR="0001121E" w:rsidRPr="009A2D92" w:rsidRDefault="0001121E" w:rsidP="009351FA">
      <w:pPr>
        <w:pStyle w:val="Normalaftertitle"/>
        <w:jc w:val="center"/>
        <w:rPr>
          <w:rFonts w:asciiTheme="minorHAnsi" w:hAnsiTheme="minorHAnsi"/>
          <w:lang w:val="fr-CH"/>
        </w:rPr>
      </w:pPr>
      <w:r w:rsidRPr="009A2D92">
        <w:rPr>
          <w:rFonts w:asciiTheme="minorHAnsi" w:hAnsiTheme="minorHAnsi"/>
          <w:lang w:val="fr-CH"/>
        </w:rPr>
        <w:t xml:space="preserve">(Document </w:t>
      </w:r>
      <w:hyperlink r:id="rId9" w:history="1">
        <w:r w:rsidR="009351FA" w:rsidRPr="009351FA">
          <w:rPr>
            <w:rStyle w:val="Hyperlink"/>
            <w:rFonts w:asciiTheme="minorHAnsi" w:hAnsiTheme="minorHAnsi"/>
            <w:lang w:val="fr-CH"/>
          </w:rPr>
          <w:t>5/119</w:t>
        </w:r>
      </w:hyperlink>
      <w:r w:rsidRPr="009A2D92">
        <w:rPr>
          <w:rFonts w:asciiTheme="minorHAnsi" w:hAnsiTheme="minorHAnsi"/>
          <w:lang w:val="fr-CH"/>
        </w:rPr>
        <w:t>)</w:t>
      </w:r>
    </w:p>
    <w:p w:rsidR="007636FA" w:rsidRPr="007636FA" w:rsidRDefault="007636FA" w:rsidP="007636FA">
      <w:pPr>
        <w:pStyle w:val="FootnoteReferenceTimesNewRoman"/>
        <w:rPr>
          <w:rFonts w:asciiTheme="majorBidi" w:hAnsiTheme="majorBidi" w:cstheme="majorBidi"/>
          <w:lang w:val="fr-CH"/>
        </w:rPr>
      </w:pPr>
      <w:r w:rsidRPr="007636FA">
        <w:rPr>
          <w:rFonts w:asciiTheme="majorBidi" w:hAnsiTheme="majorBidi" w:cstheme="majorBidi"/>
          <w:lang w:val="fr-CH"/>
        </w:rPr>
        <w:t xml:space="preserve">Projet de nouvelle Question </w:t>
      </w:r>
      <w:proofErr w:type="spellStart"/>
      <w:r w:rsidRPr="007636FA">
        <w:rPr>
          <w:rFonts w:asciiTheme="majorBidi" w:hAnsiTheme="majorBidi" w:cstheme="majorBidi"/>
          <w:lang w:val="fr-CH"/>
        </w:rPr>
        <w:t>UIT</w:t>
      </w:r>
      <w:proofErr w:type="spellEnd"/>
      <w:r w:rsidRPr="007636FA">
        <w:rPr>
          <w:rFonts w:asciiTheme="majorBidi" w:hAnsiTheme="majorBidi" w:cstheme="majorBidi"/>
          <w:lang w:val="fr-CH"/>
        </w:rPr>
        <w:t>-R [</w:t>
      </w:r>
      <w:proofErr w:type="spellStart"/>
      <w:r w:rsidRPr="007636FA">
        <w:rPr>
          <w:rFonts w:asciiTheme="majorBidi" w:hAnsiTheme="majorBidi" w:cstheme="majorBidi"/>
          <w:lang w:val="fr-CH"/>
        </w:rPr>
        <w:t>FOD_COMPAT</w:t>
      </w:r>
      <w:proofErr w:type="spellEnd"/>
      <w:r w:rsidRPr="007636FA">
        <w:rPr>
          <w:rFonts w:asciiTheme="majorBidi" w:hAnsiTheme="majorBidi" w:cstheme="majorBidi"/>
          <w:lang w:val="fr-CH"/>
        </w:rPr>
        <w:t>]/5</w:t>
      </w:r>
      <w:r w:rsidRPr="007636FA">
        <w:rPr>
          <w:rStyle w:val="FootnoteReference"/>
          <w:rFonts w:asciiTheme="majorBidi" w:hAnsiTheme="majorBidi" w:cstheme="majorBidi"/>
          <w:lang w:val="fr-CH"/>
        </w:rPr>
        <w:footnoteReference w:id="1"/>
      </w:r>
    </w:p>
    <w:p w:rsidR="007636FA" w:rsidRPr="007636FA" w:rsidRDefault="007636FA" w:rsidP="007636FA">
      <w:pPr>
        <w:pStyle w:val="Questiontitle"/>
        <w:rPr>
          <w:rFonts w:asciiTheme="majorBidi" w:eastAsia="Batang" w:hAnsiTheme="majorBidi" w:cstheme="majorBidi"/>
          <w:lang w:val="fr-CH"/>
        </w:rPr>
      </w:pPr>
      <w:r w:rsidRPr="007636FA">
        <w:rPr>
          <w:rFonts w:asciiTheme="majorBidi" w:eastAsia="Batang" w:hAnsiTheme="majorBidi" w:cstheme="majorBidi"/>
          <w:lang w:val="fr-CH"/>
        </w:rPr>
        <w:t xml:space="preserve">Analyse de la coexistence entre les systèmes de détection des objets intrus fonctionnant dans la gamme de fréquences 92-100 GHz et les capteurs </w:t>
      </w:r>
      <w:r w:rsidRPr="007636FA">
        <w:rPr>
          <w:rFonts w:asciiTheme="majorBidi" w:eastAsia="Batang" w:hAnsiTheme="majorBidi" w:cstheme="majorBidi"/>
          <w:lang w:val="fr-CH"/>
        </w:rPr>
        <w:br/>
        <w:t xml:space="preserve">du service d'exploration de la Terre par satellite fonctionnant </w:t>
      </w:r>
      <w:r w:rsidRPr="007636FA">
        <w:rPr>
          <w:rFonts w:asciiTheme="majorBidi" w:eastAsia="Batang" w:hAnsiTheme="majorBidi" w:cstheme="majorBidi"/>
          <w:lang w:val="fr-CH"/>
        </w:rPr>
        <w:br/>
        <w:t>dans la même ban</w:t>
      </w:r>
      <w:bookmarkStart w:id="1" w:name="_GoBack"/>
      <w:bookmarkEnd w:id="1"/>
      <w:r w:rsidRPr="007636FA">
        <w:rPr>
          <w:rFonts w:asciiTheme="majorBidi" w:eastAsia="Batang" w:hAnsiTheme="majorBidi" w:cstheme="majorBidi"/>
          <w:lang w:val="fr-CH"/>
        </w:rPr>
        <w:t>de et dans les bandes adjacentes</w:t>
      </w:r>
    </w:p>
    <w:p w:rsidR="007636FA" w:rsidRPr="007636FA" w:rsidRDefault="007636FA" w:rsidP="007636FA">
      <w:pPr>
        <w:pStyle w:val="Normalaftertitle0"/>
        <w:rPr>
          <w:rFonts w:asciiTheme="majorBidi" w:hAnsiTheme="majorBidi" w:cstheme="majorBidi"/>
          <w:lang w:val="fr-CH"/>
        </w:rPr>
      </w:pPr>
      <w:r w:rsidRPr="007636FA">
        <w:rPr>
          <w:rFonts w:asciiTheme="majorBidi" w:hAnsiTheme="majorBidi" w:cstheme="majorBidi"/>
          <w:lang w:val="fr-CH"/>
        </w:rPr>
        <w:t>L'Assemblée des radiocommunications de l'</w:t>
      </w:r>
      <w:proofErr w:type="spellStart"/>
      <w:r w:rsidRPr="007636FA">
        <w:rPr>
          <w:rFonts w:asciiTheme="majorBidi" w:hAnsiTheme="majorBidi" w:cstheme="majorBidi"/>
          <w:lang w:val="fr-CH"/>
        </w:rPr>
        <w:t>UIT</w:t>
      </w:r>
      <w:proofErr w:type="spellEnd"/>
      <w:r w:rsidRPr="007636FA">
        <w:rPr>
          <w:rFonts w:asciiTheme="majorBidi" w:hAnsiTheme="majorBidi" w:cstheme="majorBidi"/>
          <w:lang w:val="fr-CH"/>
        </w:rPr>
        <w:t>,</w:t>
      </w:r>
    </w:p>
    <w:p w:rsidR="007636FA" w:rsidRPr="007636FA" w:rsidRDefault="007636FA" w:rsidP="007636FA">
      <w:pPr>
        <w:pStyle w:val="Call"/>
        <w:tabs>
          <w:tab w:val="clear" w:pos="794"/>
        </w:tabs>
        <w:ind w:left="1134"/>
        <w:rPr>
          <w:rFonts w:asciiTheme="majorBidi" w:hAnsiTheme="majorBidi" w:cstheme="majorBidi"/>
          <w:lang w:val="fr-CH"/>
        </w:rPr>
      </w:pPr>
      <w:proofErr w:type="gramStart"/>
      <w:r w:rsidRPr="00962F88">
        <w:rPr>
          <w:rFonts w:asciiTheme="majorBidi" w:hAnsiTheme="majorBidi" w:cstheme="majorBidi"/>
          <w:lang w:val="fr-CH"/>
        </w:rPr>
        <w:t>considérant</w:t>
      </w:r>
      <w:proofErr w:type="gramEnd"/>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a)</w:t>
      </w:r>
      <w:r w:rsidRPr="007636FA">
        <w:rPr>
          <w:rFonts w:asciiTheme="majorBidi" w:hAnsiTheme="majorBidi" w:cstheme="majorBidi"/>
          <w:i/>
          <w:szCs w:val="20"/>
          <w:lang w:val="fr-CH"/>
        </w:rPr>
        <w:tab/>
      </w:r>
      <w:r w:rsidRPr="007636FA">
        <w:rPr>
          <w:rFonts w:asciiTheme="majorBidi" w:hAnsiTheme="majorBidi" w:cstheme="majorBidi"/>
          <w:szCs w:val="20"/>
          <w:lang w:val="fr-CH"/>
        </w:rPr>
        <w:t>que les objets intrus peuvent gravement blesser le personnel des aéroports et des compagnies aériennes et endommager les équipements;</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b)</w:t>
      </w:r>
      <w:r w:rsidRPr="007636FA">
        <w:rPr>
          <w:rFonts w:asciiTheme="majorBidi" w:hAnsiTheme="majorBidi" w:cstheme="majorBidi"/>
          <w:i/>
          <w:szCs w:val="20"/>
          <w:lang w:val="fr-CH"/>
        </w:rPr>
        <w:tab/>
      </w:r>
      <w:r w:rsidRPr="007636FA">
        <w:rPr>
          <w:rFonts w:asciiTheme="majorBidi" w:hAnsiTheme="majorBidi" w:cstheme="majorBidi"/>
          <w:szCs w:val="20"/>
          <w:lang w:val="fr-CH"/>
        </w:rPr>
        <w:t>que les objets intrus peuvent provenir du personnel, des infrastructures de l'aéroport, de l'environnement et des équipements utilisés sur l'aérodrome;</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c)</w:t>
      </w:r>
      <w:r w:rsidRPr="007636FA">
        <w:rPr>
          <w:rFonts w:asciiTheme="majorBidi" w:hAnsiTheme="majorBidi" w:cstheme="majorBidi"/>
          <w:i/>
          <w:szCs w:val="20"/>
          <w:lang w:val="fr-CH"/>
        </w:rPr>
        <w:tab/>
      </w:r>
      <w:r w:rsidRPr="007636FA">
        <w:rPr>
          <w:rFonts w:asciiTheme="majorBidi" w:hAnsiTheme="majorBidi" w:cstheme="majorBidi"/>
          <w:szCs w:val="20"/>
          <w:lang w:val="fr-CH"/>
        </w:rPr>
        <w:t xml:space="preserve">qu'une étude réalisée dans un aéroport a montré que, sur une période d'un an, plus de 60% des objets intrus constatés étaient en métal et 18% en caoutchouc; </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d)</w:t>
      </w:r>
      <w:r w:rsidRPr="007636FA">
        <w:rPr>
          <w:rFonts w:asciiTheme="majorBidi" w:hAnsiTheme="majorBidi" w:cstheme="majorBidi"/>
          <w:i/>
          <w:szCs w:val="20"/>
          <w:lang w:val="fr-CH"/>
        </w:rPr>
        <w:tab/>
      </w:r>
      <w:r w:rsidRPr="007636FA">
        <w:rPr>
          <w:rFonts w:asciiTheme="majorBidi" w:hAnsiTheme="majorBidi" w:cstheme="majorBidi"/>
          <w:szCs w:val="20"/>
          <w:lang w:val="fr-CH"/>
        </w:rPr>
        <w:t>qu'il est nécessaire de détecter les objets intrus au sol dans les aéroports afin de garantir la sécurité des opérations aéroportuaires;</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e)</w:t>
      </w:r>
      <w:r w:rsidRPr="007636FA">
        <w:rPr>
          <w:rFonts w:asciiTheme="majorBidi" w:hAnsiTheme="majorBidi" w:cstheme="majorBidi"/>
          <w:i/>
          <w:szCs w:val="20"/>
          <w:lang w:val="fr-CH"/>
        </w:rPr>
        <w:tab/>
      </w:r>
      <w:r w:rsidRPr="007636FA">
        <w:rPr>
          <w:rFonts w:asciiTheme="majorBidi" w:hAnsiTheme="majorBidi" w:cstheme="majorBidi"/>
          <w:szCs w:val="20"/>
          <w:lang w:val="fr-CH"/>
        </w:rPr>
        <w:t>que les technologies de pointe telles que les radars à ondes millimétriques peuvent désormais permettre d'améliorer la détection des objets intrus, notamment en rendant possible la détection continue sur les pistes et sur d'autres aires de mouvement des aéronefs;</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f)</w:t>
      </w:r>
      <w:r w:rsidRPr="007636FA">
        <w:rPr>
          <w:rFonts w:asciiTheme="majorBidi" w:hAnsiTheme="majorBidi" w:cstheme="majorBidi"/>
          <w:i/>
          <w:szCs w:val="20"/>
          <w:lang w:val="fr-CH"/>
        </w:rPr>
        <w:tab/>
      </w:r>
      <w:r w:rsidRPr="007636FA">
        <w:rPr>
          <w:rFonts w:asciiTheme="majorBidi" w:hAnsiTheme="majorBidi" w:cstheme="majorBidi"/>
          <w:szCs w:val="20"/>
          <w:lang w:val="fr-CH"/>
        </w:rPr>
        <w:t>que les radars à objets intrus doivent être capables de détecter des petits objets d'une hauteur de 3,1 cm et d'un diamètre de 3,8 cm;</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g)</w:t>
      </w:r>
      <w:r w:rsidRPr="007636FA">
        <w:rPr>
          <w:rFonts w:asciiTheme="majorBidi" w:hAnsiTheme="majorBidi" w:cstheme="majorBidi"/>
          <w:i/>
          <w:szCs w:val="20"/>
          <w:lang w:val="fr-CH"/>
        </w:rPr>
        <w:tab/>
      </w:r>
      <w:r w:rsidRPr="007636FA">
        <w:rPr>
          <w:rFonts w:asciiTheme="majorBidi" w:hAnsiTheme="majorBidi" w:cstheme="majorBidi"/>
          <w:szCs w:val="20"/>
          <w:lang w:val="fr-CH"/>
        </w:rPr>
        <w:t>que les autorités aéronautiques fournissent des directives et des spécifications relatives à l'acquisition d'équipements de détection des objets intrus dans les aéroports;</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h)</w:t>
      </w:r>
      <w:r w:rsidRPr="007636FA">
        <w:rPr>
          <w:rFonts w:asciiTheme="majorBidi" w:hAnsiTheme="majorBidi" w:cstheme="majorBidi"/>
          <w:i/>
          <w:szCs w:val="20"/>
          <w:lang w:val="fr-CH"/>
        </w:rPr>
        <w:tab/>
      </w:r>
      <w:r w:rsidRPr="007636FA">
        <w:rPr>
          <w:rFonts w:asciiTheme="majorBidi" w:hAnsiTheme="majorBidi" w:cstheme="majorBidi"/>
          <w:szCs w:val="20"/>
          <w:lang w:val="fr-CH"/>
        </w:rPr>
        <w:t>qu'une largeur de bande contiguë suffisante est disponible pour les services de radiolocalisation dans la gamme de fréquences 92-100 GHz;</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ja-JP"/>
        </w:rPr>
      </w:pPr>
      <w:r w:rsidRPr="007636FA">
        <w:rPr>
          <w:rFonts w:asciiTheme="majorBidi" w:hAnsiTheme="majorBidi" w:cstheme="majorBidi"/>
          <w:i/>
          <w:szCs w:val="20"/>
          <w:lang w:val="fr-CH" w:eastAsia="ja-JP"/>
        </w:rPr>
        <w:t>i)</w:t>
      </w:r>
      <w:r w:rsidRPr="007636FA">
        <w:rPr>
          <w:rFonts w:asciiTheme="majorBidi" w:hAnsiTheme="majorBidi" w:cstheme="majorBidi"/>
          <w:i/>
          <w:szCs w:val="20"/>
          <w:lang w:val="fr-CH" w:eastAsia="ja-JP"/>
        </w:rPr>
        <w:tab/>
      </w:r>
      <w:r w:rsidRPr="007636FA">
        <w:rPr>
          <w:rFonts w:asciiTheme="majorBidi" w:hAnsiTheme="majorBidi" w:cstheme="majorBidi"/>
          <w:szCs w:val="20"/>
          <w:lang w:val="fr-CH" w:eastAsia="ja-JP"/>
        </w:rPr>
        <w:t xml:space="preserve">que les caractéristiques techniques et opérationnelles des systèmes de détection des </w:t>
      </w:r>
      <w:r w:rsidRPr="007636FA">
        <w:rPr>
          <w:rFonts w:asciiTheme="majorBidi" w:hAnsiTheme="majorBidi" w:cstheme="majorBidi"/>
          <w:szCs w:val="20"/>
          <w:lang w:val="fr-CH"/>
        </w:rPr>
        <w:t>objets intrus</w:t>
      </w:r>
      <w:r w:rsidRPr="007636FA">
        <w:rPr>
          <w:rFonts w:asciiTheme="majorBidi" w:hAnsiTheme="majorBidi" w:cstheme="majorBidi"/>
          <w:szCs w:val="20"/>
          <w:lang w:val="fr-CH" w:eastAsia="ja-JP"/>
        </w:rPr>
        <w:t xml:space="preserve"> doivent être décrites dans un document,</w:t>
      </w:r>
    </w:p>
    <w:p w:rsidR="007636FA" w:rsidRPr="007636FA" w:rsidRDefault="007636F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sidRPr="007636FA">
        <w:rPr>
          <w:rFonts w:asciiTheme="majorBidi" w:hAnsiTheme="majorBidi" w:cstheme="majorBidi"/>
          <w:lang w:val="fr-CH"/>
        </w:rPr>
        <w:br w:type="page"/>
      </w:r>
    </w:p>
    <w:p w:rsidR="007636FA" w:rsidRPr="007636FA" w:rsidRDefault="007636FA" w:rsidP="007636FA">
      <w:pPr>
        <w:pStyle w:val="Call"/>
        <w:tabs>
          <w:tab w:val="clear" w:pos="794"/>
        </w:tabs>
        <w:ind w:left="1134"/>
        <w:rPr>
          <w:rFonts w:asciiTheme="majorBidi" w:hAnsiTheme="majorBidi" w:cstheme="majorBidi"/>
          <w:lang w:val="fr-CH"/>
        </w:rPr>
      </w:pPr>
      <w:proofErr w:type="gramStart"/>
      <w:r w:rsidRPr="007636FA">
        <w:rPr>
          <w:rFonts w:asciiTheme="majorBidi" w:hAnsiTheme="majorBidi" w:cstheme="majorBidi"/>
          <w:lang w:val="fr-CH"/>
        </w:rPr>
        <w:lastRenderedPageBreak/>
        <w:t>reconnaissant</w:t>
      </w:r>
      <w:proofErr w:type="gramEnd"/>
    </w:p>
    <w:p w:rsidR="007636FA" w:rsidRPr="007636FA" w:rsidRDefault="007636FA" w:rsidP="007636FA">
      <w:pPr>
        <w:tabs>
          <w:tab w:val="clear" w:pos="794"/>
          <w:tab w:val="clear" w:pos="1191"/>
          <w:tab w:val="clear" w:pos="1588"/>
          <w:tab w:val="clear" w:pos="1985"/>
          <w:tab w:val="left" w:pos="1134"/>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a)</w:t>
      </w:r>
      <w:r w:rsidRPr="007636FA">
        <w:rPr>
          <w:rFonts w:asciiTheme="majorBidi" w:hAnsiTheme="majorBidi" w:cstheme="majorBidi"/>
          <w:i/>
          <w:szCs w:val="20"/>
          <w:lang w:val="fr-CH"/>
        </w:rPr>
        <w:tab/>
      </w:r>
      <w:r w:rsidRPr="007636FA">
        <w:rPr>
          <w:rFonts w:asciiTheme="majorBidi" w:hAnsiTheme="majorBidi" w:cstheme="majorBidi"/>
          <w:szCs w:val="20"/>
          <w:lang w:val="fr-CH"/>
        </w:rPr>
        <w:t>qu'il n'y a pas de priorité réglementaire entre les services bénéficiant d'attributions à titre primaire avec égalité des droits en l'absence d'autres dispositions réglementaires spécifiques dans le Règlement des radiocommunications;</w:t>
      </w:r>
    </w:p>
    <w:p w:rsidR="007636FA" w:rsidRPr="007636FA" w:rsidRDefault="007636FA" w:rsidP="007636FA">
      <w:pPr>
        <w:tabs>
          <w:tab w:val="clear" w:pos="794"/>
          <w:tab w:val="clear" w:pos="1191"/>
          <w:tab w:val="clear" w:pos="1588"/>
          <w:tab w:val="clear" w:pos="1985"/>
          <w:tab w:val="left" w:pos="1134"/>
          <w:tab w:val="left" w:pos="2268"/>
          <w:tab w:val="left" w:pos="2835"/>
        </w:tabs>
        <w:spacing w:before="120" w:line="240" w:lineRule="auto"/>
        <w:rPr>
          <w:rFonts w:asciiTheme="majorBidi" w:hAnsiTheme="majorBidi" w:cstheme="majorBidi"/>
          <w:szCs w:val="20"/>
          <w:lang w:val="fr-CH"/>
        </w:rPr>
      </w:pPr>
      <w:r w:rsidRPr="007636FA">
        <w:rPr>
          <w:rFonts w:asciiTheme="majorBidi" w:hAnsiTheme="majorBidi" w:cstheme="majorBidi"/>
          <w:i/>
          <w:szCs w:val="20"/>
          <w:lang w:val="fr-CH"/>
        </w:rPr>
        <w:t>b)</w:t>
      </w:r>
      <w:r w:rsidRPr="007636FA">
        <w:rPr>
          <w:rFonts w:asciiTheme="majorBidi" w:hAnsiTheme="majorBidi" w:cstheme="majorBidi"/>
          <w:i/>
          <w:szCs w:val="20"/>
          <w:lang w:val="fr-CH"/>
        </w:rPr>
        <w:tab/>
      </w:r>
      <w:r w:rsidRPr="007636FA">
        <w:rPr>
          <w:rFonts w:asciiTheme="majorBidi" w:hAnsiTheme="majorBidi" w:cstheme="majorBidi"/>
          <w:szCs w:val="20"/>
          <w:lang w:val="fr-CH"/>
        </w:rPr>
        <w:t xml:space="preserve">que, dans les bandes de fréquences au-dessus de 71 GHz, afin de répondre aux nouveaux besoins des services actifs, le partage avec les services passifs devrait être étudié, conformément à la Résolution </w:t>
      </w:r>
      <w:r w:rsidRPr="007636FA">
        <w:rPr>
          <w:rFonts w:asciiTheme="majorBidi" w:hAnsiTheme="majorBidi" w:cstheme="majorBidi"/>
          <w:b/>
          <w:szCs w:val="20"/>
          <w:lang w:val="fr-CH"/>
        </w:rPr>
        <w:t>731 (</w:t>
      </w:r>
      <w:proofErr w:type="spellStart"/>
      <w:r w:rsidRPr="007636FA">
        <w:rPr>
          <w:rFonts w:asciiTheme="majorBidi" w:hAnsiTheme="majorBidi" w:cstheme="majorBidi"/>
          <w:b/>
          <w:szCs w:val="20"/>
          <w:lang w:val="fr-CH"/>
        </w:rPr>
        <w:t>Rév.CMR</w:t>
      </w:r>
      <w:proofErr w:type="spellEnd"/>
      <w:r w:rsidRPr="007636FA">
        <w:rPr>
          <w:rFonts w:asciiTheme="majorBidi" w:hAnsiTheme="majorBidi" w:cstheme="majorBidi"/>
          <w:b/>
          <w:szCs w:val="20"/>
          <w:lang w:val="fr-CH"/>
        </w:rPr>
        <w:t>-12)</w:t>
      </w:r>
      <w:r w:rsidRPr="007636FA">
        <w:rPr>
          <w:rFonts w:asciiTheme="majorBidi" w:hAnsiTheme="majorBidi" w:cstheme="majorBidi"/>
          <w:szCs w:val="20"/>
          <w:lang w:val="fr-CH"/>
        </w:rPr>
        <w:t>;</w:t>
      </w:r>
    </w:p>
    <w:p w:rsidR="007636FA" w:rsidRPr="007636FA" w:rsidRDefault="007636FA" w:rsidP="007636FA">
      <w:pPr>
        <w:tabs>
          <w:tab w:val="clear" w:pos="794"/>
          <w:tab w:val="clear" w:pos="1191"/>
          <w:tab w:val="clear" w:pos="1588"/>
          <w:tab w:val="clear" w:pos="1985"/>
          <w:tab w:val="left" w:pos="1134"/>
          <w:tab w:val="left" w:pos="2268"/>
        </w:tabs>
        <w:spacing w:before="120" w:line="240" w:lineRule="auto"/>
        <w:rPr>
          <w:rFonts w:asciiTheme="majorBidi" w:hAnsiTheme="majorBidi" w:cstheme="majorBidi"/>
          <w:bCs/>
          <w:szCs w:val="24"/>
          <w:lang w:val="fr-CH" w:eastAsia="ja-JP" w:bidi="he-IL"/>
        </w:rPr>
      </w:pPr>
      <w:r w:rsidRPr="007636FA">
        <w:rPr>
          <w:rFonts w:asciiTheme="majorBidi" w:hAnsiTheme="majorBidi" w:cstheme="majorBidi"/>
          <w:i/>
          <w:iCs/>
          <w:szCs w:val="20"/>
          <w:lang w:val="fr-CH" w:eastAsia="ja-JP"/>
        </w:rPr>
        <w:t>c)</w:t>
      </w:r>
      <w:r w:rsidRPr="007636FA">
        <w:rPr>
          <w:rFonts w:asciiTheme="majorBidi" w:hAnsiTheme="majorBidi" w:cstheme="majorBidi"/>
          <w:szCs w:val="20"/>
          <w:lang w:val="fr-CH" w:eastAsia="ja-JP"/>
        </w:rPr>
        <w:tab/>
        <w:t xml:space="preserve">que des mesures appropriées et des critères de partage entre les services actifs bénéficiant d'attributions à titre primaire avec égalité des droits devraient aussi être étudiés, conformément à la Résolution </w:t>
      </w:r>
      <w:r w:rsidRPr="007636FA">
        <w:rPr>
          <w:rFonts w:asciiTheme="majorBidi" w:hAnsiTheme="majorBidi" w:cstheme="majorBidi"/>
          <w:b/>
          <w:szCs w:val="20"/>
          <w:lang w:val="fr-CH" w:eastAsia="ja-JP"/>
        </w:rPr>
        <w:t>732 (</w:t>
      </w:r>
      <w:proofErr w:type="spellStart"/>
      <w:r w:rsidRPr="007636FA">
        <w:rPr>
          <w:rFonts w:asciiTheme="majorBidi" w:hAnsiTheme="majorBidi" w:cstheme="majorBidi"/>
          <w:b/>
          <w:szCs w:val="20"/>
          <w:lang w:val="fr-CH" w:eastAsia="ja-JP"/>
        </w:rPr>
        <w:t>Rév.CMR</w:t>
      </w:r>
      <w:proofErr w:type="spellEnd"/>
      <w:r w:rsidRPr="007636FA">
        <w:rPr>
          <w:rFonts w:asciiTheme="majorBidi" w:hAnsiTheme="majorBidi" w:cstheme="majorBidi"/>
          <w:b/>
          <w:szCs w:val="20"/>
          <w:lang w:val="fr-CH" w:eastAsia="ja-JP"/>
        </w:rPr>
        <w:t>-12)</w:t>
      </w:r>
      <w:r w:rsidRPr="007636FA">
        <w:rPr>
          <w:rFonts w:asciiTheme="majorBidi" w:hAnsiTheme="majorBidi" w:cstheme="majorBidi"/>
          <w:szCs w:val="20"/>
          <w:lang w:val="fr-CH" w:eastAsia="ja-JP"/>
        </w:rPr>
        <w:t>;</w:t>
      </w:r>
    </w:p>
    <w:p w:rsidR="007636FA" w:rsidRPr="007636FA" w:rsidRDefault="007636FA" w:rsidP="007636FA">
      <w:pPr>
        <w:tabs>
          <w:tab w:val="clear" w:pos="794"/>
          <w:tab w:val="clear" w:pos="1191"/>
          <w:tab w:val="clear" w:pos="1588"/>
          <w:tab w:val="clear" w:pos="1985"/>
          <w:tab w:val="left" w:pos="1134"/>
          <w:tab w:val="left" w:pos="2268"/>
        </w:tabs>
        <w:spacing w:before="120" w:line="240" w:lineRule="auto"/>
        <w:rPr>
          <w:rFonts w:asciiTheme="majorBidi" w:hAnsiTheme="majorBidi" w:cstheme="majorBidi"/>
          <w:szCs w:val="24"/>
          <w:lang w:val="fr-CH" w:eastAsia="ja-JP" w:bidi="he-IL"/>
        </w:rPr>
      </w:pPr>
      <w:r w:rsidRPr="007636FA">
        <w:rPr>
          <w:rFonts w:asciiTheme="majorBidi" w:hAnsiTheme="majorBidi" w:cstheme="majorBidi"/>
          <w:i/>
          <w:iCs/>
          <w:szCs w:val="24"/>
          <w:lang w:val="fr-CH" w:eastAsia="ja-JP" w:bidi="he-IL"/>
        </w:rPr>
        <w:t>d)</w:t>
      </w:r>
      <w:r w:rsidRPr="007636FA">
        <w:rPr>
          <w:rFonts w:asciiTheme="majorBidi" w:hAnsiTheme="majorBidi" w:cstheme="majorBidi"/>
          <w:szCs w:val="24"/>
          <w:lang w:val="fr-CH" w:eastAsia="ja-JP" w:bidi="he-IL"/>
        </w:rPr>
        <w:tab/>
        <w:t xml:space="preserve">que, pour les scénarios de partage et de compatibilité, les critères de protection applicables au service d'exploration de la Terre par satellite (SETS) (passive) figurent dans la Recommandation </w:t>
      </w:r>
      <w:proofErr w:type="spellStart"/>
      <w:r w:rsidRPr="007636FA">
        <w:rPr>
          <w:rFonts w:asciiTheme="majorBidi" w:hAnsiTheme="majorBidi" w:cstheme="majorBidi"/>
          <w:szCs w:val="24"/>
          <w:lang w:val="fr-CH" w:eastAsia="ja-JP" w:bidi="he-IL"/>
        </w:rPr>
        <w:t>UIT</w:t>
      </w:r>
      <w:proofErr w:type="spellEnd"/>
      <w:r w:rsidRPr="007636FA">
        <w:rPr>
          <w:rFonts w:asciiTheme="majorBidi" w:hAnsiTheme="majorBidi" w:cstheme="majorBidi"/>
          <w:szCs w:val="24"/>
          <w:lang w:val="fr-CH" w:eastAsia="ja-JP" w:bidi="he-IL"/>
        </w:rPr>
        <w:t xml:space="preserve">-R </w:t>
      </w:r>
      <w:proofErr w:type="spellStart"/>
      <w:r w:rsidRPr="007636FA">
        <w:rPr>
          <w:rFonts w:asciiTheme="majorBidi" w:hAnsiTheme="majorBidi" w:cstheme="majorBidi"/>
          <w:szCs w:val="24"/>
          <w:lang w:val="fr-CH" w:eastAsia="ja-JP" w:bidi="he-IL"/>
        </w:rPr>
        <w:t>RS.2017</w:t>
      </w:r>
      <w:proofErr w:type="spellEnd"/>
      <w:r w:rsidRPr="007636FA">
        <w:rPr>
          <w:rFonts w:asciiTheme="majorBidi" w:hAnsiTheme="majorBidi" w:cstheme="majorBidi"/>
          <w:szCs w:val="24"/>
          <w:lang w:val="fr-CH" w:eastAsia="ja-JP" w:bidi="he-IL"/>
        </w:rPr>
        <w:t xml:space="preserve"> et que ceux applicables au SETS (active) figurent dans la Recommandation </w:t>
      </w:r>
      <w:proofErr w:type="spellStart"/>
      <w:r w:rsidRPr="007636FA">
        <w:rPr>
          <w:rFonts w:asciiTheme="majorBidi" w:hAnsiTheme="majorBidi" w:cstheme="majorBidi"/>
          <w:szCs w:val="24"/>
          <w:lang w:val="fr-CH" w:eastAsia="ja-JP" w:bidi="he-IL"/>
        </w:rPr>
        <w:t>UIT</w:t>
      </w:r>
      <w:proofErr w:type="spellEnd"/>
      <w:r w:rsidRPr="007636FA">
        <w:rPr>
          <w:rFonts w:asciiTheme="majorBidi" w:hAnsiTheme="majorBidi" w:cstheme="majorBidi"/>
          <w:szCs w:val="24"/>
          <w:lang w:val="fr-CH" w:eastAsia="ja-JP" w:bidi="he-IL"/>
        </w:rPr>
        <w:t xml:space="preserve">-R </w:t>
      </w:r>
      <w:proofErr w:type="spellStart"/>
      <w:r w:rsidRPr="007636FA">
        <w:rPr>
          <w:rFonts w:asciiTheme="majorBidi" w:hAnsiTheme="majorBidi" w:cstheme="majorBidi"/>
          <w:szCs w:val="24"/>
          <w:lang w:val="fr-CH" w:eastAsia="ja-JP" w:bidi="he-IL"/>
        </w:rPr>
        <w:t>RS.1166</w:t>
      </w:r>
      <w:proofErr w:type="spellEnd"/>
      <w:r w:rsidRPr="007636FA">
        <w:rPr>
          <w:rFonts w:asciiTheme="majorBidi" w:hAnsiTheme="majorBidi" w:cstheme="majorBidi"/>
          <w:szCs w:val="24"/>
          <w:lang w:val="fr-CH" w:eastAsia="ja-JP" w:bidi="he-IL"/>
        </w:rPr>
        <w:t>;</w:t>
      </w:r>
    </w:p>
    <w:p w:rsidR="007636FA" w:rsidRPr="007636FA" w:rsidRDefault="007636FA" w:rsidP="007636FA">
      <w:pPr>
        <w:tabs>
          <w:tab w:val="clear" w:pos="794"/>
          <w:tab w:val="clear" w:pos="1191"/>
          <w:tab w:val="clear" w:pos="1588"/>
          <w:tab w:val="clear" w:pos="1985"/>
          <w:tab w:val="left" w:pos="1134"/>
          <w:tab w:val="left" w:pos="2268"/>
        </w:tabs>
        <w:spacing w:before="120" w:line="240" w:lineRule="auto"/>
        <w:rPr>
          <w:rFonts w:asciiTheme="majorBidi" w:hAnsiTheme="majorBidi" w:cstheme="majorBidi"/>
          <w:szCs w:val="20"/>
          <w:lang w:val="fr-CH"/>
        </w:rPr>
      </w:pPr>
      <w:r w:rsidRPr="007636FA">
        <w:rPr>
          <w:rFonts w:asciiTheme="majorBidi" w:hAnsiTheme="majorBidi" w:cstheme="majorBidi"/>
          <w:i/>
          <w:iCs/>
          <w:szCs w:val="20"/>
          <w:lang w:val="fr-CH" w:eastAsia="ja-JP"/>
        </w:rPr>
        <w:t>e)</w:t>
      </w:r>
      <w:r w:rsidRPr="007636FA">
        <w:rPr>
          <w:rFonts w:asciiTheme="majorBidi" w:hAnsiTheme="majorBidi" w:cstheme="majorBidi"/>
          <w:szCs w:val="20"/>
          <w:lang w:val="fr-CH" w:eastAsia="ja-JP"/>
        </w:rPr>
        <w:tab/>
      </w:r>
      <w:r w:rsidRPr="007636FA">
        <w:rPr>
          <w:rFonts w:asciiTheme="majorBidi" w:hAnsiTheme="majorBidi" w:cstheme="majorBidi"/>
          <w:szCs w:val="24"/>
          <w:lang w:val="fr-CH" w:eastAsia="ja-JP" w:bidi="he-IL"/>
        </w:rPr>
        <w:t xml:space="preserve">que les niveaux des rayonnements non désirés applicables au service fixe afin de protéger le SETS (passive) dans la bande 88-92 GHz sont indiqués dans la Résolution </w:t>
      </w:r>
      <w:r w:rsidRPr="007636FA">
        <w:rPr>
          <w:rFonts w:asciiTheme="majorBidi" w:hAnsiTheme="majorBidi" w:cstheme="majorBidi"/>
          <w:b/>
          <w:bCs/>
          <w:szCs w:val="24"/>
          <w:lang w:val="fr-CH" w:eastAsia="ja-JP" w:bidi="he-IL"/>
        </w:rPr>
        <w:t>750 (</w:t>
      </w:r>
      <w:proofErr w:type="spellStart"/>
      <w:r w:rsidRPr="007636FA">
        <w:rPr>
          <w:rFonts w:asciiTheme="majorBidi" w:hAnsiTheme="majorBidi" w:cstheme="majorBidi"/>
          <w:b/>
          <w:bCs/>
          <w:szCs w:val="24"/>
          <w:lang w:val="fr-CH" w:eastAsia="ja-JP" w:bidi="he-IL"/>
        </w:rPr>
        <w:t>Rév.CMR</w:t>
      </w:r>
      <w:proofErr w:type="spellEnd"/>
      <w:r w:rsidRPr="007636FA">
        <w:rPr>
          <w:rFonts w:asciiTheme="majorBidi" w:hAnsiTheme="majorBidi" w:cstheme="majorBidi"/>
          <w:b/>
          <w:bCs/>
          <w:szCs w:val="24"/>
          <w:lang w:val="fr-CH" w:eastAsia="ja-JP" w:bidi="he-IL"/>
        </w:rPr>
        <w:t>-15)</w:t>
      </w:r>
      <w:r w:rsidRPr="007636FA">
        <w:rPr>
          <w:rFonts w:asciiTheme="majorBidi" w:hAnsiTheme="majorBidi" w:cstheme="majorBidi"/>
          <w:szCs w:val="24"/>
          <w:lang w:val="fr-CH" w:eastAsia="ja-JP" w:bidi="he-IL"/>
        </w:rPr>
        <w:t>,</w:t>
      </w:r>
    </w:p>
    <w:p w:rsidR="007636FA" w:rsidRPr="007636FA" w:rsidRDefault="007636FA" w:rsidP="007636FA">
      <w:pPr>
        <w:pStyle w:val="Call"/>
        <w:tabs>
          <w:tab w:val="clear" w:pos="794"/>
        </w:tabs>
        <w:ind w:left="1134"/>
        <w:rPr>
          <w:rFonts w:asciiTheme="majorBidi" w:hAnsiTheme="majorBidi" w:cstheme="majorBidi"/>
          <w:lang w:val="fr-CH"/>
        </w:rPr>
      </w:pPr>
      <w:proofErr w:type="gramStart"/>
      <w:r w:rsidRPr="007636FA">
        <w:rPr>
          <w:rFonts w:asciiTheme="majorBidi" w:hAnsiTheme="majorBidi" w:cstheme="majorBidi"/>
          <w:lang w:val="fr-CH"/>
        </w:rPr>
        <w:t>décide</w:t>
      </w:r>
      <w:proofErr w:type="gramEnd"/>
      <w:r w:rsidRPr="007636FA">
        <w:rPr>
          <w:rFonts w:asciiTheme="majorBidi" w:hAnsiTheme="majorBidi" w:cstheme="majorBidi"/>
          <w:lang w:val="fr-CH"/>
        </w:rPr>
        <w:t xml:space="preserve"> </w:t>
      </w:r>
      <w:r w:rsidRPr="00962F88">
        <w:rPr>
          <w:rFonts w:asciiTheme="majorBidi" w:hAnsiTheme="majorBidi" w:cstheme="majorBidi"/>
          <w:i w:val="0"/>
          <w:iCs/>
          <w:lang w:val="fr-CH"/>
        </w:rPr>
        <w:t>de mettre à l'étude la Question suivante</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proofErr w:type="gramStart"/>
      <w:r w:rsidRPr="007636FA">
        <w:rPr>
          <w:rFonts w:asciiTheme="majorBidi" w:hAnsiTheme="majorBidi" w:cstheme="majorBidi"/>
          <w:szCs w:val="20"/>
          <w:lang w:val="fr-CH"/>
        </w:rPr>
        <w:t>quelles</w:t>
      </w:r>
      <w:proofErr w:type="gramEnd"/>
      <w:r w:rsidRPr="007636FA">
        <w:rPr>
          <w:rFonts w:asciiTheme="majorBidi" w:hAnsiTheme="majorBidi" w:cstheme="majorBidi"/>
          <w:szCs w:val="20"/>
          <w:lang w:val="fr-CH"/>
        </w:rPr>
        <w:t xml:space="preserve"> conditions techniques doivent être appliquées aux systèmes de détection des objets intrus et aux systèmes du SETS (active)/SETS (passive) afin de garantir leur coexistence lorsqu'ils utilisent une bande de fréquences commune ou des bandes de fréquences adjacentes?</w:t>
      </w:r>
    </w:p>
    <w:p w:rsidR="007636FA" w:rsidRPr="007636FA" w:rsidRDefault="007636FA" w:rsidP="007636FA">
      <w:pPr>
        <w:pStyle w:val="Call"/>
        <w:tabs>
          <w:tab w:val="clear" w:pos="794"/>
          <w:tab w:val="left" w:pos="1276"/>
        </w:tabs>
        <w:ind w:left="1134"/>
        <w:rPr>
          <w:rFonts w:asciiTheme="majorBidi" w:hAnsiTheme="majorBidi" w:cstheme="majorBidi"/>
          <w:lang w:val="fr-CH"/>
        </w:rPr>
      </w:pPr>
      <w:proofErr w:type="gramStart"/>
      <w:r w:rsidRPr="007636FA">
        <w:rPr>
          <w:rFonts w:asciiTheme="majorBidi" w:hAnsiTheme="majorBidi" w:cstheme="majorBidi"/>
          <w:lang w:val="fr-CH"/>
        </w:rPr>
        <w:t>décide</w:t>
      </w:r>
      <w:proofErr w:type="gramEnd"/>
      <w:r w:rsidRPr="007636FA">
        <w:rPr>
          <w:rFonts w:asciiTheme="majorBidi" w:hAnsiTheme="majorBidi" w:cstheme="majorBidi"/>
          <w:lang w:val="fr-CH"/>
        </w:rPr>
        <w:t xml:space="preserve"> en outre</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szCs w:val="20"/>
          <w:lang w:val="fr-CH"/>
        </w:rPr>
        <w:t>1</w:t>
      </w:r>
      <w:r w:rsidRPr="007636FA">
        <w:rPr>
          <w:rFonts w:asciiTheme="majorBidi" w:hAnsiTheme="majorBidi" w:cstheme="majorBidi"/>
          <w:szCs w:val="20"/>
          <w:lang w:val="fr-CH"/>
        </w:rPr>
        <w:tab/>
        <w:t xml:space="preserve">que les caractéristiques techniques et opérationnelles des systèmes de détection des objets intrus devraient être incluses dans une Recommandation </w:t>
      </w:r>
      <w:proofErr w:type="spellStart"/>
      <w:r w:rsidRPr="007636FA">
        <w:rPr>
          <w:rFonts w:asciiTheme="majorBidi" w:hAnsiTheme="majorBidi" w:cstheme="majorBidi"/>
          <w:szCs w:val="20"/>
          <w:lang w:val="fr-CH"/>
        </w:rPr>
        <w:t>UIT</w:t>
      </w:r>
      <w:proofErr w:type="spellEnd"/>
      <w:r w:rsidRPr="007636FA">
        <w:rPr>
          <w:rFonts w:asciiTheme="majorBidi" w:hAnsiTheme="majorBidi" w:cstheme="majorBidi"/>
          <w:szCs w:val="20"/>
          <w:lang w:val="fr-CH"/>
        </w:rPr>
        <w:t>-R;</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szCs w:val="20"/>
          <w:lang w:val="fr-CH"/>
        </w:rPr>
        <w:t>2</w:t>
      </w:r>
      <w:r w:rsidRPr="007636FA">
        <w:rPr>
          <w:rFonts w:asciiTheme="majorBidi" w:hAnsiTheme="majorBidi" w:cstheme="majorBidi"/>
          <w:szCs w:val="20"/>
          <w:lang w:val="fr-CH"/>
        </w:rPr>
        <w:tab/>
        <w:t>que les résultats des études devraient aussi être inclus dans un Rapport de l'</w:t>
      </w:r>
      <w:proofErr w:type="spellStart"/>
      <w:r w:rsidRPr="007636FA">
        <w:rPr>
          <w:rFonts w:asciiTheme="majorBidi" w:hAnsiTheme="majorBidi" w:cstheme="majorBidi"/>
          <w:szCs w:val="20"/>
          <w:lang w:val="fr-CH"/>
        </w:rPr>
        <w:t>UIT</w:t>
      </w:r>
      <w:proofErr w:type="spellEnd"/>
      <w:r w:rsidRPr="007636FA">
        <w:rPr>
          <w:rFonts w:asciiTheme="majorBidi" w:hAnsiTheme="majorBidi" w:cstheme="majorBidi"/>
          <w:szCs w:val="20"/>
          <w:lang w:val="fr-CH"/>
        </w:rPr>
        <w:t>-R;</w:t>
      </w:r>
    </w:p>
    <w:p w:rsidR="007636FA" w:rsidRPr="007636FA" w:rsidRDefault="007636FA" w:rsidP="007636F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7636FA">
        <w:rPr>
          <w:rFonts w:asciiTheme="majorBidi" w:hAnsiTheme="majorBidi" w:cstheme="majorBidi"/>
          <w:szCs w:val="20"/>
          <w:lang w:val="fr-CH"/>
        </w:rPr>
        <w:t>3</w:t>
      </w:r>
      <w:r w:rsidRPr="007636FA">
        <w:rPr>
          <w:rFonts w:asciiTheme="majorBidi" w:hAnsiTheme="majorBidi" w:cstheme="majorBidi"/>
          <w:szCs w:val="20"/>
          <w:lang w:val="fr-CH"/>
        </w:rPr>
        <w:tab/>
        <w:t>que ces travaux devraient être achevés d'ici à 2023.</w:t>
      </w:r>
    </w:p>
    <w:p w:rsidR="007636FA" w:rsidRPr="007636FA" w:rsidRDefault="007636FA" w:rsidP="007636FA">
      <w:pPr>
        <w:tabs>
          <w:tab w:val="clear" w:pos="794"/>
          <w:tab w:val="clear" w:pos="1191"/>
          <w:tab w:val="clear" w:pos="1588"/>
          <w:tab w:val="clear" w:pos="1985"/>
          <w:tab w:val="left" w:pos="1134"/>
          <w:tab w:val="left" w:pos="1871"/>
          <w:tab w:val="left" w:pos="2268"/>
        </w:tabs>
        <w:spacing w:before="360" w:line="240" w:lineRule="auto"/>
        <w:rPr>
          <w:rFonts w:asciiTheme="majorBidi" w:hAnsiTheme="majorBidi" w:cstheme="majorBidi"/>
          <w:szCs w:val="20"/>
          <w:lang w:val="fr-CH"/>
        </w:rPr>
      </w:pPr>
      <w:r w:rsidRPr="007636FA">
        <w:rPr>
          <w:rFonts w:asciiTheme="majorBidi" w:hAnsiTheme="majorBidi" w:cstheme="majorBidi"/>
          <w:szCs w:val="20"/>
          <w:lang w:val="fr-CH"/>
        </w:rPr>
        <w:t xml:space="preserve">Catégorie: </w:t>
      </w:r>
      <w:proofErr w:type="spellStart"/>
      <w:r w:rsidRPr="007636FA">
        <w:rPr>
          <w:rFonts w:asciiTheme="majorBidi" w:hAnsiTheme="majorBidi" w:cstheme="majorBidi"/>
          <w:szCs w:val="20"/>
          <w:lang w:val="fr-CH"/>
        </w:rPr>
        <w:t>S2</w:t>
      </w:r>
      <w:proofErr w:type="spellEnd"/>
    </w:p>
    <w:p w:rsidR="007636FA" w:rsidRPr="007636FA" w:rsidRDefault="007636FA" w:rsidP="007636FA">
      <w:pPr>
        <w:tabs>
          <w:tab w:val="clear" w:pos="794"/>
          <w:tab w:val="clear" w:pos="1191"/>
          <w:tab w:val="left" w:pos="1134"/>
        </w:tabs>
        <w:spacing w:before="120" w:line="240" w:lineRule="auto"/>
        <w:jc w:val="left"/>
        <w:rPr>
          <w:rFonts w:asciiTheme="majorBidi" w:hAnsiTheme="majorBidi" w:cstheme="majorBidi"/>
          <w:szCs w:val="20"/>
          <w:lang w:val="fr-CH"/>
        </w:rPr>
      </w:pPr>
    </w:p>
    <w:p w:rsidR="0001121E" w:rsidRPr="007636FA" w:rsidRDefault="007636FA" w:rsidP="007636FA">
      <w:pPr>
        <w:pStyle w:val="QuestionNo"/>
        <w:spacing w:beforeLines="150" w:before="360" w:line="240" w:lineRule="auto"/>
        <w:jc w:val="center"/>
        <w:rPr>
          <w:rFonts w:asciiTheme="majorBidi" w:hAnsiTheme="majorBidi" w:cstheme="majorBidi"/>
          <w:b w:val="0"/>
          <w:bCs/>
          <w:lang w:val="fr-CH"/>
        </w:rPr>
      </w:pPr>
      <w:r w:rsidRPr="007636FA">
        <w:rPr>
          <w:rFonts w:asciiTheme="majorBidi" w:hAnsiTheme="majorBidi" w:cstheme="majorBidi"/>
          <w:b w:val="0"/>
          <w:bCs/>
          <w:szCs w:val="20"/>
          <w:lang w:val="fr-CH"/>
        </w:rPr>
        <w:t>_______________</w:t>
      </w:r>
    </w:p>
    <w:sectPr w:rsidR="0001121E" w:rsidRPr="007636FA"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D5" w:rsidRDefault="001432D5">
      <w:r>
        <w:separator/>
      </w:r>
    </w:p>
  </w:endnote>
  <w:endnote w:type="continuationSeparator" w:id="0">
    <w:p w:rsidR="001432D5" w:rsidRDefault="0014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proofErr w:type="spellStart"/>
      <w:r w:rsidRPr="000E443D">
        <w:rPr>
          <w:rStyle w:val="Hyperlink"/>
          <w:sz w:val="18"/>
          <w:szCs w:val="18"/>
          <w:lang w:val="fr-CH"/>
        </w:rPr>
        <w:t>itumail@itu.int</w:t>
      </w:r>
      <w:proofErr w:type="spellEnd"/>
    </w:hyperlink>
    <w:r w:rsidRPr="000E443D">
      <w:rPr>
        <w:sz w:val="18"/>
        <w:szCs w:val="18"/>
        <w:lang w:val="fr-CH"/>
      </w:rPr>
      <w:t xml:space="preserve"> • </w:t>
    </w:r>
    <w:hyperlink r:id="rId2" w:history="1">
      <w:proofErr w:type="spellStart"/>
      <w:r w:rsidRPr="000E443D">
        <w:rPr>
          <w:rStyle w:val="Hyperlink"/>
          <w:sz w:val="18"/>
          <w:szCs w:val="18"/>
          <w:lang w:val="fr-CH"/>
        </w:rPr>
        <w:t>www.itu.int</w:t>
      </w:r>
      <w:proofErr w:type="spellEnd"/>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D5" w:rsidRDefault="001432D5">
      <w:r>
        <w:t>____________________</w:t>
      </w:r>
    </w:p>
  </w:footnote>
  <w:footnote w:type="continuationSeparator" w:id="0">
    <w:p w:rsidR="001432D5" w:rsidRDefault="001432D5">
      <w:r>
        <w:continuationSeparator/>
      </w:r>
    </w:p>
  </w:footnote>
  <w:footnote w:id="1">
    <w:p w:rsidR="007636FA" w:rsidRPr="00746F29" w:rsidRDefault="007636FA" w:rsidP="007636FA">
      <w:pPr>
        <w:pStyle w:val="FootnoteText"/>
        <w:rPr>
          <w:rFonts w:asciiTheme="minorHAnsi" w:hAnsiTheme="minorHAnsi" w:cstheme="minorHAnsi"/>
          <w:szCs w:val="20"/>
          <w:lang w:val="fr-CH"/>
        </w:rPr>
      </w:pPr>
      <w:r w:rsidRPr="00962F88">
        <w:rPr>
          <w:rStyle w:val="FootnoteReference"/>
          <w:rFonts w:asciiTheme="majorBidi" w:hAnsiTheme="majorBidi" w:cstheme="majorBidi"/>
        </w:rPr>
        <w:footnoteRef/>
      </w:r>
      <w:r w:rsidRPr="002702F4">
        <w:rPr>
          <w:rFonts w:asciiTheme="majorBidi" w:hAnsiTheme="majorBidi" w:cstheme="majorBidi"/>
          <w:lang w:val="fr-CH"/>
        </w:rPr>
        <w:tab/>
      </w:r>
      <w:r w:rsidRPr="007636FA">
        <w:rPr>
          <w:rFonts w:asciiTheme="majorBidi" w:hAnsiTheme="majorBidi" w:cstheme="majorBidi"/>
          <w:sz w:val="24"/>
          <w:szCs w:val="24"/>
          <w:lang w:val="fr-CH"/>
        </w:rPr>
        <w:t>Cette Question doit être portée à l'attention de l'Organisation de l'aviation civile internationale et de l'Organisation météorologique mondiale.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01121E"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C776C2">
      <w:rPr>
        <w:noProof/>
        <w:sz w:val="18"/>
        <w:szCs w:val="16"/>
      </w:rPr>
      <w:t>3</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443D" w:rsidTr="00A14242">
      <w:tc>
        <w:tcPr>
          <w:tcW w:w="9923" w:type="dxa"/>
        </w:tcPr>
        <w:p w:rsidR="000E443D" w:rsidRDefault="000E443D" w:rsidP="000E443D">
          <w:pPr>
            <w:pStyle w:val="Header"/>
            <w:tabs>
              <w:tab w:val="clear" w:pos="794"/>
              <w:tab w:val="clear" w:pos="4820"/>
            </w:tabs>
            <w:spacing w:line="360" w:lineRule="auto"/>
            <w:jc w:val="center"/>
          </w:pPr>
          <w:r>
            <w:rPr>
              <w:b/>
              <w:bCs/>
              <w:noProof/>
              <w:lang w:val="en-GB" w:eastAsia="zh-CN"/>
            </w:rPr>
            <w:drawing>
              <wp:inline distT="0" distB="0" distL="0" distR="0" wp14:anchorId="529AA2AD" wp14:editId="115F9E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432D5"/>
    <w:rsid w:val="00006A31"/>
    <w:rsid w:val="00006C82"/>
    <w:rsid w:val="00010E30"/>
    <w:rsid w:val="0001121E"/>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32D5"/>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5B51"/>
    <w:rsid w:val="003370B8"/>
    <w:rsid w:val="00345D38"/>
    <w:rsid w:val="003471C9"/>
    <w:rsid w:val="00352097"/>
    <w:rsid w:val="003666FF"/>
    <w:rsid w:val="0037309C"/>
    <w:rsid w:val="00380A6E"/>
    <w:rsid w:val="003836D4"/>
    <w:rsid w:val="00387AE4"/>
    <w:rsid w:val="003921AF"/>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4A99"/>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379FA"/>
    <w:rsid w:val="00642050"/>
    <w:rsid w:val="0064371D"/>
    <w:rsid w:val="00650543"/>
    <w:rsid w:val="00650B2A"/>
    <w:rsid w:val="00651777"/>
    <w:rsid w:val="006550F8"/>
    <w:rsid w:val="00661E6E"/>
    <w:rsid w:val="006829F3"/>
    <w:rsid w:val="006875F2"/>
    <w:rsid w:val="006A518B"/>
    <w:rsid w:val="006B0590"/>
    <w:rsid w:val="006B49DA"/>
    <w:rsid w:val="006C53F8"/>
    <w:rsid w:val="006C7CDE"/>
    <w:rsid w:val="007234B1"/>
    <w:rsid w:val="00723D08"/>
    <w:rsid w:val="00725FDA"/>
    <w:rsid w:val="00727816"/>
    <w:rsid w:val="00730B9A"/>
    <w:rsid w:val="00750CFA"/>
    <w:rsid w:val="007553DA"/>
    <w:rsid w:val="007636FA"/>
    <w:rsid w:val="00773F7E"/>
    <w:rsid w:val="00775DB8"/>
    <w:rsid w:val="00782354"/>
    <w:rsid w:val="007921A7"/>
    <w:rsid w:val="007B3DB1"/>
    <w:rsid w:val="007C2E1E"/>
    <w:rsid w:val="007D183E"/>
    <w:rsid w:val="007D43D0"/>
    <w:rsid w:val="007E1833"/>
    <w:rsid w:val="007E3F13"/>
    <w:rsid w:val="007F0432"/>
    <w:rsid w:val="007F751A"/>
    <w:rsid w:val="00800012"/>
    <w:rsid w:val="0080261F"/>
    <w:rsid w:val="00806160"/>
    <w:rsid w:val="008143A4"/>
    <w:rsid w:val="0081513E"/>
    <w:rsid w:val="00854131"/>
    <w:rsid w:val="0085652D"/>
    <w:rsid w:val="0087694B"/>
    <w:rsid w:val="00880F4D"/>
    <w:rsid w:val="00882BB5"/>
    <w:rsid w:val="0088443B"/>
    <w:rsid w:val="008B35A3"/>
    <w:rsid w:val="008B37E1"/>
    <w:rsid w:val="008B45F8"/>
    <w:rsid w:val="008C2E74"/>
    <w:rsid w:val="008D5409"/>
    <w:rsid w:val="008E006D"/>
    <w:rsid w:val="008E38B4"/>
    <w:rsid w:val="008F4F21"/>
    <w:rsid w:val="00904D4A"/>
    <w:rsid w:val="009076D7"/>
    <w:rsid w:val="009151BA"/>
    <w:rsid w:val="0092284B"/>
    <w:rsid w:val="00925023"/>
    <w:rsid w:val="009277BC"/>
    <w:rsid w:val="00927D57"/>
    <w:rsid w:val="00931A51"/>
    <w:rsid w:val="009351FA"/>
    <w:rsid w:val="00947185"/>
    <w:rsid w:val="009518B3"/>
    <w:rsid w:val="0095297D"/>
    <w:rsid w:val="00962F88"/>
    <w:rsid w:val="00963D9D"/>
    <w:rsid w:val="0097544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85B05"/>
    <w:rsid w:val="00A963DF"/>
    <w:rsid w:val="00AA211B"/>
    <w:rsid w:val="00AA781A"/>
    <w:rsid w:val="00AC0C22"/>
    <w:rsid w:val="00AC3896"/>
    <w:rsid w:val="00AD2CF2"/>
    <w:rsid w:val="00AE2D88"/>
    <w:rsid w:val="00AE6F6F"/>
    <w:rsid w:val="00AF0AD5"/>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1D91"/>
    <w:rsid w:val="00C236AF"/>
    <w:rsid w:val="00C26851"/>
    <w:rsid w:val="00C30385"/>
    <w:rsid w:val="00C31158"/>
    <w:rsid w:val="00C3556B"/>
    <w:rsid w:val="00C4395E"/>
    <w:rsid w:val="00C47FFD"/>
    <w:rsid w:val="00C50A57"/>
    <w:rsid w:val="00C51E92"/>
    <w:rsid w:val="00C57E2C"/>
    <w:rsid w:val="00C608B7"/>
    <w:rsid w:val="00C66F24"/>
    <w:rsid w:val="00C76D7F"/>
    <w:rsid w:val="00C776C2"/>
    <w:rsid w:val="00C813AA"/>
    <w:rsid w:val="00C9291E"/>
    <w:rsid w:val="00CA2CDA"/>
    <w:rsid w:val="00CA3F44"/>
    <w:rsid w:val="00CA4E58"/>
    <w:rsid w:val="00CB3771"/>
    <w:rsid w:val="00CB44BF"/>
    <w:rsid w:val="00CB5153"/>
    <w:rsid w:val="00CE076A"/>
    <w:rsid w:val="00CE463D"/>
    <w:rsid w:val="00CF288A"/>
    <w:rsid w:val="00D01D7D"/>
    <w:rsid w:val="00D10BA0"/>
    <w:rsid w:val="00D114F9"/>
    <w:rsid w:val="00D16B01"/>
    <w:rsid w:val="00D21694"/>
    <w:rsid w:val="00D24EB5"/>
    <w:rsid w:val="00D35AB9"/>
    <w:rsid w:val="00D41571"/>
    <w:rsid w:val="00D416A0"/>
    <w:rsid w:val="00D47672"/>
    <w:rsid w:val="00D47E8E"/>
    <w:rsid w:val="00D5123C"/>
    <w:rsid w:val="00D55560"/>
    <w:rsid w:val="00D61C5A"/>
    <w:rsid w:val="00D62111"/>
    <w:rsid w:val="00D6790C"/>
    <w:rsid w:val="00D73277"/>
    <w:rsid w:val="00D76586"/>
    <w:rsid w:val="00D82657"/>
    <w:rsid w:val="00D87E20"/>
    <w:rsid w:val="00DA4037"/>
    <w:rsid w:val="00DE66A5"/>
    <w:rsid w:val="00DF2B50"/>
    <w:rsid w:val="00E01059"/>
    <w:rsid w:val="00E01C47"/>
    <w:rsid w:val="00E04C86"/>
    <w:rsid w:val="00E1049F"/>
    <w:rsid w:val="00E17344"/>
    <w:rsid w:val="00E20F30"/>
    <w:rsid w:val="00E21546"/>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C4C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F94C36-2772-47B3-B47A-2708C01C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1F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444A99"/>
    <w:rPr>
      <w:color w:val="800080" w:themeColor="followedHyperlink"/>
      <w:u w:val="single"/>
    </w:rPr>
  </w:style>
  <w:style w:type="character" w:customStyle="1" w:styleId="FootnoteTextChar">
    <w:name w:val="Footnote Text Char"/>
    <w:aliases w:val="footnote text Char,ALTS FOOTNOTE Char,DNV-FT Char"/>
    <w:basedOn w:val="DefaultParagraphFont"/>
    <w:link w:val="FootnoteText"/>
    <w:rsid w:val="00FC4C7A"/>
    <w:rPr>
      <w:szCs w:val="22"/>
      <w:lang w:val="en-US" w:eastAsia="en-US"/>
    </w:rPr>
  </w:style>
  <w:style w:type="paragraph" w:customStyle="1" w:styleId="Normalaftertitle0">
    <w:name w:val="Normal after title"/>
    <w:basedOn w:val="Normal"/>
    <w:next w:val="Normal"/>
    <w:link w:val="NormalaftertitleChar"/>
    <w:uiPriority w:val="99"/>
    <w:rsid w:val="007636F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7636FA"/>
    <w:rPr>
      <w:rFonts w:ascii="Times New Roman" w:hAnsi="Times New Roman" w:cs="Times New Roman"/>
      <w:sz w:val="24"/>
      <w:lang w:val="en-GB" w:eastAsia="en-US"/>
    </w:rPr>
  </w:style>
  <w:style w:type="paragraph" w:customStyle="1" w:styleId="FootnoteReferenceTimesNewRoman">
    <w:name w:val="Footnote Reference + Times New Roman"/>
    <w:aliases w:val="(Latin) 14 pt,(Complex) 10 pt,All cap..."/>
    <w:basedOn w:val="Normal"/>
    <w:rsid w:val="007636FA"/>
    <w:pPr>
      <w:keepNext/>
      <w:keepLines/>
      <w:spacing w:before="480" w:line="240" w:lineRule="auto"/>
      <w:jc w:val="center"/>
    </w:pPr>
    <w:rPr>
      <w:rFonts w:ascii="Times New Roman" w:hAnsi="Times New Roman" w:cs="Times New Roman"/>
      <w:caps/>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5/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5-C-0119/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DF32C04D474E83BFEC9CA2BE3FFB3B"/>
        <w:category>
          <w:name w:val="General"/>
          <w:gallery w:val="placeholder"/>
        </w:category>
        <w:types>
          <w:type w:val="bbPlcHdr"/>
        </w:types>
        <w:behaviors>
          <w:behavior w:val="content"/>
        </w:behaviors>
        <w:guid w:val="{DB9E196C-6D19-440D-ABAE-D36ACE2DD320}"/>
      </w:docPartPr>
      <w:docPartBody>
        <w:p w:rsidR="00B86BED" w:rsidRDefault="00B86BED">
          <w:pPr>
            <w:pStyle w:val="1DDF32C04D474E83BFEC9CA2BE3FFB3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ED"/>
    <w:rsid w:val="00B86B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DF32C04D474E83BFEC9CA2BE3FFB3B">
    <w:name w:val="1DDF32C04D474E83BFEC9CA2BE3FF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6641-9A0C-48F1-A102-7AB67315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71</TotalTime>
  <Pages>4</Pages>
  <Words>886</Words>
  <Characters>5446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SONG</dc:creator>
  <cp:lastModifiedBy>Song, Xiaojing</cp:lastModifiedBy>
  <cp:revision>31</cp:revision>
  <cp:lastPrinted>2018-11-27T09:25:00Z</cp:lastPrinted>
  <dcterms:created xsi:type="dcterms:W3CDTF">2018-11-20T14:02:00Z</dcterms:created>
  <dcterms:modified xsi:type="dcterms:W3CDTF">2018-11-27T15:01:00Z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