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418"/>
        <w:gridCol w:w="5528"/>
        <w:gridCol w:w="2977"/>
      </w:tblGrid>
      <w:tr w:rsidR="00EA15B3" w:rsidRPr="000F6B87" w:rsidTr="00621E6C">
        <w:trPr>
          <w:jc w:val="center"/>
        </w:trPr>
        <w:tc>
          <w:tcPr>
            <w:tcW w:w="9923" w:type="dxa"/>
            <w:gridSpan w:val="3"/>
          </w:tcPr>
          <w:p w:rsidR="00EA15B3" w:rsidRPr="000F6B87" w:rsidRDefault="00C764BA" w:rsidP="00F914DD">
            <w:pPr>
              <w:jc w:val="left"/>
              <w:rPr>
                <w:rFonts w:cs="Times New Roman Bold"/>
                <w:b/>
                <w:bCs/>
                <w:color w:val="808080"/>
                <w:sz w:val="28"/>
                <w:szCs w:val="28"/>
              </w:rPr>
            </w:pPr>
            <w:bookmarkStart w:id="0" w:name="Logo"/>
            <w:bookmarkStart w:id="1" w:name="Origine"/>
            <w:bookmarkEnd w:id="0"/>
            <w:bookmarkEnd w:id="1"/>
            <w:r w:rsidRPr="000F6B87">
              <w:rPr>
                <w:rFonts w:cstheme="minorHAnsi"/>
                <w:b/>
                <w:bCs/>
                <w:color w:val="808080"/>
                <w:sz w:val="28"/>
                <w:szCs w:val="28"/>
              </w:rPr>
              <w:t>Oficina de Radiocomunicaciones (BR)</w:t>
            </w:r>
          </w:p>
        </w:tc>
      </w:tr>
      <w:tr w:rsidR="00EA15B3" w:rsidRPr="000F6B87" w:rsidTr="00621E6C">
        <w:trPr>
          <w:jc w:val="center"/>
        </w:trPr>
        <w:tc>
          <w:tcPr>
            <w:tcW w:w="9923" w:type="dxa"/>
            <w:gridSpan w:val="3"/>
          </w:tcPr>
          <w:p w:rsidR="00EA15B3" w:rsidRPr="000F6B87" w:rsidRDefault="00EA15B3" w:rsidP="00EA15B3">
            <w:pPr>
              <w:jc w:val="left"/>
            </w:pPr>
          </w:p>
        </w:tc>
      </w:tr>
      <w:tr w:rsidR="00786E9F" w:rsidRPr="000F6B87" w:rsidTr="00621E6C">
        <w:tblPrEx>
          <w:jc w:val="left"/>
        </w:tblPrEx>
        <w:tc>
          <w:tcPr>
            <w:tcW w:w="6946" w:type="dxa"/>
            <w:gridSpan w:val="2"/>
            <w:shd w:val="clear" w:color="auto" w:fill="auto"/>
          </w:tcPr>
          <w:p w:rsidR="00786E9F" w:rsidRPr="000F6B87" w:rsidRDefault="00405EAD" w:rsidP="003A4CE8">
            <w:pPr>
              <w:spacing w:before="0"/>
              <w:jc w:val="left"/>
              <w:rPr>
                <w:sz w:val="24"/>
                <w:szCs w:val="24"/>
              </w:rPr>
            </w:pPr>
            <w:bookmarkStart w:id="2" w:name="Formula"/>
            <w:bookmarkStart w:id="3" w:name="MainStory"/>
            <w:bookmarkStart w:id="4" w:name="CurrentLocation"/>
            <w:bookmarkEnd w:id="2"/>
            <w:bookmarkEnd w:id="3"/>
            <w:bookmarkEnd w:id="4"/>
            <w:r w:rsidRPr="000F6B87">
              <w:rPr>
                <w:sz w:val="24"/>
                <w:szCs w:val="24"/>
              </w:rPr>
              <w:t>Circular Administrativa</w:t>
            </w:r>
          </w:p>
          <w:p w:rsidR="00786E9F" w:rsidRPr="000F6B87" w:rsidRDefault="00786E9F" w:rsidP="00786E9F">
            <w:pPr>
              <w:spacing w:before="0"/>
              <w:jc w:val="left"/>
              <w:rPr>
                <w:b/>
                <w:bCs/>
                <w:sz w:val="24"/>
                <w:szCs w:val="24"/>
              </w:rPr>
            </w:pPr>
            <w:r w:rsidRPr="000F6B87">
              <w:rPr>
                <w:b/>
                <w:bCs/>
                <w:sz w:val="24"/>
                <w:szCs w:val="24"/>
              </w:rPr>
              <w:t>CACE/</w:t>
            </w:r>
            <w:r w:rsidR="003946B5" w:rsidRPr="000F6B87">
              <w:rPr>
                <w:b/>
                <w:bCs/>
                <w:sz w:val="24"/>
                <w:szCs w:val="24"/>
              </w:rPr>
              <w:t>877</w:t>
            </w:r>
          </w:p>
        </w:tc>
        <w:tc>
          <w:tcPr>
            <w:tcW w:w="2977" w:type="dxa"/>
            <w:shd w:val="clear" w:color="auto" w:fill="auto"/>
          </w:tcPr>
          <w:p w:rsidR="00786E9F" w:rsidRPr="000F6B87" w:rsidRDefault="003946B5" w:rsidP="003A4CE8">
            <w:pPr>
              <w:spacing w:before="0"/>
              <w:jc w:val="right"/>
              <w:rPr>
                <w:sz w:val="24"/>
                <w:szCs w:val="24"/>
              </w:rPr>
            </w:pPr>
            <w:r w:rsidRPr="000F6B87">
              <w:rPr>
                <w:sz w:val="24"/>
                <w:szCs w:val="24"/>
              </w:rPr>
              <w:t>28 de noviembre de 2018</w:t>
            </w:r>
          </w:p>
        </w:tc>
      </w:tr>
      <w:tr w:rsidR="00786E9F" w:rsidRPr="000F6B87" w:rsidTr="00621E6C">
        <w:tblPrEx>
          <w:jc w:val="left"/>
        </w:tblPrEx>
        <w:tc>
          <w:tcPr>
            <w:tcW w:w="9923" w:type="dxa"/>
            <w:gridSpan w:val="3"/>
            <w:shd w:val="clear" w:color="auto" w:fill="auto"/>
          </w:tcPr>
          <w:p w:rsidR="00786E9F" w:rsidRPr="000F6B87" w:rsidRDefault="00786E9F" w:rsidP="003A4CE8">
            <w:pPr>
              <w:spacing w:before="0"/>
              <w:jc w:val="left"/>
              <w:rPr>
                <w:rFonts w:cs="Arial"/>
                <w:sz w:val="24"/>
                <w:szCs w:val="24"/>
              </w:rPr>
            </w:pPr>
          </w:p>
        </w:tc>
      </w:tr>
      <w:tr w:rsidR="00786E9F" w:rsidRPr="000F6B87" w:rsidTr="00621E6C">
        <w:tblPrEx>
          <w:jc w:val="left"/>
        </w:tblPrEx>
        <w:tc>
          <w:tcPr>
            <w:tcW w:w="9923" w:type="dxa"/>
            <w:gridSpan w:val="3"/>
            <w:shd w:val="clear" w:color="auto" w:fill="auto"/>
          </w:tcPr>
          <w:p w:rsidR="00786E9F" w:rsidRPr="000F6B87" w:rsidRDefault="00786E9F" w:rsidP="003A4CE8">
            <w:pPr>
              <w:spacing w:before="0"/>
              <w:jc w:val="left"/>
              <w:rPr>
                <w:sz w:val="24"/>
                <w:szCs w:val="24"/>
              </w:rPr>
            </w:pPr>
          </w:p>
        </w:tc>
      </w:tr>
      <w:tr w:rsidR="00786E9F" w:rsidRPr="000F6B87" w:rsidTr="00621E6C">
        <w:tblPrEx>
          <w:jc w:val="left"/>
        </w:tblPrEx>
        <w:tc>
          <w:tcPr>
            <w:tcW w:w="9923" w:type="dxa"/>
            <w:gridSpan w:val="3"/>
            <w:shd w:val="clear" w:color="auto" w:fill="auto"/>
          </w:tcPr>
          <w:p w:rsidR="00786E9F" w:rsidRPr="000F6B87" w:rsidRDefault="00786E9F" w:rsidP="000F6B87">
            <w:pPr>
              <w:spacing w:before="0"/>
              <w:jc w:val="left"/>
              <w:rPr>
                <w:b/>
                <w:bCs/>
                <w:sz w:val="24"/>
                <w:szCs w:val="24"/>
              </w:rPr>
            </w:pPr>
            <w:r w:rsidRPr="000F6B87">
              <w:rPr>
                <w:b/>
                <w:bCs/>
                <w:sz w:val="24"/>
                <w:szCs w:val="24"/>
              </w:rPr>
              <w:t xml:space="preserve">A las Administraciones de los Estados Miembros de la </w:t>
            </w:r>
            <w:proofErr w:type="spellStart"/>
            <w:r w:rsidRPr="000F6B87">
              <w:rPr>
                <w:b/>
                <w:bCs/>
                <w:sz w:val="24"/>
                <w:szCs w:val="24"/>
              </w:rPr>
              <w:t>UIT</w:t>
            </w:r>
            <w:proofErr w:type="spellEnd"/>
            <w:r w:rsidRPr="000F6B87">
              <w:rPr>
                <w:b/>
                <w:bCs/>
                <w:sz w:val="24"/>
                <w:szCs w:val="24"/>
              </w:rPr>
              <w:t xml:space="preserve">, a los Miembros del Sector de Radiocomunicaciones, a los Asociados del </w:t>
            </w:r>
            <w:proofErr w:type="spellStart"/>
            <w:r w:rsidRPr="000F6B87">
              <w:rPr>
                <w:b/>
                <w:bCs/>
                <w:sz w:val="24"/>
                <w:szCs w:val="24"/>
              </w:rPr>
              <w:t>UIT</w:t>
            </w:r>
            <w:proofErr w:type="spellEnd"/>
            <w:r w:rsidRPr="000F6B87">
              <w:rPr>
                <w:b/>
                <w:bCs/>
                <w:sz w:val="24"/>
                <w:szCs w:val="24"/>
              </w:rPr>
              <w:t>-R que participan en los trabajos de la Comisión de Estudio </w:t>
            </w:r>
            <w:r w:rsidR="003946B5" w:rsidRPr="000F6B87">
              <w:rPr>
                <w:b/>
                <w:bCs/>
                <w:sz w:val="24"/>
                <w:szCs w:val="24"/>
              </w:rPr>
              <w:t>5</w:t>
            </w:r>
            <w:r w:rsidRPr="000F6B87">
              <w:rPr>
                <w:b/>
                <w:bCs/>
                <w:sz w:val="24"/>
                <w:szCs w:val="24"/>
              </w:rPr>
              <w:t xml:space="preserve"> de Radiocomunicaciones y a las Instituciones Académicas de la </w:t>
            </w:r>
            <w:proofErr w:type="spellStart"/>
            <w:r w:rsidRPr="000F6B87">
              <w:rPr>
                <w:b/>
                <w:bCs/>
                <w:sz w:val="24"/>
                <w:szCs w:val="24"/>
              </w:rPr>
              <w:t>UIT</w:t>
            </w:r>
            <w:proofErr w:type="spellEnd"/>
          </w:p>
        </w:tc>
      </w:tr>
      <w:tr w:rsidR="00786E9F" w:rsidRPr="000F6B87" w:rsidTr="00621E6C">
        <w:tblPrEx>
          <w:jc w:val="left"/>
        </w:tblPrEx>
        <w:tc>
          <w:tcPr>
            <w:tcW w:w="9923" w:type="dxa"/>
            <w:gridSpan w:val="3"/>
            <w:shd w:val="clear" w:color="auto" w:fill="auto"/>
          </w:tcPr>
          <w:p w:rsidR="00786E9F" w:rsidRPr="000F6B87" w:rsidRDefault="00786E9F" w:rsidP="003A4CE8">
            <w:pPr>
              <w:spacing w:before="0"/>
              <w:jc w:val="left"/>
              <w:rPr>
                <w:sz w:val="24"/>
                <w:szCs w:val="24"/>
              </w:rPr>
            </w:pPr>
          </w:p>
        </w:tc>
      </w:tr>
      <w:tr w:rsidR="00786E9F" w:rsidRPr="000F6B87" w:rsidTr="00621E6C">
        <w:tblPrEx>
          <w:jc w:val="left"/>
        </w:tblPrEx>
        <w:tc>
          <w:tcPr>
            <w:tcW w:w="9923" w:type="dxa"/>
            <w:gridSpan w:val="3"/>
            <w:shd w:val="clear" w:color="auto" w:fill="auto"/>
          </w:tcPr>
          <w:p w:rsidR="00786E9F" w:rsidRPr="000F6B87" w:rsidRDefault="00786E9F" w:rsidP="003A4CE8">
            <w:pPr>
              <w:spacing w:before="0"/>
              <w:jc w:val="left"/>
              <w:rPr>
                <w:sz w:val="24"/>
                <w:szCs w:val="24"/>
              </w:rPr>
            </w:pPr>
          </w:p>
        </w:tc>
      </w:tr>
      <w:tr w:rsidR="00786E9F" w:rsidRPr="000F6B87" w:rsidTr="00621E6C">
        <w:tblPrEx>
          <w:jc w:val="left"/>
        </w:tblPrEx>
        <w:tc>
          <w:tcPr>
            <w:tcW w:w="1418" w:type="dxa"/>
            <w:shd w:val="clear" w:color="auto" w:fill="auto"/>
          </w:tcPr>
          <w:p w:rsidR="00786E9F" w:rsidRPr="000F6B87" w:rsidRDefault="00786E9F" w:rsidP="003A4CE8">
            <w:pPr>
              <w:spacing w:before="0"/>
              <w:jc w:val="left"/>
              <w:rPr>
                <w:sz w:val="24"/>
                <w:szCs w:val="24"/>
              </w:rPr>
            </w:pPr>
            <w:r w:rsidRPr="000F6B87">
              <w:rPr>
                <w:sz w:val="24"/>
                <w:szCs w:val="24"/>
              </w:rPr>
              <w:t>Asunto:</w:t>
            </w:r>
          </w:p>
        </w:tc>
        <w:tc>
          <w:tcPr>
            <w:tcW w:w="8505" w:type="dxa"/>
            <w:gridSpan w:val="2"/>
            <w:vMerge w:val="restart"/>
            <w:shd w:val="clear" w:color="auto" w:fill="auto"/>
          </w:tcPr>
          <w:p w:rsidR="00786E9F" w:rsidRPr="000F6B87" w:rsidRDefault="00786E9F" w:rsidP="000F6B87">
            <w:pPr>
              <w:tabs>
                <w:tab w:val="clear" w:pos="794"/>
                <w:tab w:val="clear" w:pos="1588"/>
                <w:tab w:val="clear" w:pos="1985"/>
                <w:tab w:val="left" w:pos="454"/>
                <w:tab w:val="left" w:pos="1418"/>
              </w:tabs>
              <w:spacing w:before="120"/>
              <w:ind w:left="459" w:hanging="459"/>
              <w:rPr>
                <w:b/>
                <w:bCs/>
                <w:sz w:val="24"/>
                <w:szCs w:val="24"/>
              </w:rPr>
            </w:pPr>
            <w:r w:rsidRPr="000F6B87">
              <w:rPr>
                <w:b/>
                <w:sz w:val="24"/>
                <w:szCs w:val="24"/>
              </w:rPr>
              <w:t xml:space="preserve">Comisión de Estudio </w:t>
            </w:r>
            <w:r w:rsidR="003946B5" w:rsidRPr="000F6B87">
              <w:rPr>
                <w:b/>
                <w:sz w:val="24"/>
                <w:szCs w:val="24"/>
              </w:rPr>
              <w:t>5</w:t>
            </w:r>
            <w:r w:rsidRPr="000F6B87">
              <w:rPr>
                <w:b/>
                <w:sz w:val="24"/>
                <w:szCs w:val="24"/>
              </w:rPr>
              <w:t xml:space="preserve"> de Radiocomunicaciones</w:t>
            </w:r>
            <w:bookmarkStart w:id="5" w:name="OLE_LINK1"/>
            <w:bookmarkStart w:id="6" w:name="OLE_LINK2"/>
            <w:r w:rsidR="00094683" w:rsidRPr="000F6B87">
              <w:rPr>
                <w:b/>
                <w:sz w:val="24"/>
                <w:szCs w:val="24"/>
              </w:rPr>
              <w:t xml:space="preserve"> (</w:t>
            </w:r>
            <w:r w:rsidR="003946B5" w:rsidRPr="000F6B87">
              <w:rPr>
                <w:b/>
                <w:sz w:val="24"/>
                <w:szCs w:val="24"/>
              </w:rPr>
              <w:t>Servicios terrenales</w:t>
            </w:r>
            <w:r w:rsidR="00094683" w:rsidRPr="000F6B87">
              <w:rPr>
                <w:b/>
                <w:sz w:val="24"/>
                <w:szCs w:val="24"/>
              </w:rPr>
              <w:t>)</w:t>
            </w:r>
          </w:p>
          <w:p w:rsidR="00786E9F" w:rsidRPr="000F6B87" w:rsidRDefault="00786E9F" w:rsidP="000F6B87">
            <w:pPr>
              <w:tabs>
                <w:tab w:val="clear" w:pos="794"/>
                <w:tab w:val="clear" w:pos="1588"/>
                <w:tab w:val="clear" w:pos="1985"/>
                <w:tab w:val="left" w:pos="454"/>
                <w:tab w:val="left" w:pos="1418"/>
              </w:tabs>
              <w:spacing w:before="120" w:after="120"/>
              <w:ind w:left="459" w:hanging="459"/>
              <w:jc w:val="left"/>
              <w:rPr>
                <w:b/>
                <w:bCs/>
                <w:sz w:val="24"/>
                <w:szCs w:val="24"/>
              </w:rPr>
            </w:pPr>
            <w:r w:rsidRPr="000F6B87">
              <w:rPr>
                <w:b/>
                <w:sz w:val="24"/>
                <w:szCs w:val="24"/>
              </w:rPr>
              <w:t>–</w:t>
            </w:r>
            <w:r w:rsidRPr="000F6B87">
              <w:rPr>
                <w:bCs/>
                <w:sz w:val="24"/>
                <w:szCs w:val="24"/>
              </w:rPr>
              <w:tab/>
            </w:r>
            <w:r w:rsidRPr="000F6B87">
              <w:rPr>
                <w:b/>
                <w:bCs/>
                <w:sz w:val="24"/>
                <w:szCs w:val="24"/>
              </w:rPr>
              <w:t xml:space="preserve">Propuesta de aprobación de </w:t>
            </w:r>
            <w:r w:rsidR="003946B5" w:rsidRPr="000F6B87">
              <w:rPr>
                <w:b/>
                <w:bCs/>
                <w:sz w:val="24"/>
                <w:szCs w:val="24"/>
              </w:rPr>
              <w:t>1</w:t>
            </w:r>
            <w:r w:rsidRPr="000F6B87">
              <w:rPr>
                <w:b/>
                <w:bCs/>
                <w:sz w:val="24"/>
                <w:szCs w:val="24"/>
              </w:rPr>
              <w:t xml:space="preserve"> proyecto de nueva Recomendaci</w:t>
            </w:r>
            <w:r w:rsidR="005E2789" w:rsidRPr="000F6B87">
              <w:rPr>
                <w:b/>
                <w:bCs/>
                <w:sz w:val="24"/>
                <w:szCs w:val="24"/>
              </w:rPr>
              <w:t>ó</w:t>
            </w:r>
            <w:r w:rsidRPr="000F6B87">
              <w:rPr>
                <w:b/>
                <w:bCs/>
                <w:sz w:val="24"/>
                <w:szCs w:val="24"/>
              </w:rPr>
              <w:t xml:space="preserve">n </w:t>
            </w:r>
            <w:proofErr w:type="spellStart"/>
            <w:r w:rsidRPr="000F6B87">
              <w:rPr>
                <w:b/>
                <w:bCs/>
                <w:sz w:val="24"/>
                <w:szCs w:val="24"/>
              </w:rPr>
              <w:t>UIT</w:t>
            </w:r>
            <w:proofErr w:type="spellEnd"/>
            <w:r w:rsidRPr="000F6B87">
              <w:rPr>
                <w:b/>
                <w:bCs/>
                <w:sz w:val="24"/>
                <w:szCs w:val="24"/>
              </w:rPr>
              <w:t xml:space="preserve">-R </w:t>
            </w:r>
            <w:r w:rsidR="00DB5F7C">
              <w:rPr>
                <w:b/>
                <w:bCs/>
                <w:sz w:val="24"/>
                <w:szCs w:val="24"/>
              </w:rPr>
              <w:br/>
            </w:r>
            <w:r w:rsidRPr="000F6B87">
              <w:rPr>
                <w:b/>
                <w:bCs/>
                <w:sz w:val="24"/>
                <w:szCs w:val="24"/>
              </w:rPr>
              <w:t xml:space="preserve">y </w:t>
            </w:r>
            <w:r w:rsidR="005E2789" w:rsidRPr="000F6B87">
              <w:rPr>
                <w:b/>
                <w:bCs/>
                <w:sz w:val="24"/>
                <w:szCs w:val="24"/>
              </w:rPr>
              <w:t>2</w:t>
            </w:r>
            <w:r w:rsidRPr="000F6B87">
              <w:rPr>
                <w:b/>
                <w:bCs/>
                <w:sz w:val="24"/>
                <w:szCs w:val="24"/>
              </w:rPr>
              <w:t xml:space="preserve"> </w:t>
            </w:r>
            <w:r w:rsidRPr="000F6B87">
              <w:rPr>
                <w:b/>
                <w:sz w:val="24"/>
                <w:szCs w:val="24"/>
              </w:rPr>
              <w:t xml:space="preserve">proyectos de Recomendaciones </w:t>
            </w:r>
            <w:proofErr w:type="spellStart"/>
            <w:r w:rsidRPr="000F6B87">
              <w:rPr>
                <w:b/>
                <w:sz w:val="24"/>
                <w:szCs w:val="24"/>
              </w:rPr>
              <w:t>UIT</w:t>
            </w:r>
            <w:proofErr w:type="spellEnd"/>
            <w:r w:rsidRPr="000F6B87">
              <w:rPr>
                <w:b/>
                <w:sz w:val="24"/>
                <w:szCs w:val="24"/>
              </w:rPr>
              <w:t>-R revisadas</w:t>
            </w:r>
            <w:bookmarkEnd w:id="5"/>
            <w:bookmarkEnd w:id="6"/>
          </w:p>
        </w:tc>
      </w:tr>
      <w:tr w:rsidR="00786E9F" w:rsidRPr="000F6B87" w:rsidTr="00621E6C">
        <w:tblPrEx>
          <w:jc w:val="left"/>
        </w:tblPrEx>
        <w:tc>
          <w:tcPr>
            <w:tcW w:w="1418" w:type="dxa"/>
            <w:shd w:val="clear" w:color="auto" w:fill="auto"/>
          </w:tcPr>
          <w:p w:rsidR="00786E9F" w:rsidRPr="000F6B87" w:rsidRDefault="00786E9F" w:rsidP="003A4CE8">
            <w:pPr>
              <w:spacing w:before="0"/>
              <w:jc w:val="left"/>
              <w:rPr>
                <w:b/>
                <w:bCs/>
                <w:sz w:val="24"/>
                <w:szCs w:val="24"/>
              </w:rPr>
            </w:pPr>
          </w:p>
        </w:tc>
        <w:tc>
          <w:tcPr>
            <w:tcW w:w="8505" w:type="dxa"/>
            <w:gridSpan w:val="2"/>
            <w:vMerge/>
            <w:shd w:val="clear" w:color="auto" w:fill="auto"/>
          </w:tcPr>
          <w:p w:rsidR="00786E9F" w:rsidRPr="000F6B87" w:rsidRDefault="00786E9F" w:rsidP="003A4CE8">
            <w:pPr>
              <w:spacing w:before="0"/>
              <w:rPr>
                <w:b/>
                <w:bCs/>
                <w:sz w:val="24"/>
                <w:szCs w:val="24"/>
              </w:rPr>
            </w:pPr>
          </w:p>
        </w:tc>
      </w:tr>
      <w:tr w:rsidR="00786E9F" w:rsidRPr="000F6B87" w:rsidTr="00621E6C">
        <w:tblPrEx>
          <w:jc w:val="left"/>
        </w:tblPrEx>
        <w:tc>
          <w:tcPr>
            <w:tcW w:w="1418" w:type="dxa"/>
            <w:shd w:val="clear" w:color="auto" w:fill="auto"/>
          </w:tcPr>
          <w:p w:rsidR="00786E9F" w:rsidRPr="000F6B87" w:rsidRDefault="00786E9F" w:rsidP="003A4CE8">
            <w:pPr>
              <w:spacing w:before="0"/>
              <w:jc w:val="left"/>
              <w:rPr>
                <w:b/>
                <w:bCs/>
                <w:sz w:val="24"/>
                <w:szCs w:val="24"/>
              </w:rPr>
            </w:pPr>
          </w:p>
        </w:tc>
        <w:tc>
          <w:tcPr>
            <w:tcW w:w="8505" w:type="dxa"/>
            <w:gridSpan w:val="2"/>
            <w:vMerge/>
            <w:shd w:val="clear" w:color="auto" w:fill="auto"/>
          </w:tcPr>
          <w:p w:rsidR="00786E9F" w:rsidRPr="000F6B87" w:rsidRDefault="00786E9F" w:rsidP="003A4CE8">
            <w:pPr>
              <w:spacing w:before="0"/>
              <w:rPr>
                <w:b/>
                <w:bCs/>
                <w:sz w:val="24"/>
                <w:szCs w:val="24"/>
              </w:rPr>
            </w:pPr>
          </w:p>
        </w:tc>
      </w:tr>
      <w:tr w:rsidR="00786E9F" w:rsidRPr="000F6B87" w:rsidTr="00621E6C">
        <w:tblPrEx>
          <w:jc w:val="left"/>
        </w:tblPrEx>
        <w:tc>
          <w:tcPr>
            <w:tcW w:w="9923" w:type="dxa"/>
            <w:gridSpan w:val="3"/>
            <w:shd w:val="clear" w:color="auto" w:fill="auto"/>
          </w:tcPr>
          <w:p w:rsidR="00786E9F" w:rsidRPr="000F6B87" w:rsidRDefault="00786E9F" w:rsidP="00786E9F">
            <w:pPr>
              <w:spacing w:before="0" w:line="240" w:lineRule="auto"/>
              <w:ind w:left="794" w:hanging="794"/>
              <w:rPr>
                <w:b/>
                <w:bCs/>
              </w:rPr>
            </w:pPr>
          </w:p>
        </w:tc>
      </w:tr>
      <w:tr w:rsidR="00786E9F" w:rsidRPr="000F6B87" w:rsidTr="00621E6C">
        <w:tblPrEx>
          <w:jc w:val="left"/>
        </w:tblPrEx>
        <w:tc>
          <w:tcPr>
            <w:tcW w:w="9923" w:type="dxa"/>
            <w:gridSpan w:val="3"/>
            <w:shd w:val="clear" w:color="auto" w:fill="auto"/>
          </w:tcPr>
          <w:p w:rsidR="00786E9F" w:rsidRPr="000F6B87" w:rsidRDefault="00786E9F" w:rsidP="00786E9F">
            <w:pPr>
              <w:spacing w:before="0" w:line="240" w:lineRule="auto"/>
              <w:rPr>
                <w:b/>
                <w:bCs/>
              </w:rPr>
            </w:pPr>
          </w:p>
        </w:tc>
      </w:tr>
    </w:tbl>
    <w:p w:rsidR="007E0705" w:rsidRPr="000F6B87" w:rsidRDefault="007E0705" w:rsidP="00A5722A">
      <w:pPr>
        <w:spacing w:before="240"/>
        <w:rPr>
          <w:sz w:val="24"/>
          <w:szCs w:val="24"/>
        </w:rPr>
      </w:pPr>
      <w:r w:rsidRPr="000F6B87">
        <w:rPr>
          <w:sz w:val="24"/>
          <w:szCs w:val="24"/>
        </w:rPr>
        <w:t xml:space="preserve">En la reunión de la Comisión de Estudio </w:t>
      </w:r>
      <w:r w:rsidR="00126220" w:rsidRPr="000F6B87">
        <w:rPr>
          <w:sz w:val="24"/>
          <w:szCs w:val="24"/>
        </w:rPr>
        <w:t>5</w:t>
      </w:r>
      <w:r w:rsidRPr="000F6B87">
        <w:rPr>
          <w:sz w:val="24"/>
          <w:szCs w:val="24"/>
        </w:rPr>
        <w:t xml:space="preserve"> de Radiocomunicaciones celebrada el </w:t>
      </w:r>
      <w:r w:rsidR="00126220" w:rsidRPr="000F6B87">
        <w:rPr>
          <w:sz w:val="24"/>
          <w:szCs w:val="24"/>
        </w:rPr>
        <w:t>19</w:t>
      </w:r>
      <w:r w:rsidRPr="000F6B87">
        <w:rPr>
          <w:sz w:val="24"/>
          <w:szCs w:val="24"/>
        </w:rPr>
        <w:t xml:space="preserve"> de </w:t>
      </w:r>
      <w:r w:rsidR="00126220" w:rsidRPr="000F6B87">
        <w:rPr>
          <w:sz w:val="24"/>
          <w:szCs w:val="24"/>
        </w:rPr>
        <w:t xml:space="preserve">noviembre </w:t>
      </w:r>
      <w:r w:rsidRPr="000F6B87">
        <w:rPr>
          <w:sz w:val="24"/>
          <w:szCs w:val="24"/>
        </w:rPr>
        <w:t>de 201</w:t>
      </w:r>
      <w:r w:rsidR="00126220" w:rsidRPr="000F6B87">
        <w:rPr>
          <w:sz w:val="24"/>
          <w:szCs w:val="24"/>
        </w:rPr>
        <w:t>8</w:t>
      </w:r>
      <w:r w:rsidRPr="000F6B87">
        <w:rPr>
          <w:sz w:val="24"/>
          <w:szCs w:val="24"/>
        </w:rPr>
        <w:t xml:space="preserve">, la Comisión de Estudio adoptó </w:t>
      </w:r>
      <w:r w:rsidR="00A5722A">
        <w:rPr>
          <w:sz w:val="24"/>
          <w:szCs w:val="24"/>
        </w:rPr>
        <w:t xml:space="preserve">los </w:t>
      </w:r>
      <w:r w:rsidRPr="000F6B87">
        <w:rPr>
          <w:sz w:val="24"/>
          <w:szCs w:val="24"/>
        </w:rPr>
        <w:t xml:space="preserve">textos de </w:t>
      </w:r>
      <w:r w:rsidR="00126220" w:rsidRPr="000F6B87">
        <w:rPr>
          <w:sz w:val="24"/>
          <w:szCs w:val="24"/>
        </w:rPr>
        <w:t>1</w:t>
      </w:r>
      <w:r w:rsidRPr="000F6B87">
        <w:rPr>
          <w:sz w:val="24"/>
          <w:szCs w:val="24"/>
        </w:rPr>
        <w:t xml:space="preserve"> proyecto de nueva Recomendaci</w:t>
      </w:r>
      <w:r w:rsidR="00126220" w:rsidRPr="000F6B87">
        <w:rPr>
          <w:sz w:val="24"/>
          <w:szCs w:val="24"/>
        </w:rPr>
        <w:t>ó</w:t>
      </w:r>
      <w:r w:rsidRPr="000F6B87">
        <w:rPr>
          <w:sz w:val="24"/>
          <w:szCs w:val="24"/>
        </w:rPr>
        <w:t xml:space="preserve">n </w:t>
      </w:r>
      <w:proofErr w:type="spellStart"/>
      <w:r w:rsidR="005430D3" w:rsidRPr="000F6B87">
        <w:rPr>
          <w:sz w:val="24"/>
          <w:szCs w:val="24"/>
        </w:rPr>
        <w:t>UIT</w:t>
      </w:r>
      <w:proofErr w:type="spellEnd"/>
      <w:r w:rsidR="005430D3" w:rsidRPr="000F6B87">
        <w:rPr>
          <w:sz w:val="24"/>
          <w:szCs w:val="24"/>
        </w:rPr>
        <w:t xml:space="preserve">-R </w:t>
      </w:r>
      <w:r w:rsidRPr="000F6B87">
        <w:rPr>
          <w:sz w:val="24"/>
          <w:szCs w:val="24"/>
        </w:rPr>
        <w:t xml:space="preserve">y de </w:t>
      </w:r>
      <w:r w:rsidR="00126220" w:rsidRPr="000F6B87">
        <w:rPr>
          <w:sz w:val="24"/>
          <w:szCs w:val="24"/>
        </w:rPr>
        <w:t>2</w:t>
      </w:r>
      <w:r w:rsidRPr="000F6B87">
        <w:rPr>
          <w:sz w:val="24"/>
          <w:szCs w:val="24"/>
        </w:rPr>
        <w:t xml:space="preserve"> proyectos de Recomendaciones </w:t>
      </w:r>
      <w:proofErr w:type="spellStart"/>
      <w:r w:rsidR="005430D3" w:rsidRPr="000F6B87">
        <w:rPr>
          <w:sz w:val="24"/>
          <w:szCs w:val="24"/>
        </w:rPr>
        <w:t>UIT</w:t>
      </w:r>
      <w:proofErr w:type="spellEnd"/>
      <w:r w:rsidR="005430D3" w:rsidRPr="000F6B87">
        <w:rPr>
          <w:sz w:val="24"/>
          <w:szCs w:val="24"/>
        </w:rPr>
        <w:t xml:space="preserve">-R </w:t>
      </w:r>
      <w:r w:rsidRPr="000F6B87">
        <w:rPr>
          <w:sz w:val="24"/>
          <w:szCs w:val="24"/>
        </w:rPr>
        <w:t xml:space="preserve">revisadas y acordó aplicar el procedimiento de la Resolución </w:t>
      </w:r>
      <w:proofErr w:type="spellStart"/>
      <w:r w:rsidRPr="000F6B87">
        <w:rPr>
          <w:sz w:val="24"/>
          <w:szCs w:val="24"/>
        </w:rPr>
        <w:t>UIT</w:t>
      </w:r>
      <w:proofErr w:type="spellEnd"/>
      <w:r w:rsidRPr="000F6B87">
        <w:rPr>
          <w:sz w:val="24"/>
          <w:szCs w:val="24"/>
        </w:rPr>
        <w:t xml:space="preserve">-R 1-7 (véase el § </w:t>
      </w:r>
      <w:proofErr w:type="spellStart"/>
      <w:r w:rsidRPr="000F6B87">
        <w:rPr>
          <w:sz w:val="24"/>
          <w:szCs w:val="24"/>
        </w:rPr>
        <w:t>A2.6.2.3</w:t>
      </w:r>
      <w:proofErr w:type="spellEnd"/>
      <w:r w:rsidRPr="000F6B87">
        <w:rPr>
          <w:sz w:val="24"/>
          <w:szCs w:val="24"/>
        </w:rPr>
        <w:t>) para la aprobación de Recomendaciones por consulta. Los</w:t>
      </w:r>
      <w:r w:rsidR="00A5722A">
        <w:rPr>
          <w:sz w:val="24"/>
          <w:szCs w:val="24"/>
        </w:rPr>
        <w:t> </w:t>
      </w:r>
      <w:r w:rsidRPr="000F6B87">
        <w:rPr>
          <w:sz w:val="24"/>
          <w:szCs w:val="24"/>
        </w:rPr>
        <w:t xml:space="preserve">títulos y resúmenes de los proyectos de Recomendaciones figuran en el Anexo a la presente </w:t>
      </w:r>
      <w:r w:rsidR="001C72EF" w:rsidRPr="000F6B87">
        <w:rPr>
          <w:sz w:val="24"/>
          <w:szCs w:val="24"/>
        </w:rPr>
        <w:t>carta</w:t>
      </w:r>
      <w:r w:rsidRPr="000F6B87">
        <w:rPr>
          <w:sz w:val="24"/>
          <w:szCs w:val="24"/>
        </w:rPr>
        <w:t>. Todo Estado Miembro que objete la aprobación de un proyecto de Recomendación debe informar al Director y al Presidente de la Comisión de Estudio de los motivos de dicha objeción.</w:t>
      </w:r>
    </w:p>
    <w:p w:rsidR="007E0705" w:rsidRPr="000F6B87" w:rsidRDefault="007E0705" w:rsidP="000F6B87">
      <w:pPr>
        <w:rPr>
          <w:sz w:val="24"/>
          <w:szCs w:val="24"/>
        </w:rPr>
      </w:pPr>
      <w:r w:rsidRPr="000F6B87">
        <w:rPr>
          <w:sz w:val="24"/>
          <w:szCs w:val="24"/>
        </w:rPr>
        <w:t xml:space="preserve">Con respecto a las disposiciones del § </w:t>
      </w:r>
      <w:proofErr w:type="spellStart"/>
      <w:r w:rsidRPr="000F6B87">
        <w:rPr>
          <w:sz w:val="24"/>
          <w:szCs w:val="24"/>
        </w:rPr>
        <w:t>A2.6.2.3</w:t>
      </w:r>
      <w:proofErr w:type="spellEnd"/>
      <w:r w:rsidRPr="000F6B87">
        <w:rPr>
          <w:sz w:val="24"/>
          <w:szCs w:val="24"/>
        </w:rPr>
        <w:t xml:space="preserve"> de la Resolución </w:t>
      </w:r>
      <w:proofErr w:type="spellStart"/>
      <w:r w:rsidRPr="000F6B87">
        <w:rPr>
          <w:sz w:val="24"/>
          <w:szCs w:val="24"/>
        </w:rPr>
        <w:t>UIT</w:t>
      </w:r>
      <w:proofErr w:type="spellEnd"/>
      <w:r w:rsidRPr="000F6B87">
        <w:rPr>
          <w:sz w:val="24"/>
          <w:szCs w:val="24"/>
        </w:rPr>
        <w:t>-R 1-7, se solicita a los Estados Miembros que informen a la Secretaría (</w:t>
      </w:r>
      <w:proofErr w:type="spellStart"/>
      <w:r w:rsidR="009B1661" w:rsidRPr="000F6B87">
        <w:rPr>
          <w:color w:val="0000FF"/>
          <w:sz w:val="24"/>
          <w:szCs w:val="24"/>
          <w:u w:val="single"/>
        </w:rPr>
        <w:fldChar w:fldCharType="begin"/>
      </w:r>
      <w:r w:rsidR="009B1661" w:rsidRPr="000F6B87">
        <w:rPr>
          <w:color w:val="0000FF"/>
          <w:sz w:val="24"/>
          <w:szCs w:val="24"/>
          <w:u w:val="single"/>
        </w:rPr>
        <w:instrText xml:space="preserve"> HYPERLINK "mailto:brsgd@itu.int" </w:instrText>
      </w:r>
      <w:r w:rsidR="009B1661" w:rsidRPr="000F6B87">
        <w:rPr>
          <w:color w:val="0000FF"/>
          <w:sz w:val="24"/>
          <w:szCs w:val="24"/>
          <w:u w:val="single"/>
        </w:rPr>
        <w:fldChar w:fldCharType="separate"/>
      </w:r>
      <w:r w:rsidRPr="000F6B87">
        <w:rPr>
          <w:color w:val="0000FF"/>
          <w:sz w:val="24"/>
          <w:szCs w:val="24"/>
          <w:u w:val="single"/>
        </w:rPr>
        <w:t>brsgd@itu.int</w:t>
      </w:r>
      <w:proofErr w:type="spellEnd"/>
      <w:r w:rsidR="009B1661" w:rsidRPr="000F6B87">
        <w:rPr>
          <w:color w:val="0000FF"/>
          <w:sz w:val="24"/>
          <w:szCs w:val="24"/>
          <w:u w:val="single"/>
        </w:rPr>
        <w:fldChar w:fldCharType="end"/>
      </w:r>
      <w:r w:rsidRPr="000F6B87">
        <w:rPr>
          <w:sz w:val="24"/>
          <w:szCs w:val="24"/>
        </w:rPr>
        <w:t xml:space="preserve">) antes del </w:t>
      </w:r>
      <w:r w:rsidR="00126220" w:rsidRPr="000F6B87">
        <w:rPr>
          <w:sz w:val="24"/>
          <w:szCs w:val="24"/>
          <w:u w:val="single"/>
        </w:rPr>
        <w:t>28</w:t>
      </w:r>
      <w:r w:rsidRPr="000F6B87">
        <w:rPr>
          <w:sz w:val="24"/>
          <w:szCs w:val="24"/>
          <w:u w:val="single"/>
        </w:rPr>
        <w:t xml:space="preserve"> </w:t>
      </w:r>
      <w:r w:rsidR="00126220" w:rsidRPr="000F6B87">
        <w:rPr>
          <w:sz w:val="24"/>
          <w:szCs w:val="24"/>
          <w:u w:val="single"/>
        </w:rPr>
        <w:t>de enero</w:t>
      </w:r>
      <w:r w:rsidRPr="000F6B87">
        <w:rPr>
          <w:sz w:val="24"/>
          <w:szCs w:val="24"/>
          <w:u w:val="single"/>
        </w:rPr>
        <w:t xml:space="preserve"> de 201</w:t>
      </w:r>
      <w:r w:rsidR="000F6B87">
        <w:rPr>
          <w:sz w:val="24"/>
          <w:szCs w:val="24"/>
          <w:u w:val="single"/>
        </w:rPr>
        <w:t>9</w:t>
      </w:r>
      <w:r w:rsidRPr="000F6B87">
        <w:rPr>
          <w:sz w:val="24"/>
          <w:szCs w:val="24"/>
        </w:rPr>
        <w:t xml:space="preserve"> si aprueban o no la propuesta anterior.</w:t>
      </w:r>
    </w:p>
    <w:p w:rsidR="007E0705" w:rsidRPr="000F6B87" w:rsidRDefault="007E0705" w:rsidP="007E0705">
      <w:pPr>
        <w:rPr>
          <w:sz w:val="24"/>
          <w:szCs w:val="24"/>
        </w:rPr>
      </w:pPr>
      <w:r w:rsidRPr="000F6B87">
        <w:rPr>
          <w:sz w:val="24"/>
          <w:szCs w:val="24"/>
        </w:rPr>
        <w:t xml:space="preserve">Tras la fecha límite mencionada, los resultados de esta consulta se comunicarán mediante Circular Administrativa y las Recomendaciones aprobadas se publicarán tan pronto como sea posible (véase </w:t>
      </w:r>
      <w:hyperlink r:id="rId7" w:history="1">
        <w:r w:rsidRPr="000F6B87">
          <w:rPr>
            <w:color w:val="0000FF"/>
            <w:sz w:val="24"/>
            <w:szCs w:val="24"/>
            <w:u w:val="single"/>
          </w:rPr>
          <w:t>http://</w:t>
        </w:r>
        <w:proofErr w:type="spellStart"/>
        <w:r w:rsidRPr="000F6B87">
          <w:rPr>
            <w:color w:val="0000FF"/>
            <w:sz w:val="24"/>
            <w:szCs w:val="24"/>
            <w:u w:val="single"/>
          </w:rPr>
          <w:t>www.itu.int</w:t>
        </w:r>
        <w:proofErr w:type="spellEnd"/>
        <w:r w:rsidRPr="000F6B87">
          <w:rPr>
            <w:color w:val="0000FF"/>
            <w:sz w:val="24"/>
            <w:szCs w:val="24"/>
            <w:u w:val="single"/>
          </w:rPr>
          <w:t>/pub/R-</w:t>
        </w:r>
        <w:proofErr w:type="spellStart"/>
        <w:r w:rsidRPr="000F6B87">
          <w:rPr>
            <w:color w:val="0000FF"/>
            <w:sz w:val="24"/>
            <w:szCs w:val="24"/>
            <w:u w:val="single"/>
          </w:rPr>
          <w:t>REC</w:t>
        </w:r>
        <w:proofErr w:type="spellEnd"/>
      </w:hyperlink>
      <w:r w:rsidRPr="000F6B87">
        <w:rPr>
          <w:sz w:val="24"/>
          <w:szCs w:val="24"/>
        </w:rPr>
        <w:t>).</w:t>
      </w:r>
    </w:p>
    <w:p w:rsidR="007E0705" w:rsidRPr="000F6B87" w:rsidRDefault="007E0705" w:rsidP="007E0705">
      <w:pPr>
        <w:tabs>
          <w:tab w:val="clear" w:pos="794"/>
          <w:tab w:val="clear" w:pos="1191"/>
          <w:tab w:val="clear" w:pos="1588"/>
          <w:tab w:val="clear" w:pos="1985"/>
        </w:tabs>
        <w:overflowPunct/>
        <w:autoSpaceDE/>
        <w:autoSpaceDN/>
        <w:adjustRightInd/>
        <w:spacing w:before="0"/>
        <w:textAlignment w:val="auto"/>
        <w:rPr>
          <w:sz w:val="24"/>
          <w:szCs w:val="24"/>
        </w:rPr>
      </w:pPr>
      <w:r w:rsidRPr="000F6B87">
        <w:rPr>
          <w:sz w:val="24"/>
          <w:szCs w:val="24"/>
        </w:rPr>
        <w:br w:type="page"/>
      </w:r>
      <w:bookmarkStart w:id="7" w:name="_GoBack"/>
      <w:bookmarkEnd w:id="7"/>
    </w:p>
    <w:p w:rsidR="007E0705" w:rsidRPr="000F6B87" w:rsidRDefault="007E0705" w:rsidP="00D85CFE">
      <w:pPr>
        <w:rPr>
          <w:sz w:val="24"/>
          <w:szCs w:val="24"/>
        </w:rPr>
      </w:pPr>
      <w:r w:rsidRPr="000F6B87">
        <w:rPr>
          <w:sz w:val="24"/>
          <w:szCs w:val="24"/>
        </w:rPr>
        <w:lastRenderedPageBreak/>
        <w:t xml:space="preserve">Se solicita a toda organización miembro de la </w:t>
      </w:r>
      <w:proofErr w:type="spellStart"/>
      <w:r w:rsidRPr="000F6B87">
        <w:rPr>
          <w:sz w:val="24"/>
          <w:szCs w:val="24"/>
        </w:rPr>
        <w:t>UIT</w:t>
      </w:r>
      <w:proofErr w:type="spellEnd"/>
      <w:r w:rsidRPr="000F6B87">
        <w:rPr>
          <w:sz w:val="24"/>
          <w:szCs w:val="24"/>
        </w:rPr>
        <w:t xml:space="preserve">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proofErr w:type="spellStart"/>
      <w:r w:rsidRPr="000F6B87">
        <w:rPr>
          <w:sz w:val="24"/>
          <w:szCs w:val="24"/>
        </w:rPr>
        <w:t>UIT</w:t>
      </w:r>
      <w:proofErr w:type="spellEnd"/>
      <w:r w:rsidRPr="000F6B87">
        <w:rPr>
          <w:sz w:val="24"/>
          <w:szCs w:val="24"/>
        </w:rPr>
        <w:t>-T/</w:t>
      </w:r>
      <w:proofErr w:type="spellStart"/>
      <w:r w:rsidRPr="000F6B87">
        <w:rPr>
          <w:sz w:val="24"/>
          <w:szCs w:val="24"/>
        </w:rPr>
        <w:t>UIT</w:t>
      </w:r>
      <w:proofErr w:type="spellEnd"/>
      <w:r w:rsidRPr="000F6B87">
        <w:rPr>
          <w:sz w:val="24"/>
          <w:szCs w:val="24"/>
        </w:rPr>
        <w:t>-R/ISO/</w:t>
      </w:r>
      <w:proofErr w:type="spellStart"/>
      <w:r w:rsidRPr="000F6B87">
        <w:rPr>
          <w:sz w:val="24"/>
          <w:szCs w:val="24"/>
        </w:rPr>
        <w:t>CEI</w:t>
      </w:r>
      <w:proofErr w:type="spellEnd"/>
      <w:r w:rsidRPr="000F6B87">
        <w:rPr>
          <w:sz w:val="24"/>
          <w:szCs w:val="24"/>
        </w:rPr>
        <w:t xml:space="preserve"> puede consultarse en </w:t>
      </w:r>
      <w:hyperlink r:id="rId8" w:history="1">
        <w:r w:rsidR="00D85CFE" w:rsidRPr="000F6B87">
          <w:rPr>
            <w:rStyle w:val="Hyperlink"/>
            <w:rFonts w:cs="Calibri"/>
            <w:sz w:val="24"/>
            <w:szCs w:val="24"/>
          </w:rPr>
          <w:t>http://</w:t>
        </w:r>
        <w:proofErr w:type="spellStart"/>
        <w:r w:rsidR="00D85CFE" w:rsidRPr="000F6B87">
          <w:rPr>
            <w:rStyle w:val="Hyperlink"/>
            <w:rFonts w:cs="Calibri"/>
            <w:sz w:val="24"/>
            <w:szCs w:val="24"/>
          </w:rPr>
          <w:t>www.itu.int</w:t>
        </w:r>
        <w:proofErr w:type="spellEnd"/>
        <w:r w:rsidR="00D85CFE" w:rsidRPr="000F6B87">
          <w:rPr>
            <w:rStyle w:val="Hyperlink"/>
            <w:rFonts w:cs="Calibri"/>
            <w:sz w:val="24"/>
            <w:szCs w:val="24"/>
          </w:rPr>
          <w:t>/en/ITU-T/</w:t>
        </w:r>
        <w:proofErr w:type="spellStart"/>
        <w:r w:rsidR="00D85CFE" w:rsidRPr="000F6B87">
          <w:rPr>
            <w:rStyle w:val="Hyperlink"/>
            <w:rFonts w:cs="Calibri"/>
            <w:sz w:val="24"/>
            <w:szCs w:val="24"/>
          </w:rPr>
          <w:t>ipr</w:t>
        </w:r>
        <w:proofErr w:type="spellEnd"/>
        <w:r w:rsidR="00D85CFE" w:rsidRPr="000F6B87">
          <w:rPr>
            <w:rStyle w:val="Hyperlink"/>
            <w:rFonts w:cs="Calibri"/>
            <w:sz w:val="24"/>
            <w:szCs w:val="24"/>
          </w:rPr>
          <w:t>/</w:t>
        </w:r>
        <w:proofErr w:type="spellStart"/>
        <w:r w:rsidR="00D85CFE" w:rsidRPr="000F6B87">
          <w:rPr>
            <w:rStyle w:val="Hyperlink"/>
            <w:rFonts w:cs="Calibri"/>
            <w:sz w:val="24"/>
            <w:szCs w:val="24"/>
          </w:rPr>
          <w:t>Pages</w:t>
        </w:r>
        <w:proofErr w:type="spellEnd"/>
        <w:r w:rsidR="00D85CFE" w:rsidRPr="000F6B87">
          <w:rPr>
            <w:rStyle w:val="Hyperlink"/>
            <w:rFonts w:cs="Calibri"/>
            <w:sz w:val="24"/>
            <w:szCs w:val="24"/>
          </w:rPr>
          <w:t>/</w:t>
        </w:r>
        <w:proofErr w:type="spellStart"/>
        <w:r w:rsidR="00D85CFE" w:rsidRPr="000F6B87">
          <w:rPr>
            <w:rStyle w:val="Hyperlink"/>
            <w:rFonts w:cs="Calibri"/>
            <w:sz w:val="24"/>
            <w:szCs w:val="24"/>
          </w:rPr>
          <w:t>policy.aspx</w:t>
        </w:r>
        <w:proofErr w:type="spellEnd"/>
      </w:hyperlink>
      <w:r w:rsidRPr="000F6B87">
        <w:rPr>
          <w:sz w:val="24"/>
          <w:szCs w:val="24"/>
        </w:rPr>
        <w:t>.</w:t>
      </w:r>
    </w:p>
    <w:p w:rsidR="007E0705" w:rsidRPr="000F6B87" w:rsidRDefault="007E0705" w:rsidP="00A5722A">
      <w:pPr>
        <w:spacing w:before="1920"/>
        <w:jc w:val="left"/>
        <w:rPr>
          <w:sz w:val="24"/>
          <w:szCs w:val="24"/>
        </w:rPr>
      </w:pPr>
      <w:proofErr w:type="spellStart"/>
      <w:r w:rsidRPr="000F6B87">
        <w:rPr>
          <w:sz w:val="24"/>
          <w:szCs w:val="24"/>
        </w:rPr>
        <w:t>Francois</w:t>
      </w:r>
      <w:proofErr w:type="spellEnd"/>
      <w:r w:rsidRPr="000F6B87">
        <w:rPr>
          <w:sz w:val="24"/>
          <w:szCs w:val="24"/>
        </w:rPr>
        <w:t xml:space="preserve"> </w:t>
      </w:r>
      <w:proofErr w:type="spellStart"/>
      <w:r w:rsidRPr="000F6B87">
        <w:rPr>
          <w:sz w:val="24"/>
          <w:szCs w:val="24"/>
        </w:rPr>
        <w:t>Rancy</w:t>
      </w:r>
      <w:proofErr w:type="spellEnd"/>
      <w:r w:rsidR="00D85CFE" w:rsidRPr="000F6B87">
        <w:rPr>
          <w:sz w:val="24"/>
          <w:szCs w:val="24"/>
        </w:rPr>
        <w:br/>
      </w:r>
      <w:r w:rsidRPr="000F6B87">
        <w:rPr>
          <w:sz w:val="24"/>
          <w:szCs w:val="24"/>
        </w:rPr>
        <w:t>Director</w:t>
      </w:r>
    </w:p>
    <w:p w:rsidR="009B1661" w:rsidRDefault="007E0705" w:rsidP="00A5722A">
      <w:pPr>
        <w:spacing w:before="1440"/>
        <w:rPr>
          <w:sz w:val="24"/>
          <w:szCs w:val="24"/>
        </w:rPr>
      </w:pPr>
      <w:r w:rsidRPr="000F6B87">
        <w:rPr>
          <w:b/>
          <w:bCs/>
          <w:sz w:val="24"/>
          <w:szCs w:val="24"/>
        </w:rPr>
        <w:t>Anexo:</w:t>
      </w:r>
      <w:r w:rsidR="00786E9F" w:rsidRPr="000F6B87">
        <w:rPr>
          <w:sz w:val="24"/>
          <w:szCs w:val="24"/>
        </w:rPr>
        <w:tab/>
      </w:r>
      <w:r w:rsidR="00786E9F" w:rsidRPr="000F6B87">
        <w:rPr>
          <w:sz w:val="24"/>
          <w:szCs w:val="24"/>
        </w:rPr>
        <w:tab/>
      </w:r>
      <w:r w:rsidR="00A5722A">
        <w:rPr>
          <w:sz w:val="24"/>
          <w:szCs w:val="24"/>
        </w:rPr>
        <w:tab/>
      </w:r>
      <w:r w:rsidRPr="000F6B87">
        <w:rPr>
          <w:sz w:val="24"/>
          <w:szCs w:val="24"/>
        </w:rPr>
        <w:t>Títulos y resúmenes de los proyectos de Recomendaciones</w:t>
      </w:r>
    </w:p>
    <w:p w:rsidR="007E0705" w:rsidRPr="000F6B87" w:rsidRDefault="007E0705" w:rsidP="00C64867">
      <w:pPr>
        <w:spacing w:before="1200"/>
        <w:rPr>
          <w:sz w:val="24"/>
          <w:szCs w:val="24"/>
        </w:rPr>
      </w:pPr>
      <w:r w:rsidRPr="000F6B87">
        <w:rPr>
          <w:b/>
          <w:bCs/>
          <w:sz w:val="24"/>
          <w:szCs w:val="24"/>
        </w:rPr>
        <w:t>Documentos:</w:t>
      </w:r>
      <w:r w:rsidRPr="000F6B87">
        <w:rPr>
          <w:sz w:val="24"/>
          <w:szCs w:val="24"/>
        </w:rPr>
        <w:t xml:space="preserve"> </w:t>
      </w:r>
      <w:r w:rsidR="00A5722A">
        <w:rPr>
          <w:sz w:val="24"/>
          <w:szCs w:val="24"/>
        </w:rPr>
        <w:tab/>
      </w:r>
      <w:r w:rsidRPr="000F6B87">
        <w:rPr>
          <w:sz w:val="24"/>
          <w:szCs w:val="24"/>
        </w:rPr>
        <w:t xml:space="preserve">Documentos </w:t>
      </w:r>
      <w:r w:rsidR="000F6B87" w:rsidRPr="000F6B87">
        <w:rPr>
          <w:sz w:val="24"/>
          <w:szCs w:val="24"/>
        </w:rPr>
        <w:t>5</w:t>
      </w:r>
      <w:r w:rsidRPr="000F6B87">
        <w:rPr>
          <w:sz w:val="24"/>
          <w:szCs w:val="24"/>
        </w:rPr>
        <w:t>/</w:t>
      </w:r>
      <w:r w:rsidR="000F6B87" w:rsidRPr="000F6B87">
        <w:rPr>
          <w:sz w:val="24"/>
          <w:szCs w:val="24"/>
        </w:rPr>
        <w:t>93</w:t>
      </w:r>
      <w:r w:rsidRPr="000F6B87">
        <w:rPr>
          <w:sz w:val="24"/>
          <w:szCs w:val="24"/>
        </w:rPr>
        <w:t xml:space="preserve">, </w:t>
      </w:r>
      <w:r w:rsidR="000F6B87" w:rsidRPr="000F6B87">
        <w:rPr>
          <w:sz w:val="24"/>
          <w:szCs w:val="24"/>
        </w:rPr>
        <w:t>5</w:t>
      </w:r>
      <w:r w:rsidRPr="000F6B87">
        <w:rPr>
          <w:sz w:val="24"/>
          <w:szCs w:val="24"/>
        </w:rPr>
        <w:t>/</w:t>
      </w:r>
      <w:r w:rsidR="000F6B87" w:rsidRPr="000F6B87">
        <w:rPr>
          <w:sz w:val="24"/>
          <w:szCs w:val="24"/>
        </w:rPr>
        <w:t>94</w:t>
      </w:r>
      <w:r w:rsidRPr="000F6B87">
        <w:rPr>
          <w:sz w:val="24"/>
          <w:szCs w:val="24"/>
        </w:rPr>
        <w:t xml:space="preserve"> </w:t>
      </w:r>
      <w:r w:rsidR="00C64867">
        <w:rPr>
          <w:sz w:val="24"/>
          <w:szCs w:val="24"/>
        </w:rPr>
        <w:t>y</w:t>
      </w:r>
      <w:r w:rsidR="000F6B87" w:rsidRPr="000F6B87">
        <w:rPr>
          <w:sz w:val="24"/>
          <w:szCs w:val="24"/>
        </w:rPr>
        <w:t xml:space="preserve"> 5/98</w:t>
      </w:r>
      <w:r w:rsidRPr="000F6B87">
        <w:rPr>
          <w:sz w:val="24"/>
          <w:szCs w:val="24"/>
        </w:rPr>
        <w:t xml:space="preserve"> </w:t>
      </w:r>
    </w:p>
    <w:p w:rsidR="007E0705" w:rsidRPr="000F6B87" w:rsidRDefault="007E0705" w:rsidP="00C42DD7">
      <w:pPr>
        <w:jc w:val="left"/>
        <w:rPr>
          <w:sz w:val="24"/>
          <w:szCs w:val="24"/>
        </w:rPr>
      </w:pPr>
      <w:r w:rsidRPr="000F6B87">
        <w:rPr>
          <w:sz w:val="24"/>
          <w:szCs w:val="24"/>
        </w:rPr>
        <w:t>Estos documentos están disponibles en formato electrónico en la dirección:</w:t>
      </w:r>
      <w:r w:rsidR="00FD63D4" w:rsidRPr="000F6B87">
        <w:rPr>
          <w:sz w:val="24"/>
          <w:szCs w:val="24"/>
        </w:rPr>
        <w:t xml:space="preserve"> </w:t>
      </w:r>
      <w:hyperlink r:id="rId9" w:history="1">
        <w:r w:rsidR="000F6B87" w:rsidRPr="000F6B87">
          <w:rPr>
            <w:rStyle w:val="Hyperlink"/>
            <w:rFonts w:cs="Calibri"/>
            <w:sz w:val="24"/>
            <w:szCs w:val="24"/>
          </w:rPr>
          <w:t>http://</w:t>
        </w:r>
        <w:proofErr w:type="spellStart"/>
        <w:r w:rsidR="000F6B87" w:rsidRPr="000F6B87">
          <w:rPr>
            <w:rStyle w:val="Hyperlink"/>
            <w:rFonts w:cs="Calibri"/>
            <w:sz w:val="24"/>
            <w:szCs w:val="24"/>
          </w:rPr>
          <w:t>www.itu.int</w:t>
        </w:r>
        <w:proofErr w:type="spellEnd"/>
        <w:r w:rsidR="000F6B87" w:rsidRPr="000F6B87">
          <w:rPr>
            <w:rStyle w:val="Hyperlink"/>
            <w:rFonts w:cs="Calibri"/>
            <w:sz w:val="24"/>
            <w:szCs w:val="24"/>
          </w:rPr>
          <w:t>/md/</w:t>
        </w:r>
        <w:proofErr w:type="spellStart"/>
        <w:r w:rsidR="000F6B87" w:rsidRPr="000F6B87">
          <w:rPr>
            <w:rStyle w:val="Hyperlink"/>
            <w:rFonts w:cs="Calibri"/>
            <w:sz w:val="24"/>
            <w:szCs w:val="24"/>
          </w:rPr>
          <w:t>R15</w:t>
        </w:r>
        <w:proofErr w:type="spellEnd"/>
        <w:r w:rsidR="000F6B87" w:rsidRPr="000F6B87">
          <w:rPr>
            <w:rStyle w:val="Hyperlink"/>
            <w:rFonts w:cs="Calibri"/>
            <w:sz w:val="24"/>
            <w:szCs w:val="24"/>
          </w:rPr>
          <w:t>-</w:t>
        </w:r>
        <w:proofErr w:type="spellStart"/>
        <w:r w:rsidR="000F6B87" w:rsidRPr="000F6B87">
          <w:rPr>
            <w:rStyle w:val="Hyperlink"/>
            <w:rFonts w:cs="Calibri"/>
            <w:sz w:val="24"/>
            <w:szCs w:val="24"/>
          </w:rPr>
          <w:t>SG05</w:t>
        </w:r>
        <w:proofErr w:type="spellEnd"/>
        <w:r w:rsidR="000F6B87" w:rsidRPr="000F6B87">
          <w:rPr>
            <w:rStyle w:val="Hyperlink"/>
            <w:rFonts w:cs="Calibri"/>
            <w:sz w:val="24"/>
            <w:szCs w:val="24"/>
          </w:rPr>
          <w:t>-C/en</w:t>
        </w:r>
      </w:hyperlink>
      <w:r w:rsidR="00C42DD7" w:rsidRPr="000F6B87">
        <w:rPr>
          <w:sz w:val="24"/>
          <w:szCs w:val="24"/>
        </w:rPr>
        <w:t xml:space="preserve"> </w:t>
      </w:r>
    </w:p>
    <w:p w:rsidR="007E0705" w:rsidRPr="000F6B87" w:rsidRDefault="007E0705" w:rsidP="00C64867">
      <w:pPr>
        <w:tabs>
          <w:tab w:val="left" w:pos="284"/>
          <w:tab w:val="left" w:pos="568"/>
        </w:tabs>
        <w:spacing w:before="4440"/>
        <w:rPr>
          <w:b/>
          <w:bCs/>
          <w:sz w:val="18"/>
          <w:szCs w:val="18"/>
        </w:rPr>
      </w:pPr>
      <w:r w:rsidRPr="000F6B87">
        <w:rPr>
          <w:b/>
          <w:bCs/>
          <w:sz w:val="18"/>
          <w:szCs w:val="18"/>
        </w:rPr>
        <w:t>Distribución:</w:t>
      </w:r>
    </w:p>
    <w:p w:rsidR="007E0705" w:rsidRPr="000F6B87" w:rsidRDefault="007E0705" w:rsidP="000F6B87">
      <w:pPr>
        <w:tabs>
          <w:tab w:val="left" w:pos="567"/>
          <w:tab w:val="left" w:pos="6237"/>
        </w:tabs>
        <w:spacing w:before="0" w:line="240" w:lineRule="auto"/>
        <w:ind w:left="567" w:hanging="567"/>
        <w:rPr>
          <w:sz w:val="18"/>
          <w:szCs w:val="18"/>
        </w:rPr>
      </w:pPr>
      <w:r w:rsidRPr="000F6B87">
        <w:rPr>
          <w:sz w:val="18"/>
          <w:szCs w:val="18"/>
        </w:rPr>
        <w:t>–</w:t>
      </w:r>
      <w:r w:rsidRPr="000F6B87">
        <w:rPr>
          <w:sz w:val="18"/>
          <w:szCs w:val="18"/>
        </w:rPr>
        <w:tab/>
        <w:t xml:space="preserve">Administraciones de los Estados </w:t>
      </w:r>
      <w:r w:rsidR="008C2623" w:rsidRPr="000F6B87">
        <w:rPr>
          <w:sz w:val="18"/>
          <w:szCs w:val="18"/>
        </w:rPr>
        <w:t xml:space="preserve">Miembros de la </w:t>
      </w:r>
      <w:proofErr w:type="spellStart"/>
      <w:r w:rsidR="008C2623" w:rsidRPr="000F6B87">
        <w:rPr>
          <w:sz w:val="18"/>
          <w:szCs w:val="18"/>
        </w:rPr>
        <w:t>UIT</w:t>
      </w:r>
      <w:proofErr w:type="spellEnd"/>
      <w:r w:rsidR="008C2623" w:rsidRPr="000F6B87">
        <w:rPr>
          <w:sz w:val="18"/>
          <w:szCs w:val="18"/>
        </w:rPr>
        <w:t xml:space="preserve"> y </w:t>
      </w:r>
      <w:r w:rsidRPr="000F6B87">
        <w:rPr>
          <w:sz w:val="18"/>
          <w:szCs w:val="18"/>
        </w:rPr>
        <w:t xml:space="preserve">Miembros del Sector de Radiocomunicaciones que participan en los trabajos de la Comisión de Estudio </w:t>
      </w:r>
      <w:r w:rsidR="000F6B87" w:rsidRPr="000F6B87">
        <w:rPr>
          <w:sz w:val="18"/>
          <w:szCs w:val="18"/>
        </w:rPr>
        <w:t>5</w:t>
      </w:r>
      <w:r w:rsidRPr="000F6B87">
        <w:rPr>
          <w:sz w:val="18"/>
          <w:szCs w:val="18"/>
        </w:rPr>
        <w:t xml:space="preserve"> de Radiocomunicaciones </w:t>
      </w:r>
    </w:p>
    <w:p w:rsidR="007E0705" w:rsidRPr="000F6B87" w:rsidRDefault="007E0705" w:rsidP="000F6B87">
      <w:pPr>
        <w:tabs>
          <w:tab w:val="left" w:pos="567"/>
          <w:tab w:val="left" w:pos="6237"/>
        </w:tabs>
        <w:spacing w:before="0" w:line="240" w:lineRule="auto"/>
        <w:rPr>
          <w:sz w:val="18"/>
          <w:szCs w:val="18"/>
        </w:rPr>
      </w:pPr>
      <w:r w:rsidRPr="000F6B87">
        <w:rPr>
          <w:sz w:val="18"/>
          <w:szCs w:val="18"/>
        </w:rPr>
        <w:t>–</w:t>
      </w:r>
      <w:r w:rsidRPr="000F6B87">
        <w:rPr>
          <w:sz w:val="18"/>
          <w:szCs w:val="18"/>
        </w:rPr>
        <w:tab/>
        <w:t xml:space="preserve">Asociados del </w:t>
      </w:r>
      <w:proofErr w:type="spellStart"/>
      <w:r w:rsidRPr="000F6B87">
        <w:rPr>
          <w:sz w:val="18"/>
          <w:szCs w:val="18"/>
        </w:rPr>
        <w:t>UIT</w:t>
      </w:r>
      <w:proofErr w:type="spellEnd"/>
      <w:r w:rsidRPr="000F6B87">
        <w:rPr>
          <w:sz w:val="18"/>
          <w:szCs w:val="18"/>
        </w:rPr>
        <w:t xml:space="preserve">-R que participan en los trabajos de la Comisión de Estudio </w:t>
      </w:r>
      <w:r w:rsidR="000F6B87" w:rsidRPr="000F6B87">
        <w:rPr>
          <w:sz w:val="18"/>
          <w:szCs w:val="18"/>
        </w:rPr>
        <w:t>5</w:t>
      </w:r>
      <w:r w:rsidRPr="000F6B87">
        <w:rPr>
          <w:sz w:val="18"/>
          <w:szCs w:val="18"/>
        </w:rPr>
        <w:t xml:space="preserve"> de Radiocomunicaciones </w:t>
      </w:r>
    </w:p>
    <w:p w:rsidR="007E0705" w:rsidRPr="000F6B87" w:rsidRDefault="007E0705" w:rsidP="00400AF2">
      <w:pPr>
        <w:tabs>
          <w:tab w:val="left" w:pos="567"/>
          <w:tab w:val="left" w:pos="6237"/>
        </w:tabs>
        <w:spacing w:before="0" w:line="240" w:lineRule="auto"/>
        <w:rPr>
          <w:sz w:val="18"/>
          <w:szCs w:val="18"/>
        </w:rPr>
      </w:pPr>
      <w:r w:rsidRPr="000F6B87">
        <w:rPr>
          <w:sz w:val="18"/>
          <w:szCs w:val="18"/>
        </w:rPr>
        <w:t>–</w:t>
      </w:r>
      <w:r w:rsidRPr="000F6B87">
        <w:rPr>
          <w:sz w:val="18"/>
          <w:szCs w:val="18"/>
        </w:rPr>
        <w:tab/>
        <w:t xml:space="preserve">Instituciones Académicas de la </w:t>
      </w:r>
      <w:proofErr w:type="spellStart"/>
      <w:r w:rsidRPr="000F6B87">
        <w:rPr>
          <w:sz w:val="18"/>
          <w:szCs w:val="18"/>
        </w:rPr>
        <w:t>UIT</w:t>
      </w:r>
      <w:proofErr w:type="spellEnd"/>
      <w:r w:rsidRPr="000F6B87">
        <w:rPr>
          <w:sz w:val="18"/>
          <w:szCs w:val="18"/>
        </w:rPr>
        <w:t xml:space="preserve"> </w:t>
      </w:r>
    </w:p>
    <w:p w:rsidR="007E0705" w:rsidRPr="000F6B87" w:rsidRDefault="007E0705" w:rsidP="00FD63D4">
      <w:pPr>
        <w:tabs>
          <w:tab w:val="left" w:pos="567"/>
          <w:tab w:val="left" w:pos="6237"/>
        </w:tabs>
        <w:spacing w:before="0" w:line="240" w:lineRule="auto"/>
        <w:ind w:left="567" w:hanging="567"/>
        <w:rPr>
          <w:sz w:val="18"/>
          <w:szCs w:val="18"/>
        </w:rPr>
      </w:pPr>
      <w:r w:rsidRPr="000F6B87">
        <w:rPr>
          <w:sz w:val="18"/>
          <w:szCs w:val="18"/>
        </w:rPr>
        <w:t>–</w:t>
      </w:r>
      <w:r w:rsidRPr="000F6B87">
        <w:rPr>
          <w:sz w:val="18"/>
          <w:szCs w:val="18"/>
        </w:rPr>
        <w:tab/>
        <w:t xml:space="preserve">Presidente y Vicepresidentes de las Comisiones de Estudio de Radiocomunicaciones </w:t>
      </w:r>
    </w:p>
    <w:p w:rsidR="007E0705" w:rsidRPr="000F6B87" w:rsidRDefault="007E0705" w:rsidP="00400AF2">
      <w:pPr>
        <w:tabs>
          <w:tab w:val="left" w:pos="567"/>
          <w:tab w:val="left" w:pos="6237"/>
        </w:tabs>
        <w:spacing w:before="0" w:line="240" w:lineRule="auto"/>
        <w:rPr>
          <w:sz w:val="18"/>
          <w:szCs w:val="18"/>
        </w:rPr>
      </w:pPr>
      <w:r w:rsidRPr="000F6B87">
        <w:rPr>
          <w:sz w:val="18"/>
          <w:szCs w:val="18"/>
        </w:rPr>
        <w:t>–</w:t>
      </w:r>
      <w:r w:rsidRPr="000F6B87">
        <w:rPr>
          <w:sz w:val="18"/>
          <w:szCs w:val="18"/>
        </w:rPr>
        <w:tab/>
        <w:t xml:space="preserve">Presidente y Vicepresidentes de la Reunión Preparatoria de la Conferencia </w:t>
      </w:r>
    </w:p>
    <w:p w:rsidR="007E0705" w:rsidRPr="000F6B87" w:rsidRDefault="007E0705" w:rsidP="00400AF2">
      <w:pPr>
        <w:tabs>
          <w:tab w:val="left" w:pos="567"/>
          <w:tab w:val="left" w:pos="6237"/>
        </w:tabs>
        <w:spacing w:before="0" w:line="240" w:lineRule="auto"/>
        <w:rPr>
          <w:sz w:val="18"/>
          <w:szCs w:val="18"/>
        </w:rPr>
      </w:pPr>
      <w:r w:rsidRPr="000F6B87">
        <w:rPr>
          <w:sz w:val="18"/>
          <w:szCs w:val="18"/>
        </w:rPr>
        <w:t>–</w:t>
      </w:r>
      <w:r w:rsidRPr="000F6B87">
        <w:rPr>
          <w:sz w:val="18"/>
          <w:szCs w:val="18"/>
        </w:rPr>
        <w:tab/>
        <w:t xml:space="preserve">Miembros de la Junta del Reglamento de Radiocomunicaciones </w:t>
      </w:r>
    </w:p>
    <w:p w:rsidR="00C42DD7" w:rsidRPr="000F6B87" w:rsidRDefault="007E0705" w:rsidP="00C64867">
      <w:pPr>
        <w:tabs>
          <w:tab w:val="left" w:pos="567"/>
          <w:tab w:val="left" w:pos="6237"/>
        </w:tabs>
        <w:overflowPunct/>
        <w:autoSpaceDE/>
        <w:autoSpaceDN/>
        <w:adjustRightInd/>
        <w:spacing w:before="0" w:line="240" w:lineRule="auto"/>
        <w:ind w:left="567" w:hanging="567"/>
        <w:textAlignment w:val="auto"/>
        <w:rPr>
          <w:sz w:val="18"/>
          <w:szCs w:val="18"/>
        </w:rPr>
      </w:pPr>
      <w:r w:rsidRPr="000F6B87">
        <w:rPr>
          <w:sz w:val="18"/>
          <w:szCs w:val="18"/>
        </w:rPr>
        <w:t>–</w:t>
      </w:r>
      <w:r w:rsidRPr="000F6B87">
        <w:rPr>
          <w:sz w:val="18"/>
          <w:szCs w:val="18"/>
        </w:rPr>
        <w:tab/>
        <w:t xml:space="preserve">Secretario General de la </w:t>
      </w:r>
      <w:proofErr w:type="spellStart"/>
      <w:r w:rsidRPr="000F6B87">
        <w:rPr>
          <w:sz w:val="18"/>
          <w:szCs w:val="18"/>
        </w:rPr>
        <w:t>UIT</w:t>
      </w:r>
      <w:proofErr w:type="spellEnd"/>
      <w:r w:rsidRPr="000F6B87">
        <w:rPr>
          <w:sz w:val="18"/>
          <w:szCs w:val="18"/>
        </w:rPr>
        <w:t>, Director de la Oficina de Normalización de las Telecomunicaciones, Director de la Oficina de Desarrollo</w:t>
      </w:r>
      <w:r w:rsidR="00400AF2" w:rsidRPr="000F6B87">
        <w:rPr>
          <w:sz w:val="18"/>
          <w:szCs w:val="18"/>
        </w:rPr>
        <w:t xml:space="preserve"> de Telecomunicaciones</w:t>
      </w:r>
      <w:r w:rsidR="00C42DD7" w:rsidRPr="000F6B87">
        <w:rPr>
          <w:sz w:val="18"/>
          <w:szCs w:val="18"/>
        </w:rPr>
        <w:br w:type="page"/>
      </w:r>
    </w:p>
    <w:p w:rsidR="007E0705" w:rsidRPr="000F6B87" w:rsidRDefault="007E0705" w:rsidP="000F6B87">
      <w:pPr>
        <w:pStyle w:val="AnnexNotitle0"/>
        <w:rPr>
          <w:rFonts w:asciiTheme="minorHAnsi" w:hAnsiTheme="minorHAnsi"/>
        </w:rPr>
      </w:pPr>
      <w:r w:rsidRPr="000F6B87">
        <w:rPr>
          <w:rFonts w:asciiTheme="minorHAnsi" w:hAnsiTheme="minorHAnsi"/>
        </w:rPr>
        <w:lastRenderedPageBreak/>
        <w:t>Anexo</w:t>
      </w:r>
      <w:r w:rsidR="00F31C52" w:rsidRPr="000F6B87">
        <w:rPr>
          <w:rFonts w:asciiTheme="minorHAnsi" w:hAnsiTheme="minorHAnsi"/>
        </w:rPr>
        <w:br/>
      </w:r>
      <w:r w:rsidR="00F31C52" w:rsidRPr="000F6B87">
        <w:rPr>
          <w:rFonts w:asciiTheme="minorHAnsi" w:hAnsiTheme="minorHAnsi"/>
        </w:rPr>
        <w:br/>
      </w:r>
      <w:r w:rsidRPr="000F6B87">
        <w:rPr>
          <w:rFonts w:asciiTheme="minorHAnsi" w:hAnsiTheme="minorHAnsi"/>
        </w:rPr>
        <w:t xml:space="preserve">Títulos y resúmenes de los proyectos de Recomendaciones adoptados </w:t>
      </w:r>
      <w:r w:rsidRPr="000F6B87">
        <w:rPr>
          <w:rFonts w:asciiTheme="minorHAnsi" w:hAnsiTheme="minorHAnsi"/>
        </w:rPr>
        <w:br/>
        <w:t xml:space="preserve">por la Comisión de Estudio </w:t>
      </w:r>
      <w:r w:rsidR="000F6B87" w:rsidRPr="000F6B87">
        <w:rPr>
          <w:rFonts w:asciiTheme="minorHAnsi" w:hAnsiTheme="minorHAnsi"/>
        </w:rPr>
        <w:t>5</w:t>
      </w:r>
      <w:r w:rsidRPr="000F6B87">
        <w:rPr>
          <w:rFonts w:asciiTheme="minorHAnsi" w:hAnsiTheme="minorHAnsi"/>
        </w:rPr>
        <w:t xml:space="preserve"> de Radiocomunicaciones</w:t>
      </w:r>
    </w:p>
    <w:p w:rsidR="00086E62" w:rsidRPr="00C64867" w:rsidRDefault="00086E62" w:rsidP="00C64867">
      <w:pPr>
        <w:tabs>
          <w:tab w:val="right" w:pos="9639"/>
        </w:tabs>
        <w:spacing w:before="480"/>
        <w:rPr>
          <w:sz w:val="24"/>
          <w:szCs w:val="24"/>
        </w:rPr>
      </w:pPr>
      <w:r w:rsidRPr="00C64867">
        <w:rPr>
          <w:sz w:val="24"/>
          <w:szCs w:val="24"/>
          <w:u w:val="single"/>
        </w:rPr>
        <w:t xml:space="preserve">Proyecto de nueva Recomendación </w:t>
      </w:r>
      <w:proofErr w:type="spellStart"/>
      <w:r w:rsidRPr="00C64867">
        <w:rPr>
          <w:sz w:val="24"/>
          <w:szCs w:val="24"/>
          <w:u w:val="single"/>
        </w:rPr>
        <w:t>UIT</w:t>
      </w:r>
      <w:proofErr w:type="spellEnd"/>
      <w:r w:rsidRPr="00C64867">
        <w:rPr>
          <w:sz w:val="24"/>
          <w:szCs w:val="24"/>
          <w:u w:val="single"/>
        </w:rPr>
        <w:t>-R F</w:t>
      </w:r>
      <w:proofErr w:type="gramStart"/>
      <w:r w:rsidRPr="00C64867">
        <w:rPr>
          <w:sz w:val="24"/>
          <w:szCs w:val="24"/>
          <w:u w:val="single"/>
        </w:rPr>
        <w:t>.[</w:t>
      </w:r>
      <w:proofErr w:type="gramEnd"/>
      <w:r w:rsidRPr="00C64867">
        <w:rPr>
          <w:sz w:val="24"/>
          <w:szCs w:val="24"/>
          <w:u w:val="single"/>
        </w:rPr>
        <w:t>HF-SHARE]</w:t>
      </w:r>
      <w:r w:rsidRPr="00C64867">
        <w:rPr>
          <w:sz w:val="24"/>
          <w:szCs w:val="24"/>
        </w:rPr>
        <w:tab/>
        <w:t>Doc. 5/94</w:t>
      </w:r>
    </w:p>
    <w:p w:rsidR="00086E62" w:rsidRPr="00201F8E" w:rsidRDefault="00086E62" w:rsidP="00C64867">
      <w:pPr>
        <w:tabs>
          <w:tab w:val="left" w:pos="8080"/>
        </w:tabs>
        <w:spacing w:before="360"/>
        <w:jc w:val="center"/>
        <w:rPr>
          <w:b/>
          <w:sz w:val="28"/>
        </w:rPr>
      </w:pPr>
      <w:r w:rsidRPr="00C3728A">
        <w:rPr>
          <w:b/>
          <w:sz w:val="28"/>
        </w:rPr>
        <w:t xml:space="preserve">Orientación respecto de los parámetros técnicos y las metodologías para los estudios de compartición y compatibilidad relacionados con los servicios </w:t>
      </w:r>
      <w:r w:rsidR="00C64867">
        <w:rPr>
          <w:b/>
          <w:sz w:val="28"/>
        </w:rPr>
        <w:br/>
      </w:r>
      <w:r w:rsidRPr="00C3728A">
        <w:rPr>
          <w:b/>
          <w:sz w:val="28"/>
        </w:rPr>
        <w:t>fijo y móvil terrestre en la gama de frecuencias 1,5-30 MHz</w:t>
      </w:r>
    </w:p>
    <w:p w:rsidR="00086E62" w:rsidRPr="00C64867" w:rsidRDefault="00086E62" w:rsidP="00C64867">
      <w:pPr>
        <w:tabs>
          <w:tab w:val="left" w:pos="8080"/>
        </w:tabs>
        <w:rPr>
          <w:sz w:val="24"/>
          <w:szCs w:val="24"/>
        </w:rPr>
      </w:pPr>
      <w:r w:rsidRPr="00C64867">
        <w:rPr>
          <w:sz w:val="24"/>
          <w:szCs w:val="24"/>
        </w:rPr>
        <w:t>Esta Recomendación contiene orientación para realizar los estudios de compartición relacionados con los sistemas de los servicios fijo y móvil terrestre en la gama de frecuencias 1,5-30 MHz. Se establece una lista de parámetros que caracterizan a un sistema para facilitar los estudios de compartición, se proporciona información sobre las metodologías que pueden utilizarse para los análisis de compartición de los servicios fijo y móvil terrestre en esta gama de frecuencias. Esta Recomendación contiene asimismo una lista de las Recomendacion</w:t>
      </w:r>
      <w:r w:rsidR="00C64867" w:rsidRPr="00C64867">
        <w:rPr>
          <w:sz w:val="24"/>
          <w:szCs w:val="24"/>
        </w:rPr>
        <w:t xml:space="preserve">es, Informes y Manuales del </w:t>
      </w:r>
      <w:proofErr w:type="spellStart"/>
      <w:r w:rsidR="00C64867" w:rsidRPr="00C64867">
        <w:rPr>
          <w:sz w:val="24"/>
          <w:szCs w:val="24"/>
        </w:rPr>
        <w:t>UIT</w:t>
      </w:r>
      <w:proofErr w:type="spellEnd"/>
      <w:r w:rsidR="00C64867">
        <w:rPr>
          <w:sz w:val="24"/>
          <w:szCs w:val="24"/>
        </w:rPr>
        <w:noBreakHyphen/>
      </w:r>
      <w:r w:rsidRPr="00C64867">
        <w:rPr>
          <w:sz w:val="24"/>
          <w:szCs w:val="24"/>
        </w:rPr>
        <w:t>R pertinentes.</w:t>
      </w:r>
    </w:p>
    <w:p w:rsidR="00086E62" w:rsidRPr="00C64867" w:rsidRDefault="00086E62" w:rsidP="00C64867">
      <w:pPr>
        <w:tabs>
          <w:tab w:val="right" w:pos="9639"/>
        </w:tabs>
        <w:spacing w:before="480"/>
        <w:rPr>
          <w:sz w:val="24"/>
          <w:szCs w:val="24"/>
        </w:rPr>
      </w:pPr>
      <w:r w:rsidRPr="00C64867">
        <w:rPr>
          <w:sz w:val="24"/>
          <w:szCs w:val="24"/>
          <w:u w:val="single"/>
        </w:rPr>
        <w:t xml:space="preserve">Proyecto de revisión de la Recomendación </w:t>
      </w:r>
      <w:proofErr w:type="spellStart"/>
      <w:r w:rsidRPr="00C64867">
        <w:rPr>
          <w:sz w:val="24"/>
          <w:szCs w:val="24"/>
          <w:u w:val="single"/>
        </w:rPr>
        <w:t>UIT</w:t>
      </w:r>
      <w:proofErr w:type="spellEnd"/>
      <w:r w:rsidRPr="00C64867">
        <w:rPr>
          <w:sz w:val="24"/>
          <w:szCs w:val="24"/>
          <w:u w:val="single"/>
        </w:rPr>
        <w:t xml:space="preserve">-R </w:t>
      </w:r>
      <w:proofErr w:type="spellStart"/>
      <w:r w:rsidRPr="00C64867">
        <w:rPr>
          <w:sz w:val="24"/>
          <w:szCs w:val="24"/>
          <w:u w:val="single"/>
        </w:rPr>
        <w:t>F.1105</w:t>
      </w:r>
      <w:proofErr w:type="spellEnd"/>
      <w:r w:rsidRPr="00C64867">
        <w:rPr>
          <w:sz w:val="24"/>
          <w:szCs w:val="24"/>
          <w:u w:val="single"/>
        </w:rPr>
        <w:t>-3</w:t>
      </w:r>
      <w:r w:rsidRPr="00C64867">
        <w:rPr>
          <w:sz w:val="24"/>
          <w:szCs w:val="24"/>
        </w:rPr>
        <w:tab/>
        <w:t>Doc. 5/93</w:t>
      </w:r>
    </w:p>
    <w:p w:rsidR="00086E62" w:rsidRPr="00201F8E" w:rsidRDefault="00086E62" w:rsidP="00C64867">
      <w:pPr>
        <w:tabs>
          <w:tab w:val="left" w:pos="8080"/>
        </w:tabs>
        <w:spacing w:before="360"/>
        <w:jc w:val="center"/>
        <w:rPr>
          <w:b/>
          <w:sz w:val="28"/>
        </w:rPr>
      </w:pPr>
      <w:r w:rsidRPr="00C3728A">
        <w:rPr>
          <w:b/>
          <w:sz w:val="28"/>
        </w:rPr>
        <w:t>Sistemas fijos inalámbricos para la mitigación de catástrofes y</w:t>
      </w:r>
      <w:r>
        <w:rPr>
          <w:b/>
          <w:sz w:val="28"/>
        </w:rPr>
        <w:br/>
      </w:r>
      <w:r w:rsidRPr="00C3728A">
        <w:rPr>
          <w:b/>
          <w:sz w:val="28"/>
        </w:rPr>
        <w:t>las operaciones de socorro</w:t>
      </w:r>
    </w:p>
    <w:p w:rsidR="00086E62" w:rsidRPr="00C64867" w:rsidRDefault="00086E62" w:rsidP="00086E62">
      <w:pPr>
        <w:tabs>
          <w:tab w:val="left" w:pos="8080"/>
        </w:tabs>
        <w:rPr>
          <w:sz w:val="24"/>
          <w:szCs w:val="24"/>
        </w:rPr>
      </w:pPr>
      <w:r w:rsidRPr="00C64867">
        <w:rPr>
          <w:sz w:val="24"/>
          <w:szCs w:val="24"/>
        </w:rPr>
        <w:t>Se añaden al Anexo 1 descripciones relativas a los sistemas de Tipo C con modulación adaptativa y control de potencia de transmisión que también tienen la capacidad de seleccionar canales de frecuencias apropiados utilizando mecanismos específicos, así como un ejemplo.</w:t>
      </w:r>
    </w:p>
    <w:p w:rsidR="00086E62" w:rsidRPr="00C64867" w:rsidRDefault="00086E62" w:rsidP="00C64867">
      <w:pPr>
        <w:tabs>
          <w:tab w:val="right" w:pos="9639"/>
        </w:tabs>
        <w:spacing w:before="480"/>
        <w:rPr>
          <w:sz w:val="24"/>
          <w:szCs w:val="24"/>
        </w:rPr>
      </w:pPr>
      <w:r w:rsidRPr="00C64867">
        <w:rPr>
          <w:sz w:val="24"/>
          <w:szCs w:val="24"/>
          <w:u w:val="single"/>
        </w:rPr>
        <w:t xml:space="preserve">Proyecto de revisión de la Recomendación </w:t>
      </w:r>
      <w:proofErr w:type="spellStart"/>
      <w:r w:rsidRPr="00C64867">
        <w:rPr>
          <w:sz w:val="24"/>
          <w:szCs w:val="24"/>
          <w:u w:val="single"/>
        </w:rPr>
        <w:t>UIT</w:t>
      </w:r>
      <w:proofErr w:type="spellEnd"/>
      <w:r w:rsidRPr="00C64867">
        <w:rPr>
          <w:sz w:val="24"/>
          <w:szCs w:val="24"/>
          <w:u w:val="single"/>
        </w:rPr>
        <w:t xml:space="preserve">-R </w:t>
      </w:r>
      <w:proofErr w:type="spellStart"/>
      <w:r w:rsidRPr="00C64867">
        <w:rPr>
          <w:sz w:val="24"/>
          <w:szCs w:val="24"/>
          <w:u w:val="single"/>
        </w:rPr>
        <w:t>F.1457</w:t>
      </w:r>
      <w:proofErr w:type="spellEnd"/>
      <w:r w:rsidRPr="00C64867">
        <w:rPr>
          <w:sz w:val="24"/>
          <w:szCs w:val="24"/>
          <w:u w:val="single"/>
        </w:rPr>
        <w:t>-13</w:t>
      </w:r>
      <w:r w:rsidRPr="00C64867">
        <w:rPr>
          <w:sz w:val="24"/>
          <w:szCs w:val="24"/>
        </w:rPr>
        <w:tab/>
        <w:t>Doc. 5/98</w:t>
      </w:r>
    </w:p>
    <w:p w:rsidR="00086E62" w:rsidRPr="00201F8E" w:rsidRDefault="00086E62" w:rsidP="00C64867">
      <w:pPr>
        <w:tabs>
          <w:tab w:val="left" w:pos="8080"/>
        </w:tabs>
        <w:spacing w:before="360"/>
        <w:jc w:val="center"/>
        <w:rPr>
          <w:b/>
          <w:sz w:val="28"/>
        </w:rPr>
      </w:pPr>
      <w:r w:rsidRPr="00C3728A">
        <w:rPr>
          <w:b/>
          <w:sz w:val="28"/>
        </w:rPr>
        <w:t>Especificaciones detalladas de las interfaces radioeléctricas terrenales de las telecomunicaciones móviles internacionales-2000 (</w:t>
      </w:r>
      <w:proofErr w:type="spellStart"/>
      <w:r w:rsidRPr="00C3728A">
        <w:rPr>
          <w:b/>
          <w:sz w:val="28"/>
        </w:rPr>
        <w:t>IMT</w:t>
      </w:r>
      <w:proofErr w:type="spellEnd"/>
      <w:r w:rsidRPr="00C3728A">
        <w:rPr>
          <w:b/>
          <w:sz w:val="28"/>
        </w:rPr>
        <w:t>-2000)</w:t>
      </w:r>
    </w:p>
    <w:p w:rsidR="00086E62" w:rsidRPr="00C64867" w:rsidRDefault="00086E62" w:rsidP="00086E62">
      <w:pPr>
        <w:tabs>
          <w:tab w:val="left" w:pos="8080"/>
        </w:tabs>
        <w:rPr>
          <w:sz w:val="24"/>
          <w:szCs w:val="24"/>
        </w:rPr>
      </w:pPr>
      <w:r w:rsidRPr="00C64867">
        <w:rPr>
          <w:sz w:val="24"/>
          <w:szCs w:val="24"/>
        </w:rPr>
        <w:t xml:space="preserve">Esta modificación de la Recomendación </w:t>
      </w:r>
      <w:proofErr w:type="spellStart"/>
      <w:r w:rsidRPr="00C64867">
        <w:rPr>
          <w:sz w:val="24"/>
          <w:szCs w:val="24"/>
        </w:rPr>
        <w:t>UIT</w:t>
      </w:r>
      <w:proofErr w:type="spellEnd"/>
      <w:r w:rsidRPr="00C64867">
        <w:rPr>
          <w:sz w:val="24"/>
          <w:szCs w:val="24"/>
        </w:rPr>
        <w:t xml:space="preserve">-R </w:t>
      </w:r>
      <w:proofErr w:type="spellStart"/>
      <w:r w:rsidRPr="00C64867">
        <w:rPr>
          <w:sz w:val="24"/>
          <w:szCs w:val="24"/>
        </w:rPr>
        <w:t>M.1457</w:t>
      </w:r>
      <w:proofErr w:type="spellEnd"/>
      <w:r w:rsidRPr="00C64867">
        <w:rPr>
          <w:sz w:val="24"/>
          <w:szCs w:val="24"/>
        </w:rPr>
        <w:t xml:space="preserve"> tiene por objeto mantener actualizadas las tecnologías especificadas de la componente terrenal de las </w:t>
      </w:r>
      <w:proofErr w:type="spellStart"/>
      <w:r w:rsidRPr="00C64867">
        <w:rPr>
          <w:sz w:val="24"/>
          <w:szCs w:val="24"/>
        </w:rPr>
        <w:t>IMT</w:t>
      </w:r>
      <w:proofErr w:type="spellEnd"/>
      <w:r w:rsidRPr="00C64867">
        <w:rPr>
          <w:sz w:val="24"/>
          <w:szCs w:val="24"/>
        </w:rPr>
        <w:t>-2000 hasta la fecha. Los cambios principales incluyen la adición de capacidades mejoradas para las tecnologías de interfaces radioeléctricas (</w:t>
      </w:r>
      <w:proofErr w:type="spellStart"/>
      <w:r w:rsidRPr="00C64867">
        <w:rPr>
          <w:sz w:val="24"/>
          <w:szCs w:val="24"/>
        </w:rPr>
        <w:t>RIT</w:t>
      </w:r>
      <w:proofErr w:type="spellEnd"/>
      <w:r w:rsidRPr="00C64867">
        <w:rPr>
          <w:sz w:val="24"/>
          <w:szCs w:val="24"/>
        </w:rPr>
        <w:t xml:space="preserve">) </w:t>
      </w:r>
      <w:proofErr w:type="spellStart"/>
      <w:r w:rsidRPr="00C64867">
        <w:rPr>
          <w:sz w:val="24"/>
          <w:szCs w:val="24"/>
        </w:rPr>
        <w:t>CDMA</w:t>
      </w:r>
      <w:proofErr w:type="spellEnd"/>
      <w:r w:rsidRPr="00C64867">
        <w:rPr>
          <w:sz w:val="24"/>
          <w:szCs w:val="24"/>
        </w:rPr>
        <w:t xml:space="preserve"> </w:t>
      </w:r>
      <w:proofErr w:type="spellStart"/>
      <w:r w:rsidRPr="00C64867">
        <w:rPr>
          <w:sz w:val="24"/>
          <w:szCs w:val="24"/>
        </w:rPr>
        <w:t>DS</w:t>
      </w:r>
      <w:proofErr w:type="spellEnd"/>
      <w:r w:rsidRPr="00C64867">
        <w:rPr>
          <w:sz w:val="24"/>
          <w:szCs w:val="24"/>
        </w:rPr>
        <w:t xml:space="preserve">, </w:t>
      </w:r>
      <w:proofErr w:type="spellStart"/>
      <w:r w:rsidRPr="00C64867">
        <w:rPr>
          <w:sz w:val="24"/>
          <w:szCs w:val="24"/>
        </w:rPr>
        <w:t>CDMA</w:t>
      </w:r>
      <w:proofErr w:type="spellEnd"/>
      <w:r w:rsidRPr="00C64867">
        <w:rPr>
          <w:sz w:val="24"/>
          <w:szCs w:val="24"/>
        </w:rPr>
        <w:t xml:space="preserve"> </w:t>
      </w:r>
      <w:proofErr w:type="spellStart"/>
      <w:r w:rsidRPr="00C64867">
        <w:rPr>
          <w:sz w:val="24"/>
          <w:szCs w:val="24"/>
        </w:rPr>
        <w:t>TDD</w:t>
      </w:r>
      <w:proofErr w:type="spellEnd"/>
      <w:r w:rsidRPr="00C64867">
        <w:rPr>
          <w:sz w:val="24"/>
          <w:szCs w:val="24"/>
        </w:rPr>
        <w:t xml:space="preserve"> y </w:t>
      </w:r>
      <w:proofErr w:type="spellStart"/>
      <w:r w:rsidRPr="00C64867">
        <w:rPr>
          <w:sz w:val="24"/>
          <w:szCs w:val="24"/>
        </w:rPr>
        <w:t>TDMA</w:t>
      </w:r>
      <w:proofErr w:type="spellEnd"/>
      <w:r w:rsidRPr="00C64867">
        <w:rPr>
          <w:sz w:val="24"/>
          <w:szCs w:val="24"/>
        </w:rPr>
        <w:t xml:space="preserve"> </w:t>
      </w:r>
      <w:proofErr w:type="spellStart"/>
      <w:r w:rsidRPr="00C64867">
        <w:rPr>
          <w:sz w:val="24"/>
          <w:szCs w:val="24"/>
        </w:rPr>
        <w:t>FDMA</w:t>
      </w:r>
      <w:proofErr w:type="spellEnd"/>
      <w:r w:rsidRPr="00C64867">
        <w:rPr>
          <w:sz w:val="24"/>
          <w:szCs w:val="24"/>
        </w:rPr>
        <w:t xml:space="preserve">, y las correspondientes modificaciones en los puntos sobre «visión general» del texto, así como las especificaciones globales básicas. Además, se han actualizado las referencias de la transposición en las secciones 5.1, 5.3 y 5.5. No hay actualizaciones para las </w:t>
      </w:r>
      <w:proofErr w:type="spellStart"/>
      <w:r w:rsidRPr="00C64867">
        <w:rPr>
          <w:sz w:val="24"/>
          <w:szCs w:val="24"/>
        </w:rPr>
        <w:t>RIT</w:t>
      </w:r>
      <w:proofErr w:type="spellEnd"/>
      <w:r w:rsidRPr="00C64867">
        <w:rPr>
          <w:sz w:val="24"/>
          <w:szCs w:val="24"/>
        </w:rPr>
        <w:t xml:space="preserve"> </w:t>
      </w:r>
      <w:proofErr w:type="spellStart"/>
      <w:r w:rsidRPr="00C64867">
        <w:rPr>
          <w:sz w:val="24"/>
          <w:szCs w:val="24"/>
        </w:rPr>
        <w:t>CDMA</w:t>
      </w:r>
      <w:proofErr w:type="spellEnd"/>
      <w:r w:rsidRPr="00C64867">
        <w:rPr>
          <w:sz w:val="24"/>
          <w:szCs w:val="24"/>
        </w:rPr>
        <w:t xml:space="preserve"> MC, </w:t>
      </w:r>
      <w:proofErr w:type="spellStart"/>
      <w:r w:rsidRPr="00C64867">
        <w:rPr>
          <w:sz w:val="24"/>
          <w:szCs w:val="24"/>
        </w:rPr>
        <w:t>TDMA</w:t>
      </w:r>
      <w:proofErr w:type="spellEnd"/>
      <w:r w:rsidRPr="00C64867">
        <w:rPr>
          <w:sz w:val="24"/>
          <w:szCs w:val="24"/>
        </w:rPr>
        <w:t xml:space="preserve"> SC y </w:t>
      </w:r>
      <w:proofErr w:type="spellStart"/>
      <w:r w:rsidRPr="00C64867">
        <w:rPr>
          <w:sz w:val="24"/>
          <w:szCs w:val="24"/>
        </w:rPr>
        <w:t>OFDMA</w:t>
      </w:r>
      <w:proofErr w:type="spellEnd"/>
      <w:r w:rsidRPr="00C64867">
        <w:rPr>
          <w:sz w:val="24"/>
          <w:szCs w:val="24"/>
        </w:rPr>
        <w:t xml:space="preserve"> </w:t>
      </w:r>
      <w:proofErr w:type="spellStart"/>
      <w:r w:rsidRPr="00C64867">
        <w:rPr>
          <w:sz w:val="24"/>
          <w:szCs w:val="24"/>
        </w:rPr>
        <w:t>TDD</w:t>
      </w:r>
      <w:proofErr w:type="spellEnd"/>
      <w:r w:rsidRPr="00C64867">
        <w:rPr>
          <w:sz w:val="24"/>
          <w:szCs w:val="24"/>
        </w:rPr>
        <w:t xml:space="preserve"> </w:t>
      </w:r>
      <w:proofErr w:type="spellStart"/>
      <w:r w:rsidRPr="00C64867">
        <w:rPr>
          <w:sz w:val="24"/>
          <w:szCs w:val="24"/>
        </w:rPr>
        <w:t>WMAN</w:t>
      </w:r>
      <w:proofErr w:type="spellEnd"/>
      <w:r w:rsidRPr="00C64867">
        <w:rPr>
          <w:sz w:val="24"/>
          <w:szCs w:val="24"/>
        </w:rPr>
        <w:t>, y las secciones 5.2, 5.4 y 5.6 se mantienen sin cambios respecto de la Revisión 13.</w:t>
      </w:r>
    </w:p>
    <w:p w:rsidR="0041376F" w:rsidRPr="00C64867" w:rsidRDefault="0041376F" w:rsidP="0041376F">
      <w:pPr>
        <w:tabs>
          <w:tab w:val="left" w:pos="8080"/>
        </w:tabs>
        <w:rPr>
          <w:sz w:val="24"/>
          <w:szCs w:val="24"/>
        </w:rPr>
      </w:pPr>
      <w:r w:rsidRPr="00C64867">
        <w:rPr>
          <w:sz w:val="24"/>
          <w:szCs w:val="24"/>
        </w:rPr>
        <w:t>Desde la presente actualización, se ha añadido una nueva organización de normalización (</w:t>
      </w:r>
      <w:proofErr w:type="spellStart"/>
      <w:r w:rsidRPr="00C64867">
        <w:rPr>
          <w:sz w:val="24"/>
          <w:szCs w:val="24"/>
        </w:rPr>
        <w:t>TSDSI</w:t>
      </w:r>
      <w:proofErr w:type="spellEnd"/>
      <w:r w:rsidRPr="00C64867">
        <w:rPr>
          <w:sz w:val="24"/>
          <w:szCs w:val="24"/>
        </w:rPr>
        <w:t>) a las Organizaciones de Transposición para las secciones 5.1.2 y 5.3.2. (</w:t>
      </w:r>
      <w:proofErr w:type="spellStart"/>
      <w:r w:rsidRPr="00C64867">
        <w:rPr>
          <w:sz w:val="24"/>
          <w:szCs w:val="24"/>
        </w:rPr>
        <w:t>CDMA</w:t>
      </w:r>
      <w:proofErr w:type="spellEnd"/>
      <w:r w:rsidRPr="00C64867">
        <w:rPr>
          <w:sz w:val="24"/>
          <w:szCs w:val="24"/>
        </w:rPr>
        <w:t xml:space="preserve"> </w:t>
      </w:r>
      <w:proofErr w:type="spellStart"/>
      <w:r w:rsidRPr="00C64867">
        <w:rPr>
          <w:sz w:val="24"/>
          <w:szCs w:val="24"/>
        </w:rPr>
        <w:t>DS</w:t>
      </w:r>
      <w:proofErr w:type="spellEnd"/>
      <w:r w:rsidRPr="00C64867">
        <w:rPr>
          <w:sz w:val="24"/>
          <w:szCs w:val="24"/>
        </w:rPr>
        <w:t xml:space="preserve"> y </w:t>
      </w:r>
      <w:proofErr w:type="spellStart"/>
      <w:r w:rsidRPr="00C64867">
        <w:rPr>
          <w:sz w:val="24"/>
          <w:szCs w:val="24"/>
        </w:rPr>
        <w:t>CDMA</w:t>
      </w:r>
      <w:proofErr w:type="spellEnd"/>
      <w:r w:rsidRPr="00C64867">
        <w:rPr>
          <w:sz w:val="24"/>
          <w:szCs w:val="24"/>
        </w:rPr>
        <w:t xml:space="preserve"> </w:t>
      </w:r>
      <w:proofErr w:type="spellStart"/>
      <w:r w:rsidRPr="00C64867">
        <w:rPr>
          <w:sz w:val="24"/>
          <w:szCs w:val="24"/>
        </w:rPr>
        <w:t>TDD</w:t>
      </w:r>
      <w:proofErr w:type="spellEnd"/>
      <w:r w:rsidRPr="00C64867">
        <w:rPr>
          <w:sz w:val="24"/>
          <w:szCs w:val="24"/>
        </w:rPr>
        <w:t>).</w:t>
      </w:r>
    </w:p>
    <w:p w:rsidR="000C03C7" w:rsidRPr="000F6B87" w:rsidRDefault="000C03C7" w:rsidP="007E0705"/>
    <w:p w:rsidR="00F31C52" w:rsidRPr="000F6B87" w:rsidRDefault="00F31C52" w:rsidP="0032202E">
      <w:pPr>
        <w:pStyle w:val="Reasons"/>
        <w:rPr>
          <w:lang w:val="es-ES_tradnl"/>
        </w:rPr>
      </w:pPr>
    </w:p>
    <w:p w:rsidR="00F31C52" w:rsidRPr="000F6B87" w:rsidRDefault="00F31C52" w:rsidP="000B2A41">
      <w:pPr>
        <w:jc w:val="center"/>
      </w:pPr>
      <w:r w:rsidRPr="000F6B87">
        <w:t>______________</w:t>
      </w:r>
    </w:p>
    <w:sectPr w:rsidR="00F31C52" w:rsidRPr="000F6B87" w:rsidSect="00235A29">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05" w:rsidRDefault="007E0705">
      <w:r>
        <w:separator/>
      </w:r>
    </w:p>
  </w:endnote>
  <w:endnote w:type="continuationSeparator" w:id="0">
    <w:p w:rsidR="007E0705" w:rsidRDefault="007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AD" w:rsidRPr="00F66AB5" w:rsidRDefault="005776AD" w:rsidP="005776AD">
    <w:pPr>
      <w:pStyle w:val="FirstFooter"/>
      <w:spacing w:line="240" w:lineRule="auto"/>
      <w:ind w:left="-397" w:right="-397"/>
      <w:jc w:val="center"/>
      <w:rPr>
        <w:sz w:val="18"/>
        <w:szCs w:val="18"/>
      </w:rPr>
    </w:pPr>
    <w:r w:rsidRPr="00F66AB5">
      <w:rPr>
        <w:sz w:val="18"/>
        <w:szCs w:val="18"/>
      </w:rPr>
      <w:t xml:space="preserve">Unión Internacional de Telecomunicaciones • Place des </w:t>
    </w:r>
    <w:proofErr w:type="spellStart"/>
    <w:r w:rsidRPr="00F66AB5">
      <w:rPr>
        <w:sz w:val="18"/>
        <w:szCs w:val="18"/>
      </w:rPr>
      <w:t>Nations</w:t>
    </w:r>
    <w:proofErr w:type="spellEnd"/>
    <w:r w:rsidRPr="00F66AB5">
      <w:rPr>
        <w:sz w:val="18"/>
        <w:szCs w:val="18"/>
      </w:rPr>
      <w:t xml:space="preserve"> • CH</w:t>
    </w:r>
    <w:r w:rsidRPr="00F66AB5">
      <w:rPr>
        <w:sz w:val="18"/>
        <w:szCs w:val="18"/>
      </w:rPr>
      <w:noBreakHyphen/>
      <w:t>1211 Ginebra 20 • Suiza</w:t>
    </w:r>
    <w:r w:rsidRPr="00F66AB5">
      <w:rPr>
        <w:sz w:val="18"/>
        <w:szCs w:val="18"/>
      </w:rPr>
      <w:br/>
      <w:t>Tel</w:t>
    </w:r>
    <w:r w:rsidR="000F6B87">
      <w:rPr>
        <w:sz w:val="18"/>
        <w:szCs w:val="18"/>
      </w:rPr>
      <w:t>.</w:t>
    </w:r>
    <w:r w:rsidRPr="00F66AB5">
      <w:rPr>
        <w:sz w:val="18"/>
        <w:szCs w:val="18"/>
      </w:rPr>
      <w:t xml:space="preserve">: +41 22 730 5111 • Fax: +41 22 733 7256 • Correo-e: </w:t>
    </w:r>
    <w:hyperlink r:id="rId1" w:history="1">
      <w:r w:rsidRPr="00F66AB5">
        <w:rPr>
          <w:rStyle w:val="Hyperlink"/>
          <w:sz w:val="18"/>
          <w:szCs w:val="18"/>
        </w:rPr>
        <w:t>itumail@itu.int</w:t>
      </w:r>
    </w:hyperlink>
    <w:r w:rsidRPr="00F66AB5">
      <w:rPr>
        <w:sz w:val="18"/>
        <w:szCs w:val="18"/>
      </w:rPr>
      <w:t xml:space="preserve"> • </w:t>
    </w:r>
    <w:hyperlink r:id="rId2" w:history="1">
      <w:r w:rsidRPr="00F66AB5">
        <w:rPr>
          <w:rStyle w:val="Hyperlink"/>
          <w:sz w:val="18"/>
          <w:szCs w:val="18"/>
        </w:rPr>
        <w:t>www.itu.int</w:t>
      </w:r>
    </w:hyperlink>
    <w:r w:rsidRPr="00F66AB5">
      <w:rPr>
        <w:sz w:val="18"/>
        <w:szCs w:val="18"/>
      </w:rPr>
      <w:t xml:space="preserve"> </w:t>
    </w:r>
    <w:r w:rsidR="009B0DB7" w:rsidRPr="00F66AB5">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05" w:rsidRDefault="007E0705">
      <w:r>
        <w:t>____________________</w:t>
      </w:r>
    </w:p>
  </w:footnote>
  <w:footnote w:type="continuationSeparator" w:id="0">
    <w:p w:rsidR="007E0705" w:rsidRDefault="007E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85CFE" w:rsidRDefault="00D15CFA" w:rsidP="00D85CFE">
    <w:pPr>
      <w:pStyle w:val="Header"/>
      <w:jc w:val="center"/>
      <w:rPr>
        <w:sz w:val="18"/>
        <w:szCs w:val="18"/>
      </w:rPr>
    </w:pPr>
    <w:r w:rsidRPr="00D85CFE">
      <w:rPr>
        <w:sz w:val="18"/>
        <w:szCs w:val="18"/>
      </w:rPr>
      <w:t xml:space="preserve">- </w:t>
    </w:r>
    <w:r w:rsidR="00026CF8" w:rsidRPr="00D85CFE">
      <w:rPr>
        <w:rStyle w:val="PageNumber"/>
        <w:rFonts w:cs="Calibri"/>
        <w:sz w:val="18"/>
        <w:szCs w:val="18"/>
      </w:rPr>
      <w:fldChar w:fldCharType="begin"/>
    </w:r>
    <w:r w:rsidR="00026CF8" w:rsidRPr="00D85CFE">
      <w:rPr>
        <w:rStyle w:val="PageNumber"/>
        <w:rFonts w:cs="Calibri"/>
        <w:sz w:val="18"/>
        <w:szCs w:val="18"/>
      </w:rPr>
      <w:instrText xml:space="preserve"> PAGE </w:instrText>
    </w:r>
    <w:r w:rsidR="00026CF8" w:rsidRPr="00D85CFE">
      <w:rPr>
        <w:rStyle w:val="PageNumber"/>
        <w:rFonts w:cs="Calibri"/>
        <w:sz w:val="18"/>
        <w:szCs w:val="18"/>
      </w:rPr>
      <w:fldChar w:fldCharType="separate"/>
    </w:r>
    <w:r w:rsidR="00E1666B">
      <w:rPr>
        <w:rStyle w:val="PageNumber"/>
        <w:rFonts w:cs="Calibri"/>
        <w:noProof/>
        <w:sz w:val="18"/>
        <w:szCs w:val="18"/>
      </w:rPr>
      <w:t>2</w:t>
    </w:r>
    <w:r w:rsidR="00026CF8" w:rsidRPr="00D85CFE">
      <w:rPr>
        <w:rStyle w:val="PageNumber"/>
        <w:rFonts w:cs="Calibri"/>
        <w:sz w:val="18"/>
        <w:szCs w:val="18"/>
      </w:rPr>
      <w:fldChar w:fldCharType="end"/>
    </w:r>
    <w:r w:rsidRPr="00D85CFE">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52" w:rsidRPr="00D85CFE" w:rsidRDefault="00F31C52" w:rsidP="00D85CFE">
    <w:pPr>
      <w:pStyle w:val="Header"/>
      <w:jc w:val="center"/>
      <w:rPr>
        <w:sz w:val="18"/>
        <w:szCs w:val="18"/>
      </w:rPr>
    </w:pPr>
    <w:r w:rsidRPr="00D85CFE">
      <w:rPr>
        <w:sz w:val="18"/>
        <w:szCs w:val="18"/>
      </w:rPr>
      <w:t xml:space="preserve">- </w:t>
    </w:r>
    <w:r w:rsidRPr="00D85CFE">
      <w:rPr>
        <w:rStyle w:val="PageNumber"/>
        <w:rFonts w:cs="Calibri"/>
        <w:sz w:val="18"/>
        <w:szCs w:val="18"/>
      </w:rPr>
      <w:fldChar w:fldCharType="begin"/>
    </w:r>
    <w:r w:rsidRPr="00D85CFE">
      <w:rPr>
        <w:rStyle w:val="PageNumber"/>
        <w:rFonts w:cs="Calibri"/>
        <w:sz w:val="18"/>
        <w:szCs w:val="18"/>
      </w:rPr>
      <w:instrText xml:space="preserve"> PAGE </w:instrText>
    </w:r>
    <w:r w:rsidRPr="00D85CFE">
      <w:rPr>
        <w:rStyle w:val="PageNumber"/>
        <w:rFonts w:cs="Calibri"/>
        <w:sz w:val="18"/>
        <w:szCs w:val="18"/>
      </w:rPr>
      <w:fldChar w:fldCharType="separate"/>
    </w:r>
    <w:r w:rsidR="00E1666B">
      <w:rPr>
        <w:rStyle w:val="PageNumber"/>
        <w:rFonts w:cs="Calibri"/>
        <w:noProof/>
        <w:sz w:val="18"/>
        <w:szCs w:val="18"/>
      </w:rPr>
      <w:t>3</w:t>
    </w:r>
    <w:r w:rsidRPr="00D85CFE">
      <w:rPr>
        <w:rStyle w:val="PageNumber"/>
        <w:rFonts w:cs="Calibri"/>
        <w:sz w:val="18"/>
        <w:szCs w:val="18"/>
      </w:rPr>
      <w:fldChar w:fldCharType="end"/>
    </w:r>
    <w:r w:rsidRPr="00D85CFE">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B0DB7" w:rsidRPr="007B275E" w:rsidTr="009B0DB7">
      <w:tc>
        <w:tcPr>
          <w:tcW w:w="5000" w:type="pct"/>
        </w:tcPr>
        <w:p w:rsidR="009B0DB7" w:rsidRPr="007B275E" w:rsidRDefault="009B0DB7" w:rsidP="009B0DB7">
          <w:pPr>
            <w:tabs>
              <w:tab w:val="clear" w:pos="794"/>
              <w:tab w:val="clear" w:pos="1191"/>
              <w:tab w:val="clear" w:pos="1588"/>
              <w:tab w:val="clear" w:pos="1985"/>
              <w:tab w:val="center" w:pos="9639"/>
            </w:tabs>
            <w:spacing w:before="120" w:line="360" w:lineRule="auto"/>
            <w:jc w:val="center"/>
          </w:pPr>
          <w:r w:rsidRPr="007B275E">
            <w:rPr>
              <w:b/>
              <w:bCs/>
              <w:noProof/>
              <w:lang w:val="en-US" w:eastAsia="zh-CN"/>
            </w:rPr>
            <w:drawing>
              <wp:inline distT="0" distB="0" distL="0" distR="0" wp14:anchorId="19A7FDBC" wp14:editId="5CBDDFB3">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350BBA" w:rsidRPr="00A05567" w:rsidRDefault="00350BBA" w:rsidP="00350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E0705"/>
    <w:rsid w:val="00010E30"/>
    <w:rsid w:val="00026CF8"/>
    <w:rsid w:val="00031E64"/>
    <w:rsid w:val="00040DF5"/>
    <w:rsid w:val="00054534"/>
    <w:rsid w:val="00070258"/>
    <w:rsid w:val="00072B9B"/>
    <w:rsid w:val="00072E16"/>
    <w:rsid w:val="0007323C"/>
    <w:rsid w:val="00086D03"/>
    <w:rsid w:val="00086E62"/>
    <w:rsid w:val="00094683"/>
    <w:rsid w:val="000A7051"/>
    <w:rsid w:val="000B2A41"/>
    <w:rsid w:val="000C03C7"/>
    <w:rsid w:val="000D786F"/>
    <w:rsid w:val="000E3DEE"/>
    <w:rsid w:val="000E5E18"/>
    <w:rsid w:val="000F6B87"/>
    <w:rsid w:val="00103C76"/>
    <w:rsid w:val="00105660"/>
    <w:rsid w:val="0011265F"/>
    <w:rsid w:val="00126220"/>
    <w:rsid w:val="00145AA2"/>
    <w:rsid w:val="0016308F"/>
    <w:rsid w:val="00196710"/>
    <w:rsid w:val="00197324"/>
    <w:rsid w:val="001B1CE8"/>
    <w:rsid w:val="001C72EF"/>
    <w:rsid w:val="001D7070"/>
    <w:rsid w:val="001F5A49"/>
    <w:rsid w:val="00200936"/>
    <w:rsid w:val="00201097"/>
    <w:rsid w:val="00201B6E"/>
    <w:rsid w:val="002240B2"/>
    <w:rsid w:val="00235A29"/>
    <w:rsid w:val="002861E6"/>
    <w:rsid w:val="002A2700"/>
    <w:rsid w:val="002D3428"/>
    <w:rsid w:val="002D6688"/>
    <w:rsid w:val="002F0890"/>
    <w:rsid w:val="003370B8"/>
    <w:rsid w:val="00337394"/>
    <w:rsid w:val="00350BBA"/>
    <w:rsid w:val="003519FA"/>
    <w:rsid w:val="003666FF"/>
    <w:rsid w:val="00367E97"/>
    <w:rsid w:val="003741EE"/>
    <w:rsid w:val="003946B5"/>
    <w:rsid w:val="003A4DB5"/>
    <w:rsid w:val="003B2BDA"/>
    <w:rsid w:val="003B55EC"/>
    <w:rsid w:val="003C4471"/>
    <w:rsid w:val="003E504F"/>
    <w:rsid w:val="00400AF2"/>
    <w:rsid w:val="00405EAD"/>
    <w:rsid w:val="0041376F"/>
    <w:rsid w:val="004326DB"/>
    <w:rsid w:val="0043682E"/>
    <w:rsid w:val="00437A87"/>
    <w:rsid w:val="004815EB"/>
    <w:rsid w:val="00496920"/>
    <w:rsid w:val="004B7C9A"/>
    <w:rsid w:val="004E0DC4"/>
    <w:rsid w:val="004E0FB5"/>
    <w:rsid w:val="004E43BB"/>
    <w:rsid w:val="004F178E"/>
    <w:rsid w:val="004F6466"/>
    <w:rsid w:val="00505309"/>
    <w:rsid w:val="0050789B"/>
    <w:rsid w:val="00515771"/>
    <w:rsid w:val="00542A47"/>
    <w:rsid w:val="005430D3"/>
    <w:rsid w:val="00543DF8"/>
    <w:rsid w:val="00546101"/>
    <w:rsid w:val="00553DD7"/>
    <w:rsid w:val="0057469A"/>
    <w:rsid w:val="005776AD"/>
    <w:rsid w:val="00580814"/>
    <w:rsid w:val="005A03A3"/>
    <w:rsid w:val="005B214C"/>
    <w:rsid w:val="005E2789"/>
    <w:rsid w:val="00602D53"/>
    <w:rsid w:val="00621E6C"/>
    <w:rsid w:val="00650346"/>
    <w:rsid w:val="00651777"/>
    <w:rsid w:val="0067458B"/>
    <w:rsid w:val="00674F4F"/>
    <w:rsid w:val="006B0590"/>
    <w:rsid w:val="006B49DA"/>
    <w:rsid w:val="006C18EB"/>
    <w:rsid w:val="00700636"/>
    <w:rsid w:val="00707216"/>
    <w:rsid w:val="007234B1"/>
    <w:rsid w:val="00730B9A"/>
    <w:rsid w:val="00783681"/>
    <w:rsid w:val="00786E9F"/>
    <w:rsid w:val="007921A7"/>
    <w:rsid w:val="007A5C27"/>
    <w:rsid w:val="007B3DB1"/>
    <w:rsid w:val="007D183E"/>
    <w:rsid w:val="007E0705"/>
    <w:rsid w:val="007E304D"/>
    <w:rsid w:val="007E3F13"/>
    <w:rsid w:val="007E480E"/>
    <w:rsid w:val="00800012"/>
    <w:rsid w:val="00813653"/>
    <w:rsid w:val="0081513E"/>
    <w:rsid w:val="00823210"/>
    <w:rsid w:val="00843445"/>
    <w:rsid w:val="00847D46"/>
    <w:rsid w:val="00854131"/>
    <w:rsid w:val="0085652D"/>
    <w:rsid w:val="0087694B"/>
    <w:rsid w:val="008C2623"/>
    <w:rsid w:val="008F4F21"/>
    <w:rsid w:val="00904D4A"/>
    <w:rsid w:val="009151BA"/>
    <w:rsid w:val="009277BC"/>
    <w:rsid w:val="00927D57"/>
    <w:rsid w:val="00941D23"/>
    <w:rsid w:val="0095010C"/>
    <w:rsid w:val="00963D9D"/>
    <w:rsid w:val="00976AAD"/>
    <w:rsid w:val="00981B54"/>
    <w:rsid w:val="009842C3"/>
    <w:rsid w:val="009A6BB6"/>
    <w:rsid w:val="009B0DB7"/>
    <w:rsid w:val="009B1661"/>
    <w:rsid w:val="009B3F43"/>
    <w:rsid w:val="009C161F"/>
    <w:rsid w:val="009E4AEC"/>
    <w:rsid w:val="009E5BD8"/>
    <w:rsid w:val="009E681E"/>
    <w:rsid w:val="00A34D6F"/>
    <w:rsid w:val="00A41F91"/>
    <w:rsid w:val="00A5722A"/>
    <w:rsid w:val="00A9168B"/>
    <w:rsid w:val="00A963DF"/>
    <w:rsid w:val="00AC3896"/>
    <w:rsid w:val="00AE6CFA"/>
    <w:rsid w:val="00AF3325"/>
    <w:rsid w:val="00B34CF9"/>
    <w:rsid w:val="00B67004"/>
    <w:rsid w:val="00B90C45"/>
    <w:rsid w:val="00B933BE"/>
    <w:rsid w:val="00BB4069"/>
    <w:rsid w:val="00BD7E5E"/>
    <w:rsid w:val="00BE6574"/>
    <w:rsid w:val="00C17C22"/>
    <w:rsid w:val="00C42DD7"/>
    <w:rsid w:val="00C57E2C"/>
    <w:rsid w:val="00C608B7"/>
    <w:rsid w:val="00C64867"/>
    <w:rsid w:val="00C66F24"/>
    <w:rsid w:val="00C71C8D"/>
    <w:rsid w:val="00C764BA"/>
    <w:rsid w:val="00C9291E"/>
    <w:rsid w:val="00CA3F44"/>
    <w:rsid w:val="00CA4E58"/>
    <w:rsid w:val="00CB3771"/>
    <w:rsid w:val="00CB5153"/>
    <w:rsid w:val="00CC0DA0"/>
    <w:rsid w:val="00CF6752"/>
    <w:rsid w:val="00D10BA0"/>
    <w:rsid w:val="00D15CFA"/>
    <w:rsid w:val="00D2339B"/>
    <w:rsid w:val="00D24EB5"/>
    <w:rsid w:val="00D41571"/>
    <w:rsid w:val="00D416A0"/>
    <w:rsid w:val="00D46E4F"/>
    <w:rsid w:val="00D47672"/>
    <w:rsid w:val="00D509E3"/>
    <w:rsid w:val="00D5123C"/>
    <w:rsid w:val="00D51C9E"/>
    <w:rsid w:val="00D55560"/>
    <w:rsid w:val="00D61C5A"/>
    <w:rsid w:val="00D85CFE"/>
    <w:rsid w:val="00DA3058"/>
    <w:rsid w:val="00DB3A18"/>
    <w:rsid w:val="00DB5F7C"/>
    <w:rsid w:val="00DC003B"/>
    <w:rsid w:val="00DE66A5"/>
    <w:rsid w:val="00DF2B50"/>
    <w:rsid w:val="00E003F5"/>
    <w:rsid w:val="00E04C86"/>
    <w:rsid w:val="00E1666B"/>
    <w:rsid w:val="00E20F30"/>
    <w:rsid w:val="00E27BBA"/>
    <w:rsid w:val="00E34CD1"/>
    <w:rsid w:val="00E35E8F"/>
    <w:rsid w:val="00E438E8"/>
    <w:rsid w:val="00E520E2"/>
    <w:rsid w:val="00E64254"/>
    <w:rsid w:val="00E7474D"/>
    <w:rsid w:val="00E77ED9"/>
    <w:rsid w:val="00EA15B3"/>
    <w:rsid w:val="00EB2358"/>
    <w:rsid w:val="00EB3EB8"/>
    <w:rsid w:val="00F31C52"/>
    <w:rsid w:val="00F42C8C"/>
    <w:rsid w:val="00F468C5"/>
    <w:rsid w:val="00F51F3E"/>
    <w:rsid w:val="00F52F39"/>
    <w:rsid w:val="00F55EAB"/>
    <w:rsid w:val="00F914DD"/>
    <w:rsid w:val="00F938C0"/>
    <w:rsid w:val="00FA2358"/>
    <w:rsid w:val="00FB2592"/>
    <w:rsid w:val="00FB2810"/>
    <w:rsid w:val="00FC2947"/>
    <w:rsid w:val="00FD63D4"/>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0"/>
  <w15:docId w15:val="{0D5415CF-5AC5-47AF-BEE2-86D8092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7E0705"/>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uiPriority w:val="99"/>
    <w:locked/>
    <w:rsid w:val="007E0705"/>
    <w:rPr>
      <w:szCs w:val="22"/>
      <w:lang w:val="es-ES_tradnl" w:eastAsia="en-US"/>
    </w:rPr>
  </w:style>
  <w:style w:type="character" w:customStyle="1" w:styleId="TableheadChar">
    <w:name w:val="Table_head Char"/>
    <w:basedOn w:val="DefaultParagraphFont"/>
    <w:link w:val="Tablehead"/>
    <w:uiPriority w:val="99"/>
    <w:locked/>
    <w:rsid w:val="007E0705"/>
    <w:rPr>
      <w:b/>
      <w:szCs w:val="22"/>
      <w:lang w:val="es-ES_tradnl" w:eastAsia="en-US"/>
    </w:rPr>
  </w:style>
  <w:style w:type="paragraph" w:customStyle="1" w:styleId="Reasons">
    <w:name w:val="Reasons"/>
    <w:basedOn w:val="Normal"/>
    <w:qFormat/>
    <w:rsid w:val="007E07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styleId="ListParagraph">
    <w:name w:val="List Paragraph"/>
    <w:basedOn w:val="Normal"/>
    <w:uiPriority w:val="34"/>
    <w:qFormat/>
    <w:rsid w:val="005776AD"/>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pub/R-RE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5-SG05-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45</TotalTime>
  <Pages>3</Pages>
  <Words>818</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 ITU -</cp:lastModifiedBy>
  <cp:revision>10</cp:revision>
  <cp:lastPrinted>2018-11-27T13:35:00Z</cp:lastPrinted>
  <dcterms:created xsi:type="dcterms:W3CDTF">2018-11-20T12:54:00Z</dcterms:created>
  <dcterms:modified xsi:type="dcterms:W3CDTF">2018-11-27T13:47:00Z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