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8260B2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8260B2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  <w:p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AF70F6" w:rsidRPr="00AF70F6" w:rsidRDefault="00AD0F49" w:rsidP="00E1415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E14154">
              <w:rPr>
                <w:rFonts w:hint="cs"/>
                <w:rtl/>
                <w:lang w:bidi="ar-AE"/>
              </w:rPr>
              <w:t>المعممة</w:t>
            </w:r>
          </w:p>
          <w:p w:rsidR="00AF70F6" w:rsidRPr="00AF70F6" w:rsidRDefault="00AD0F49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873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AD0F49" w:rsidP="00F8683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/>
                <w:lang w:val="fr-FR" w:eastAsia="zh-CN" w:bidi="ar-SY"/>
              </w:rPr>
              <w:t>2</w:t>
            </w:r>
            <w:r w:rsidR="00F86839">
              <w:rPr>
                <w:rFonts w:eastAsiaTheme="minorEastAsia"/>
                <w:lang w:val="fr-FR" w:eastAsia="zh-CN" w:bidi="ar-SY"/>
              </w:rPr>
              <w:t>9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>
              <w:rPr>
                <w:rFonts w:eastAsiaTheme="minorEastAsia" w:hint="cs"/>
                <w:rtl/>
                <w:lang w:eastAsia="zh-CN" w:bidi="ar-SY"/>
              </w:rPr>
              <w:t>أكتوبر</w:t>
            </w:r>
            <w:r w:rsidR="00AF70F6" w:rsidRPr="00AF70F6">
              <w:rPr>
                <w:rFonts w:eastAsiaTheme="minorEastAsia" w:hint="cs"/>
                <w:rtl/>
                <w:lang w:eastAsia="zh-CN" w:bidi="ar-SY"/>
              </w:rPr>
              <w:t xml:space="preserve"> </w:t>
            </w:r>
            <w:r w:rsidR="00AF70F6" w:rsidRPr="00AF70F6">
              <w:rPr>
                <w:rFonts w:eastAsiaTheme="minorEastAsia"/>
                <w:lang w:eastAsia="zh-CN" w:bidi="ar-SY"/>
              </w:rPr>
              <w:t>201</w:t>
            </w:r>
            <w:r w:rsidR="001F2ED3">
              <w:rPr>
                <w:rFonts w:eastAsiaTheme="minorEastAsia"/>
                <w:lang w:eastAsia="zh-CN" w:bidi="ar-SY"/>
              </w:rPr>
              <w:t>8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E14154" w:rsidRDefault="00AF70F6" w:rsidP="00E14154">
            <w:pPr>
              <w:jc w:val="left"/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</w:pPr>
            <w:r w:rsidRPr="00C47025">
              <w:rPr>
                <w:rFonts w:eastAsiaTheme="minorEastAsia"/>
                <w:b/>
                <w:bCs/>
                <w:w w:val="115"/>
                <w:sz w:val="24"/>
                <w:szCs w:val="32"/>
                <w:rtl/>
                <w:lang w:eastAsia="zh-CN"/>
              </w:rPr>
              <w:t xml:space="preserve">إلى إدارات الدول الأعضاء في </w:t>
            </w:r>
            <w:r w:rsidR="00E14154" w:rsidRPr="00C47025">
              <w:rPr>
                <w:rFonts w:eastAsiaTheme="minorEastAsia" w:hint="cs"/>
                <w:b/>
                <w:bCs/>
                <w:w w:val="115"/>
                <w:sz w:val="24"/>
                <w:szCs w:val="32"/>
                <w:rtl/>
                <w:lang w:eastAsia="zh-CN"/>
              </w:rPr>
              <w:t>الاتحاد</w:t>
            </w:r>
            <w:r w:rsidRPr="00C47025">
              <w:rPr>
                <w:rFonts w:eastAsiaTheme="minorEastAsia"/>
                <w:b/>
                <w:bCs/>
                <w:w w:val="115"/>
                <w:sz w:val="24"/>
                <w:szCs w:val="32"/>
                <w:rtl/>
                <w:lang w:eastAsia="zh-CN"/>
              </w:rPr>
              <w:t xml:space="preserve"> وأعضاء قطاع الاتصالات الراديوية</w:t>
            </w:r>
            <w:r w:rsidRPr="00C47025">
              <w:rPr>
                <w:rFonts w:eastAsiaTheme="minorEastAsia" w:hint="cs"/>
                <w:b/>
                <w:bCs/>
                <w:w w:val="115"/>
                <w:sz w:val="24"/>
                <w:szCs w:val="32"/>
                <w:rtl/>
                <w:lang w:eastAsia="zh-CN"/>
              </w:rPr>
              <w:t xml:space="preserve"> </w:t>
            </w:r>
            <w:r w:rsidR="00E14154" w:rsidRPr="00C47025">
              <w:rPr>
                <w:rFonts w:eastAsiaTheme="minorEastAsia" w:hint="cs"/>
                <w:b/>
                <w:bCs/>
                <w:w w:val="115"/>
                <w:sz w:val="24"/>
                <w:szCs w:val="32"/>
                <w:rtl/>
                <w:lang w:eastAsia="zh-CN"/>
              </w:rPr>
              <w:t>والمنتسبين</w:t>
            </w:r>
            <w:r w:rsidRPr="00C47025">
              <w:rPr>
                <w:rFonts w:eastAsiaTheme="minorEastAsia"/>
                <w:b/>
                <w:bCs/>
                <w:w w:val="115"/>
                <w:sz w:val="24"/>
                <w:szCs w:val="32"/>
                <w:rtl/>
                <w:lang w:eastAsia="zh-CN"/>
              </w:rPr>
              <w:t xml:space="preserve"> إليه</w:t>
            </w:r>
            <w:r w:rsidRPr="00E14154">
              <w:rPr>
                <w:rFonts w:eastAsiaTheme="minorEastAsia"/>
                <w:b/>
                <w:bCs/>
                <w:sz w:val="24"/>
                <w:szCs w:val="32"/>
                <w:rtl/>
                <w:lang w:eastAsia="zh-CN"/>
              </w:rPr>
              <w:br/>
            </w:r>
            <w:r w:rsidR="00E14154">
              <w:rPr>
                <w:rFonts w:eastAsiaTheme="minorEastAsia"/>
                <w:b/>
                <w:bCs/>
                <w:sz w:val="24"/>
                <w:szCs w:val="32"/>
                <w:rtl/>
                <w:lang w:eastAsia="zh-CN" w:bidi="ar-EG"/>
              </w:rPr>
              <w:t>ا</w:t>
            </w:r>
            <w:r w:rsidR="00E14154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ل</w:t>
            </w:r>
            <w:r w:rsidRPr="00E14154">
              <w:rPr>
                <w:rFonts w:eastAsiaTheme="minorEastAsia"/>
                <w:b/>
                <w:bCs/>
                <w:sz w:val="24"/>
                <w:szCs w:val="32"/>
                <w:rtl/>
                <w:lang w:eastAsia="zh-CN" w:bidi="ar-EG"/>
              </w:rPr>
              <w:t xml:space="preserve">مشاركين في أعمال لجنة الدراسات </w:t>
            </w:r>
            <w:r w:rsidR="00AD0F49" w:rsidRPr="00E14154">
              <w:rPr>
                <w:rFonts w:eastAsiaTheme="minorEastAsia"/>
                <w:b/>
                <w:bCs/>
                <w:sz w:val="24"/>
                <w:szCs w:val="32"/>
                <w:lang w:val="en-GB" w:eastAsia="zh-CN" w:bidi="ar-SY"/>
              </w:rPr>
              <w:t>7</w:t>
            </w:r>
            <w:r w:rsidRPr="00E14154">
              <w:rPr>
                <w:rFonts w:eastAsiaTheme="minorEastAsia"/>
                <w:b/>
                <w:bCs/>
                <w:sz w:val="24"/>
                <w:szCs w:val="32"/>
                <w:rtl/>
                <w:lang w:eastAsia="zh-CN" w:bidi="ar-EG"/>
              </w:rPr>
              <w:t xml:space="preserve"> للاتصالات الراديوية</w:t>
            </w:r>
            <w:r w:rsidRPr="00E14154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والهيئات الأكاديمية المنضمة إلى </w:t>
            </w:r>
            <w:r w:rsidR="00E14154" w:rsidRPr="00E14154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>الاتحاد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D0F49" w:rsidRPr="00E14154" w:rsidRDefault="00E14154" w:rsidP="00E14154">
            <w:pPr>
              <w:tabs>
                <w:tab w:val="clear" w:pos="1134"/>
                <w:tab w:val="left" w:pos="386"/>
              </w:tabs>
              <w:rPr>
                <w:b/>
                <w:bCs/>
                <w:rtl/>
                <w:lang w:bidi="ar-EG"/>
              </w:rPr>
            </w:pPr>
            <w:r w:rsidRPr="00E14154">
              <w:rPr>
                <w:rFonts w:hint="cs"/>
                <w:b/>
                <w:bCs/>
                <w:rtl/>
                <w:lang w:bidi="ar-EG"/>
              </w:rPr>
              <w:t>لجنة</w:t>
            </w:r>
            <w:r w:rsidR="00AD0F49" w:rsidRPr="00E14154">
              <w:rPr>
                <w:b/>
                <w:bCs/>
                <w:rtl/>
                <w:lang w:bidi="ar-EG"/>
              </w:rPr>
              <w:t xml:space="preserve"> الدراسات </w:t>
            </w:r>
            <w:r w:rsidR="00AD0F49" w:rsidRPr="00E14154">
              <w:rPr>
                <w:b/>
                <w:bCs/>
                <w:lang w:bidi="ar-SY"/>
              </w:rPr>
              <w:t>7</w:t>
            </w:r>
            <w:r w:rsidR="00AD0F49" w:rsidRPr="00E14154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="00AD0F49" w:rsidRPr="00E14154">
              <w:rPr>
                <w:rFonts w:hint="cs"/>
                <w:b/>
                <w:bCs/>
                <w:rtl/>
                <w:lang w:bidi="ar-EG"/>
              </w:rPr>
              <w:t>ة (خدمات العلوم)</w:t>
            </w:r>
          </w:p>
          <w:p w:rsidR="00AF70F6" w:rsidRPr="00AF70F6" w:rsidRDefault="00AD0F49" w:rsidP="00E14154">
            <w:pPr>
              <w:tabs>
                <w:tab w:val="clear" w:pos="1134"/>
                <w:tab w:val="left" w:pos="386"/>
              </w:tabs>
              <w:rPr>
                <w:rFonts w:eastAsiaTheme="minorEastAsia"/>
                <w:highlight w:val="yellow"/>
                <w:lang w:eastAsia="zh-CN" w:bidi="ar-SY"/>
              </w:rPr>
            </w:pPr>
            <w:r w:rsidRPr="00E14154">
              <w:rPr>
                <w:rFonts w:hint="cs"/>
                <w:b/>
                <w:bCs/>
                <w:rtl/>
                <w:lang w:bidi="ar-EG"/>
              </w:rPr>
              <w:t>-</w:t>
            </w:r>
            <w:r w:rsidRPr="00E14154">
              <w:rPr>
                <w:rFonts w:hint="cs"/>
                <w:b/>
                <w:bCs/>
                <w:rtl/>
                <w:lang w:bidi="ar-EG"/>
              </w:rPr>
              <w:tab/>
              <w:t>اقتر</w:t>
            </w:r>
            <w:r w:rsidR="00C47025">
              <w:rPr>
                <w:rFonts w:hint="cs"/>
                <w:b/>
                <w:bCs/>
                <w:rtl/>
                <w:lang w:bidi="ar-EG"/>
              </w:rPr>
              <w:t>ا</w:t>
            </w:r>
            <w:r w:rsidRPr="00E14154">
              <w:rPr>
                <w:rFonts w:hint="cs"/>
                <w:b/>
                <w:bCs/>
                <w:rtl/>
                <w:lang w:bidi="ar-EG"/>
              </w:rPr>
              <w:t>ح إلغاء توصية واحدة لقطاع الاتصالات الراديوية</w:t>
            </w:r>
          </w:p>
        </w:tc>
      </w:tr>
    </w:tbl>
    <w:p w:rsidR="00AD0F49" w:rsidRPr="00B0644C" w:rsidRDefault="00AD0F49" w:rsidP="00B0644C">
      <w:pPr>
        <w:spacing w:before="720"/>
        <w:rPr>
          <w:rtl/>
          <w:lang w:bidi="ar-EG"/>
        </w:rPr>
      </w:pPr>
      <w:r w:rsidRPr="00B0644C">
        <w:rPr>
          <w:rFonts w:hint="cs"/>
          <w:rtl/>
          <w:lang w:bidi="ar-EG"/>
        </w:rPr>
        <w:t xml:space="preserve">اقترحت </w:t>
      </w:r>
      <w:r w:rsidR="00E14154" w:rsidRPr="00B0644C">
        <w:rPr>
          <w:rFonts w:hint="cs"/>
          <w:rtl/>
          <w:lang w:bidi="ar-EG"/>
        </w:rPr>
        <w:t>لجنة</w:t>
      </w:r>
      <w:r w:rsidRPr="00B0644C">
        <w:rPr>
          <w:rFonts w:hint="cs"/>
          <w:rtl/>
          <w:lang w:bidi="ar-EG"/>
        </w:rPr>
        <w:t xml:space="preserve"> الدراسات</w:t>
      </w:r>
      <w:r w:rsidRPr="00B0644C">
        <w:rPr>
          <w:rFonts w:hint="eastAsia"/>
          <w:rtl/>
        </w:rPr>
        <w:t> </w:t>
      </w:r>
      <w:r w:rsidRPr="00B0644C">
        <w:t>7</w:t>
      </w:r>
      <w:r w:rsidRPr="00B0644C">
        <w:rPr>
          <w:rFonts w:hint="cs"/>
          <w:rtl/>
          <w:lang w:bidi="ar-EG"/>
        </w:rPr>
        <w:t xml:space="preserve"> </w:t>
      </w:r>
      <w:r w:rsidR="004B100B" w:rsidRPr="00B0644C">
        <w:rPr>
          <w:rFonts w:hint="cs"/>
          <w:rtl/>
          <w:lang w:bidi="ar-EG"/>
        </w:rPr>
        <w:t xml:space="preserve">للاتصالات الراديوية </w:t>
      </w:r>
      <w:r w:rsidRPr="00B0644C">
        <w:rPr>
          <w:rFonts w:hint="cs"/>
          <w:rtl/>
          <w:lang w:bidi="ar-EG"/>
        </w:rPr>
        <w:t xml:space="preserve">في اجتماعها </w:t>
      </w:r>
      <w:r w:rsidR="00E14154" w:rsidRPr="00B0644C">
        <w:rPr>
          <w:rFonts w:hint="cs"/>
          <w:rtl/>
          <w:lang w:bidi="ar-EG"/>
        </w:rPr>
        <w:t>المنعقد</w:t>
      </w:r>
      <w:r w:rsidRPr="00B0644C">
        <w:rPr>
          <w:rFonts w:hint="cs"/>
          <w:rtl/>
          <w:lang w:bidi="ar-EG"/>
        </w:rPr>
        <w:t xml:space="preserve"> في </w:t>
      </w:r>
      <w:r w:rsidRPr="00B0644C">
        <w:t>26</w:t>
      </w:r>
      <w:r w:rsidRPr="00B0644C">
        <w:rPr>
          <w:rFonts w:hint="eastAsia"/>
          <w:rtl/>
          <w:lang w:bidi="ar-EG"/>
        </w:rPr>
        <w:t> </w:t>
      </w:r>
      <w:r w:rsidRPr="00B0644C">
        <w:rPr>
          <w:rFonts w:hint="cs"/>
          <w:rtl/>
          <w:lang w:bidi="ar-EG"/>
        </w:rPr>
        <w:t>سبتمبر</w:t>
      </w:r>
      <w:r w:rsidRPr="00B0644C">
        <w:rPr>
          <w:rFonts w:hint="eastAsia"/>
          <w:rtl/>
          <w:lang w:bidi="ar-EG"/>
        </w:rPr>
        <w:t> </w:t>
      </w:r>
      <w:r w:rsidRPr="00B0644C">
        <w:t>2018</w:t>
      </w:r>
      <w:r w:rsidRPr="00B0644C">
        <w:rPr>
          <w:rFonts w:hint="cs"/>
          <w:rtl/>
          <w:lang w:bidi="ar-EG"/>
        </w:rPr>
        <w:t>، إلغاء توصية</w:t>
      </w:r>
      <w:r w:rsidRPr="00B0644C">
        <w:rPr>
          <w:rFonts w:hint="cs"/>
          <w:rtl/>
        </w:rPr>
        <w:t xml:space="preserve"> واحدة</w:t>
      </w:r>
      <w:r w:rsidRPr="00B0644C">
        <w:rPr>
          <w:rFonts w:hint="cs"/>
          <w:rtl/>
          <w:lang w:bidi="ar-EG"/>
        </w:rPr>
        <w:t xml:space="preserve"> مبينة في</w:t>
      </w:r>
      <w:r w:rsidRPr="00B0644C">
        <w:rPr>
          <w:rFonts w:hint="eastAsia"/>
          <w:rtl/>
          <w:lang w:bidi="ar-EG"/>
        </w:rPr>
        <w:t> </w:t>
      </w:r>
      <w:r w:rsidR="00E14154" w:rsidRPr="00B0644C">
        <w:rPr>
          <w:rFonts w:hint="cs"/>
          <w:rtl/>
          <w:lang w:bidi="ar-EG"/>
        </w:rPr>
        <w:t>الملحق</w:t>
      </w:r>
      <w:r w:rsidRPr="00B0644C">
        <w:rPr>
          <w:rFonts w:hint="cs"/>
          <w:rtl/>
          <w:lang w:bidi="ar-EG"/>
        </w:rPr>
        <w:t xml:space="preserve"> بهذه الرسالة. ويرجى من أي دولة عضو تعترض على إلغاء مشروع توصية أن </w:t>
      </w:r>
      <w:r w:rsidR="00E14154" w:rsidRPr="00B0644C">
        <w:rPr>
          <w:rFonts w:hint="cs"/>
          <w:rtl/>
          <w:lang w:bidi="ar-EG"/>
        </w:rPr>
        <w:t>تخبر ال</w:t>
      </w:r>
      <w:r w:rsidRPr="00B0644C">
        <w:rPr>
          <w:rFonts w:hint="cs"/>
          <w:rtl/>
          <w:lang w:bidi="ar-EG"/>
        </w:rPr>
        <w:t xml:space="preserve">مدير ورئيس </w:t>
      </w:r>
      <w:r w:rsidR="00E14154" w:rsidRPr="00B0644C">
        <w:rPr>
          <w:rFonts w:hint="cs"/>
          <w:rtl/>
          <w:lang w:bidi="ar-EG"/>
        </w:rPr>
        <w:t>لجنة</w:t>
      </w:r>
      <w:r w:rsidRPr="00B0644C">
        <w:rPr>
          <w:rFonts w:hint="cs"/>
          <w:rtl/>
          <w:lang w:bidi="ar-EG"/>
        </w:rPr>
        <w:t xml:space="preserve"> الدراسات بأسباب</w:t>
      </w:r>
      <w:r w:rsidR="004B100B" w:rsidRPr="00B0644C">
        <w:rPr>
          <w:rFonts w:hint="eastAsia"/>
          <w:rtl/>
          <w:lang w:bidi="ar-EG"/>
        </w:rPr>
        <w:t> </w:t>
      </w:r>
      <w:r w:rsidRPr="00B0644C">
        <w:rPr>
          <w:rFonts w:hint="cs"/>
          <w:rtl/>
          <w:lang w:bidi="ar-EG"/>
        </w:rPr>
        <w:t>اعتراضها.</w:t>
      </w:r>
    </w:p>
    <w:p w:rsidR="00AD0F49" w:rsidRPr="00B0644C" w:rsidRDefault="00AD0F49" w:rsidP="00F86839">
      <w:pPr>
        <w:rPr>
          <w:rtl/>
          <w:lang w:bidi="ar-EG"/>
        </w:rPr>
      </w:pPr>
      <w:r w:rsidRPr="00B0644C">
        <w:rPr>
          <w:rFonts w:hint="cs"/>
          <w:rtl/>
          <w:lang w:bidi="ar-EG"/>
        </w:rPr>
        <w:t>وبالنظر إلى أحكام الفقرة </w:t>
      </w:r>
      <w:proofErr w:type="spellStart"/>
      <w:r w:rsidRPr="00B0644C">
        <w:t>3.2.6.A2</w:t>
      </w:r>
      <w:proofErr w:type="spellEnd"/>
      <w:r w:rsidRPr="00B0644C">
        <w:rPr>
          <w:rFonts w:hint="cs"/>
          <w:rtl/>
          <w:lang w:bidi="ar-EG"/>
        </w:rPr>
        <w:t xml:space="preserve"> من القرار </w:t>
      </w:r>
      <w:proofErr w:type="spellStart"/>
      <w:r w:rsidRPr="00B0644C">
        <w:rPr>
          <w:lang w:val="en-GB"/>
        </w:rPr>
        <w:t>ITU</w:t>
      </w:r>
      <w:proofErr w:type="spellEnd"/>
      <w:r w:rsidRPr="00B0644C">
        <w:rPr>
          <w:lang w:val="en-GB"/>
        </w:rPr>
        <w:noBreakHyphen/>
        <w:t>R 1</w:t>
      </w:r>
      <w:r w:rsidRPr="00B0644C">
        <w:rPr>
          <w:lang w:val="en-GB"/>
        </w:rPr>
        <w:noBreakHyphen/>
        <w:t>7</w:t>
      </w:r>
      <w:r w:rsidRPr="00B0644C">
        <w:rPr>
          <w:rFonts w:hint="cs"/>
          <w:rtl/>
          <w:lang w:bidi="ar-EG"/>
        </w:rPr>
        <w:t>، يرجى من الدول الأعضاء إبلاغ الأمانة </w:t>
      </w:r>
      <w:r w:rsidRPr="00B0644C">
        <w:t>(</w:t>
      </w:r>
      <w:hyperlink r:id="rId10" w:history="1">
        <w:proofErr w:type="spellStart"/>
        <w:r w:rsidRPr="00B0644C">
          <w:rPr>
            <w:rStyle w:val="Hyperlink"/>
            <w:rFonts w:ascii="Calibri" w:hAnsi="Calibri"/>
            <w:lang w:val="en-GB"/>
          </w:rPr>
          <w:t>brsgd@itu.int</w:t>
        </w:r>
        <w:proofErr w:type="spellEnd"/>
      </w:hyperlink>
      <w:r w:rsidRPr="00B0644C">
        <w:t>)</w:t>
      </w:r>
      <w:r w:rsidRPr="00B0644C">
        <w:rPr>
          <w:rFonts w:hint="cs"/>
          <w:rtl/>
          <w:lang w:bidi="ar-EG"/>
        </w:rPr>
        <w:t xml:space="preserve"> قبل</w:t>
      </w:r>
      <w:r w:rsidR="00B0644C">
        <w:rPr>
          <w:rFonts w:hint="eastAsia"/>
          <w:rtl/>
          <w:lang w:bidi="ar-EG"/>
        </w:rPr>
        <w:t> </w:t>
      </w:r>
      <w:r w:rsidRPr="00B0644C">
        <w:rPr>
          <w:u w:val="single"/>
          <w:lang w:bidi="ar-EG"/>
        </w:rPr>
        <w:t>2</w:t>
      </w:r>
      <w:r w:rsidR="00F86839">
        <w:rPr>
          <w:u w:val="single"/>
          <w:lang w:bidi="ar-EG"/>
        </w:rPr>
        <w:t>9</w:t>
      </w:r>
      <w:r w:rsidRPr="00B0644C">
        <w:rPr>
          <w:rFonts w:hint="eastAsia"/>
          <w:u w:val="single"/>
          <w:rtl/>
          <w:lang w:bidi="ar-EG"/>
        </w:rPr>
        <w:t> </w:t>
      </w:r>
      <w:r w:rsidRPr="00B0644C">
        <w:rPr>
          <w:rFonts w:hint="cs"/>
          <w:u w:val="single"/>
          <w:rtl/>
          <w:lang w:bidi="ar-EG"/>
        </w:rPr>
        <w:t>ديسمبر</w:t>
      </w:r>
      <w:r w:rsidRPr="00B0644C">
        <w:rPr>
          <w:rFonts w:hint="eastAsia"/>
          <w:u w:val="single"/>
          <w:rtl/>
          <w:lang w:bidi="ar-EG"/>
        </w:rPr>
        <w:t> </w:t>
      </w:r>
      <w:r w:rsidRPr="00B0644C">
        <w:rPr>
          <w:u w:val="single"/>
        </w:rPr>
        <w:t>2018</w:t>
      </w:r>
      <w:r w:rsidRPr="00B0644C">
        <w:rPr>
          <w:rFonts w:hint="cs"/>
          <w:rtl/>
          <w:lang w:bidi="ar-EG"/>
        </w:rPr>
        <w:t xml:space="preserve"> ما إذا كانت توافق أو لا توافق على </w:t>
      </w:r>
      <w:r w:rsidR="00750163" w:rsidRPr="00B0644C">
        <w:rPr>
          <w:rFonts w:hint="cs"/>
          <w:rtl/>
          <w:lang w:bidi="ar-EG"/>
        </w:rPr>
        <w:t>المقترحات</w:t>
      </w:r>
      <w:r w:rsidRPr="00B0644C">
        <w:rPr>
          <w:rFonts w:hint="cs"/>
          <w:rtl/>
          <w:lang w:bidi="ar-EG"/>
        </w:rPr>
        <w:t xml:space="preserve"> أعلاه.</w:t>
      </w:r>
    </w:p>
    <w:p w:rsidR="00AD0F49" w:rsidRPr="00B0644C" w:rsidRDefault="00AD0F49" w:rsidP="00E14154">
      <w:pPr>
        <w:rPr>
          <w:rtl/>
        </w:rPr>
      </w:pPr>
      <w:r w:rsidRPr="00B0644C">
        <w:rPr>
          <w:rFonts w:hint="cs"/>
          <w:rtl/>
          <w:lang w:bidi="ar-EG"/>
        </w:rPr>
        <w:t xml:space="preserve">وبعد </w:t>
      </w:r>
      <w:r w:rsidR="00E14154" w:rsidRPr="00B0644C">
        <w:rPr>
          <w:rFonts w:hint="cs"/>
          <w:rtl/>
          <w:lang w:bidi="ar-EG"/>
        </w:rPr>
        <w:t>المهلة</w:t>
      </w:r>
      <w:r w:rsidRPr="00B0644C">
        <w:rPr>
          <w:rFonts w:hint="cs"/>
          <w:rtl/>
          <w:lang w:bidi="ar-EG"/>
        </w:rPr>
        <w:t xml:space="preserve"> </w:t>
      </w:r>
      <w:r w:rsidR="00E14154" w:rsidRPr="00B0644C">
        <w:rPr>
          <w:rFonts w:hint="cs"/>
          <w:rtl/>
          <w:lang w:bidi="ar-EG"/>
        </w:rPr>
        <w:t>المحددة</w:t>
      </w:r>
      <w:r w:rsidRPr="00B0644C">
        <w:rPr>
          <w:rFonts w:hint="cs"/>
          <w:rtl/>
          <w:lang w:bidi="ar-EG"/>
        </w:rPr>
        <w:t xml:space="preserve"> أعلاه، ستُعلن نتائج هذا التشاور في</w:t>
      </w:r>
      <w:r w:rsidRPr="00B0644C">
        <w:rPr>
          <w:rFonts w:hint="eastAsia"/>
          <w:rtl/>
          <w:lang w:bidi="ar-EG"/>
        </w:rPr>
        <w:t> </w:t>
      </w:r>
      <w:r w:rsidRPr="00B0644C">
        <w:rPr>
          <w:rFonts w:hint="cs"/>
          <w:rtl/>
          <w:lang w:bidi="ar-EG"/>
        </w:rPr>
        <w:t>رسالة إدارية معممة.</w:t>
      </w:r>
    </w:p>
    <w:p w:rsidR="00AF70F6" w:rsidRDefault="00AF70F6" w:rsidP="00AF70F6">
      <w:pPr>
        <w:spacing w:before="240"/>
        <w:rPr>
          <w:rtl/>
          <w:lang w:bidi="ar-EG"/>
        </w:rPr>
      </w:pPr>
      <w:r w:rsidRPr="00AF70F6">
        <w:rPr>
          <w:rFonts w:hint="cs"/>
          <w:rtl/>
          <w:lang w:bidi="ar-EG"/>
        </w:rPr>
        <w:t>وتفضلوا بقبول فائق التقدير والاحترام.</w:t>
      </w:r>
    </w:p>
    <w:p w:rsidR="00AF70F6" w:rsidRPr="00AF70F6" w:rsidRDefault="00AF70F6" w:rsidP="00E14154">
      <w:pPr>
        <w:spacing w:before="1440"/>
        <w:jc w:val="left"/>
        <w:rPr>
          <w:rtl/>
        </w:rPr>
      </w:pPr>
      <w:r w:rsidRPr="00AF70F6">
        <w:rPr>
          <w:rFonts w:hint="cs"/>
          <w:rtl/>
        </w:rPr>
        <w:t>فرانسوا</w:t>
      </w:r>
      <w:r w:rsidRPr="00AF70F6">
        <w:rPr>
          <w:rtl/>
        </w:rPr>
        <w:t xml:space="preserve"> </w:t>
      </w:r>
      <w:proofErr w:type="spellStart"/>
      <w:r w:rsidRPr="00AF70F6">
        <w:rPr>
          <w:rFonts w:hint="cs"/>
          <w:rtl/>
        </w:rPr>
        <w:t>رانسي</w:t>
      </w:r>
      <w:proofErr w:type="spellEnd"/>
      <w:r w:rsidRPr="00AF70F6">
        <w:rPr>
          <w:rtl/>
        </w:rPr>
        <w:br/>
      </w:r>
      <w:r w:rsidR="00E14154">
        <w:rPr>
          <w:rFonts w:hint="cs"/>
          <w:rtl/>
        </w:rPr>
        <w:t>المدير</w:t>
      </w:r>
    </w:p>
    <w:p w:rsidR="00AF70F6" w:rsidRDefault="00E14154" w:rsidP="00EB140C">
      <w:pPr>
        <w:spacing w:before="240"/>
        <w:rPr>
          <w:rtl/>
          <w:lang w:bidi="ar-EG"/>
        </w:rPr>
      </w:pPr>
      <w:proofErr w:type="gramStart"/>
      <w:r>
        <w:rPr>
          <w:b/>
          <w:bCs/>
          <w:rtl/>
          <w:lang w:bidi="ar-EG"/>
        </w:rPr>
        <w:t>ا</w:t>
      </w:r>
      <w:r>
        <w:rPr>
          <w:rFonts w:hint="cs"/>
          <w:b/>
          <w:bCs/>
          <w:rtl/>
          <w:lang w:bidi="ar-EG"/>
        </w:rPr>
        <w:t>ل</w:t>
      </w:r>
      <w:r w:rsidR="00AF70F6" w:rsidRPr="00AF70F6">
        <w:rPr>
          <w:b/>
          <w:bCs/>
          <w:rtl/>
          <w:lang w:bidi="ar-EG"/>
        </w:rPr>
        <w:t>ملحقات</w:t>
      </w:r>
      <w:r w:rsidR="00AF70F6" w:rsidRPr="00AF70F6">
        <w:rPr>
          <w:rtl/>
          <w:lang w:bidi="ar-EG"/>
        </w:rPr>
        <w:t>:</w:t>
      </w:r>
      <w:r w:rsidR="00AD0F49">
        <w:rPr>
          <w:rtl/>
          <w:lang w:bidi="ar-EG"/>
        </w:rPr>
        <w:tab/>
      </w:r>
      <w:proofErr w:type="gramEnd"/>
      <w:r w:rsidR="00AD0F49">
        <w:rPr>
          <w:rFonts w:hint="cs"/>
          <w:rtl/>
          <w:lang w:bidi="ar-EG"/>
        </w:rPr>
        <w:t>توصية قطاع الاتصالات الراديوية المقترح إلغاؤها.</w:t>
      </w:r>
    </w:p>
    <w:p w:rsidR="00AF70F6" w:rsidRPr="001F2ED3" w:rsidRDefault="00AF70F6" w:rsidP="00B0644C">
      <w:pPr>
        <w:tabs>
          <w:tab w:val="left" w:pos="283"/>
        </w:tabs>
        <w:spacing w:before="480"/>
        <w:jc w:val="left"/>
        <w:rPr>
          <w:sz w:val="16"/>
          <w:szCs w:val="22"/>
          <w:rtl/>
          <w:lang w:bidi="ar-EG"/>
        </w:rPr>
      </w:pPr>
      <w:r w:rsidRPr="001F2ED3">
        <w:rPr>
          <w:b/>
          <w:bCs/>
          <w:sz w:val="16"/>
          <w:szCs w:val="22"/>
          <w:rtl/>
          <w:lang w:bidi="ar-EG"/>
        </w:rPr>
        <w:t>التوزيع</w:t>
      </w:r>
      <w:r w:rsidRPr="001F2ED3">
        <w:rPr>
          <w:sz w:val="16"/>
          <w:szCs w:val="22"/>
          <w:rtl/>
          <w:lang w:bidi="ar-EG"/>
        </w:rPr>
        <w:t>:</w:t>
      </w:r>
    </w:p>
    <w:p w:rsidR="00AF70F6" w:rsidRPr="001F2ED3" w:rsidRDefault="00AF70F6" w:rsidP="006E0334">
      <w:pPr>
        <w:tabs>
          <w:tab w:val="left" w:pos="425"/>
        </w:tabs>
        <w:spacing w:before="60" w:line="168" w:lineRule="auto"/>
        <w:rPr>
          <w:sz w:val="16"/>
          <w:szCs w:val="22"/>
          <w:rtl/>
          <w:lang w:val="fr-CH"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إدارات الدول الأعضاء</w:t>
      </w:r>
      <w:r w:rsidRPr="001F2ED3">
        <w:rPr>
          <w:rFonts w:hint="cs"/>
          <w:sz w:val="16"/>
          <w:szCs w:val="22"/>
          <w:rtl/>
          <w:lang w:bidi="ar-EG"/>
        </w:rPr>
        <w:t xml:space="preserve"> في </w:t>
      </w:r>
      <w:r w:rsidR="00E14154">
        <w:rPr>
          <w:rFonts w:hint="cs"/>
          <w:sz w:val="16"/>
          <w:szCs w:val="22"/>
          <w:rtl/>
          <w:lang w:bidi="ar-EG"/>
        </w:rPr>
        <w:t>الاتحاد</w:t>
      </w:r>
      <w:r w:rsidRPr="001F2ED3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1F2ED3">
        <w:rPr>
          <w:rFonts w:hint="cs"/>
          <w:sz w:val="16"/>
          <w:szCs w:val="22"/>
          <w:rtl/>
          <w:lang w:bidi="ar-EG"/>
        </w:rPr>
        <w:t xml:space="preserve"> المشاركون في أعمال لجنة الدراسات </w:t>
      </w:r>
      <w:r w:rsidR="00D24898">
        <w:rPr>
          <w:sz w:val="16"/>
          <w:szCs w:val="22"/>
          <w:lang w:val="fr-CH" w:bidi="ar-EG"/>
        </w:rPr>
        <w:t>7</w:t>
      </w:r>
      <w:r w:rsidRPr="001F2ED3">
        <w:rPr>
          <w:rFonts w:hint="cs"/>
          <w:sz w:val="16"/>
          <w:szCs w:val="22"/>
          <w:rtl/>
          <w:lang w:val="fr-CH" w:bidi="ar-EG"/>
        </w:rPr>
        <w:t xml:space="preserve"> للاتصالات الراديوية</w:t>
      </w:r>
    </w:p>
    <w:p w:rsidR="00AF70F6" w:rsidRPr="001F2ED3" w:rsidRDefault="00AF70F6" w:rsidP="00D24898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المنتسبون إلى قطاع الاتصالات الراديوية المشاركون في أعمال لجنة الدراسات </w:t>
      </w:r>
      <w:r w:rsidR="00D24898">
        <w:rPr>
          <w:sz w:val="16"/>
          <w:szCs w:val="22"/>
          <w:lang w:bidi="ar-EG"/>
        </w:rPr>
        <w:t>7</w:t>
      </w:r>
      <w:r w:rsidRPr="001F2ED3">
        <w:rPr>
          <w:sz w:val="16"/>
          <w:szCs w:val="22"/>
          <w:rtl/>
          <w:lang w:bidi="ar-EG"/>
        </w:rPr>
        <w:t xml:space="preserve"> للاتصالات الراديوية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rFonts w:hint="cs"/>
          <w:sz w:val="16"/>
          <w:szCs w:val="22"/>
          <w:rtl/>
          <w:lang w:bidi="ar-EG"/>
        </w:rPr>
        <w:t>-</w:t>
      </w:r>
      <w:r w:rsidRPr="001F2ED3">
        <w:rPr>
          <w:rFonts w:hint="cs"/>
          <w:sz w:val="16"/>
          <w:szCs w:val="22"/>
          <w:rtl/>
          <w:lang w:bidi="ar-EG"/>
        </w:rPr>
        <w:tab/>
      </w:r>
      <w:r w:rsidRPr="001F2ED3">
        <w:rPr>
          <w:rFonts w:hint="cs"/>
          <w:sz w:val="16"/>
          <w:szCs w:val="22"/>
          <w:rtl/>
        </w:rPr>
        <w:t xml:space="preserve">الهيئات الأكاديمية المنضمة إلى </w:t>
      </w:r>
      <w:r w:rsidR="00E14154">
        <w:rPr>
          <w:rFonts w:hint="cs"/>
          <w:sz w:val="16"/>
          <w:szCs w:val="22"/>
          <w:rtl/>
        </w:rPr>
        <w:t>الاتحاد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رؤساء لجان دراسات الاتصالات الراديوية ونوابهم</w:t>
      </w:r>
    </w:p>
    <w:p w:rsidR="00AF70F6" w:rsidRPr="001F2ED3" w:rsidRDefault="00AF70F6" w:rsidP="0075016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 xml:space="preserve">رئيس الاجتماع التحضيري </w:t>
      </w:r>
      <w:r w:rsidR="00750163">
        <w:rPr>
          <w:rFonts w:hint="cs"/>
          <w:sz w:val="16"/>
          <w:szCs w:val="22"/>
          <w:rtl/>
          <w:lang w:bidi="ar-EG"/>
        </w:rPr>
        <w:t>للمؤتمر</w:t>
      </w:r>
      <w:r w:rsidRPr="001F2ED3">
        <w:rPr>
          <w:sz w:val="16"/>
          <w:szCs w:val="22"/>
          <w:rtl/>
          <w:lang w:bidi="ar-EG"/>
        </w:rPr>
        <w:t xml:space="preserve"> ونوابه</w:t>
      </w:r>
    </w:p>
    <w:p w:rsidR="00AF70F6" w:rsidRPr="001F2ED3" w:rsidRDefault="00AF70F6" w:rsidP="001F2ED3">
      <w:pPr>
        <w:tabs>
          <w:tab w:val="left" w:pos="425"/>
        </w:tabs>
        <w:spacing w:before="20" w:line="168" w:lineRule="auto"/>
        <w:rPr>
          <w:sz w:val="16"/>
          <w:szCs w:val="22"/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أعضاء لجنة لوائح الراديو</w:t>
      </w:r>
    </w:p>
    <w:p w:rsidR="00AF70F6" w:rsidRDefault="00AF70F6" w:rsidP="00EB140C">
      <w:pPr>
        <w:tabs>
          <w:tab w:val="left" w:pos="425"/>
        </w:tabs>
        <w:spacing w:before="20" w:line="168" w:lineRule="auto"/>
        <w:rPr>
          <w:rtl/>
          <w:lang w:bidi="ar-EG"/>
        </w:rPr>
      </w:pPr>
      <w:r w:rsidRPr="001F2ED3">
        <w:rPr>
          <w:sz w:val="16"/>
          <w:szCs w:val="22"/>
          <w:rtl/>
          <w:lang w:bidi="ar-EG"/>
        </w:rPr>
        <w:t>-</w:t>
      </w:r>
      <w:r w:rsidRPr="001F2ED3">
        <w:rPr>
          <w:sz w:val="16"/>
          <w:szCs w:val="22"/>
          <w:rtl/>
          <w:lang w:bidi="ar-EG"/>
        </w:rPr>
        <w:tab/>
        <w:t>الأمين العام للاتحاد ومدير مكتب تقييس الاتصالات ومدير مكتب تنمية الاتصالات</w:t>
      </w:r>
      <w:r>
        <w:rPr>
          <w:rtl/>
          <w:lang w:bidi="ar-EG"/>
        </w:rPr>
        <w:br w:type="page"/>
      </w:r>
    </w:p>
    <w:p w:rsidR="00AF70F6" w:rsidRPr="00EB140C" w:rsidRDefault="00EB140C" w:rsidP="00EB140C">
      <w:pPr>
        <w:pStyle w:val="AnnexNo"/>
        <w:rPr>
          <w:rFonts w:eastAsiaTheme="minorEastAsia"/>
          <w:b/>
          <w:bCs/>
          <w:rtl/>
        </w:rPr>
      </w:pPr>
      <w:r w:rsidRPr="00EB140C">
        <w:rPr>
          <w:rFonts w:eastAsiaTheme="minorEastAsia" w:hint="cs"/>
          <w:b/>
          <w:bCs/>
          <w:rtl/>
        </w:rPr>
        <w:lastRenderedPageBreak/>
        <w:t>الملحق</w:t>
      </w:r>
    </w:p>
    <w:p w:rsidR="00AD0F49" w:rsidRDefault="00AD0F49" w:rsidP="00AD0F49">
      <w:pPr>
        <w:pStyle w:val="Annextitle"/>
        <w:rPr>
          <w:rtl/>
        </w:rPr>
      </w:pPr>
      <w:r>
        <w:rPr>
          <w:rFonts w:hint="cs"/>
          <w:rtl/>
        </w:rPr>
        <w:t>توصية</w:t>
      </w:r>
      <w:r w:rsidRPr="00FF6507">
        <w:rPr>
          <w:rFonts w:hint="cs"/>
          <w:rtl/>
        </w:rPr>
        <w:t xml:space="preserve"> قطاع الاتصالات الراديوية</w:t>
      </w:r>
      <w:r>
        <w:rPr>
          <w:rFonts w:hint="cs"/>
          <w:rtl/>
        </w:rPr>
        <w:t xml:space="preserve"> المقترح إلغاؤها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14"/>
        <w:gridCol w:w="6261"/>
        <w:gridCol w:w="1554"/>
      </w:tblGrid>
      <w:tr w:rsidR="00AD0F49" w:rsidRPr="00AD0F49" w:rsidTr="00344605">
        <w:tc>
          <w:tcPr>
            <w:tcW w:w="1814" w:type="dxa"/>
            <w:vAlign w:val="center"/>
          </w:tcPr>
          <w:p w:rsidR="00AD0F49" w:rsidRPr="00AD0F49" w:rsidRDefault="00AD0F49" w:rsidP="00344605">
            <w:pPr>
              <w:pStyle w:val="Tablehead"/>
              <w:rPr>
                <w:lang w:val="en-GB"/>
              </w:rPr>
            </w:pPr>
            <w:r w:rsidRPr="00AD0F49">
              <w:rPr>
                <w:rFonts w:hint="cs"/>
                <w:b w:val="0"/>
                <w:rtl/>
              </w:rPr>
              <w:t>توصية قطاع الاتصالات الراديوية</w:t>
            </w:r>
            <w:r w:rsidRPr="00AD0F49">
              <w:rPr>
                <w:lang w:val="en-GB"/>
              </w:rPr>
              <w:br/>
              <w:t>(ITU-R)</w:t>
            </w:r>
          </w:p>
        </w:tc>
        <w:tc>
          <w:tcPr>
            <w:tcW w:w="6261" w:type="dxa"/>
            <w:vAlign w:val="center"/>
          </w:tcPr>
          <w:p w:rsidR="00AD0F49" w:rsidRPr="00AD0F49" w:rsidRDefault="00AD0F49" w:rsidP="00344605">
            <w:pPr>
              <w:pStyle w:val="Tablehead"/>
              <w:rPr>
                <w:lang w:val="en-GB"/>
              </w:rPr>
            </w:pPr>
            <w:bookmarkStart w:id="0" w:name="_GoBack"/>
            <w:bookmarkEnd w:id="0"/>
            <w:r w:rsidRPr="00AD0F49">
              <w:rPr>
                <w:rFonts w:hint="cs"/>
                <w:rtl/>
              </w:rPr>
              <w:t>العنوان</w:t>
            </w:r>
          </w:p>
        </w:tc>
        <w:tc>
          <w:tcPr>
            <w:tcW w:w="1554" w:type="dxa"/>
            <w:vAlign w:val="center"/>
          </w:tcPr>
          <w:p w:rsidR="00AD0F49" w:rsidRPr="00AD0F49" w:rsidRDefault="00936B90" w:rsidP="00344605">
            <w:pPr>
              <w:pStyle w:val="Tablehead"/>
              <w:rPr>
                <w:lang w:val="en-GB"/>
              </w:rPr>
            </w:pPr>
            <w:r w:rsidRPr="00936B90">
              <w:rPr>
                <w:rFonts w:hint="eastAsia"/>
                <w:rtl/>
                <w:lang w:val="en-GB"/>
              </w:rPr>
              <w:t>وثيقة</w:t>
            </w:r>
          </w:p>
        </w:tc>
      </w:tr>
      <w:tr w:rsidR="00AD0F49" w:rsidRPr="00AD0F49" w:rsidTr="00AB1C7D">
        <w:tc>
          <w:tcPr>
            <w:tcW w:w="1814" w:type="dxa"/>
          </w:tcPr>
          <w:p w:rsidR="00AD0F49" w:rsidRPr="00AD0F49" w:rsidRDefault="00AD0F49" w:rsidP="00AD0F49">
            <w:pPr>
              <w:pStyle w:val="Tabletext"/>
              <w:rPr>
                <w:rFonts w:asciiTheme="minorHAnsi" w:hAnsiTheme="minorHAnsi"/>
                <w:lang w:val="en-GB"/>
              </w:rPr>
            </w:pPr>
            <w:r w:rsidRPr="00AD0F49">
              <w:rPr>
                <w:rFonts w:asciiTheme="minorHAnsi" w:hAnsiTheme="minorHAnsi"/>
                <w:lang w:val="en-GB"/>
              </w:rPr>
              <w:t>SA.1345</w:t>
            </w:r>
          </w:p>
        </w:tc>
        <w:tc>
          <w:tcPr>
            <w:tcW w:w="6261" w:type="dxa"/>
          </w:tcPr>
          <w:p w:rsidR="00AD0F49" w:rsidRPr="00EB140C" w:rsidRDefault="00AD0F49" w:rsidP="00EB140C">
            <w:pPr>
              <w:pStyle w:val="Tabletext"/>
              <w:jc w:val="both"/>
              <w:rPr>
                <w:b/>
                <w:spacing w:val="4"/>
                <w:sz w:val="22"/>
                <w:highlight w:val="yellow"/>
                <w:rtl/>
                <w:lang w:val="en-GB"/>
              </w:rPr>
            </w:pPr>
            <w:r w:rsidRPr="00EB140C">
              <w:rPr>
                <w:spacing w:val="4"/>
                <w:rtl/>
              </w:rPr>
              <w:t>طرائق التنبؤ بمخططات الإشعاع للهوائيات الكبيرة المستعملة في البحوث الفضائية وعلم الفلك الراديوي</w:t>
            </w:r>
          </w:p>
        </w:tc>
        <w:tc>
          <w:tcPr>
            <w:tcW w:w="1554" w:type="dxa"/>
          </w:tcPr>
          <w:p w:rsidR="00AD0F49" w:rsidRPr="00AD0F49" w:rsidRDefault="00344605" w:rsidP="00EB140C">
            <w:pPr>
              <w:pStyle w:val="Tabletext"/>
              <w:rPr>
                <w:rFonts w:asciiTheme="minorHAnsi" w:hAnsiTheme="minorHAnsi"/>
                <w:lang w:val="en-GB"/>
              </w:rPr>
            </w:pPr>
            <w:hyperlink r:id="rId11" w:history="1">
              <w:r w:rsidR="00AD0F49" w:rsidRPr="00CC20FD">
                <w:rPr>
                  <w:rStyle w:val="Hyperlink"/>
                  <w:rFonts w:asciiTheme="minorHAnsi" w:hAnsiTheme="minorHAnsi"/>
                  <w:sz w:val="20"/>
                  <w:szCs w:val="26"/>
                  <w:lang w:val="en-GB"/>
                </w:rPr>
                <w:t>7/71</w:t>
              </w:r>
            </w:hyperlink>
          </w:p>
        </w:tc>
      </w:tr>
    </w:tbl>
    <w:p w:rsidR="00AD0F49" w:rsidRDefault="00AD0F49" w:rsidP="00AD0F49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AD0F49" w:rsidSect="008B5B5D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E0" w:rsidRDefault="002863E0" w:rsidP="00E07379">
      <w:pPr>
        <w:spacing w:before="0" w:line="240" w:lineRule="auto"/>
      </w:pPr>
      <w:r>
        <w:separator/>
      </w:r>
    </w:p>
  </w:endnote>
  <w:endnote w:type="continuationSeparator" w:id="0">
    <w:p w:rsidR="002863E0" w:rsidRDefault="002863E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E0" w:rsidRDefault="002863E0" w:rsidP="00E07379">
      <w:pPr>
        <w:spacing w:before="0" w:line="240" w:lineRule="auto"/>
      </w:pPr>
      <w:r>
        <w:separator/>
      </w:r>
    </w:p>
  </w:footnote>
  <w:footnote w:type="continuationSeparator" w:id="0">
    <w:p w:rsidR="002863E0" w:rsidRDefault="002863E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34460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1F2ED3" w:rsidTr="001F2ED3">
      <w:tc>
        <w:tcPr>
          <w:tcW w:w="5000" w:type="pct"/>
        </w:tcPr>
        <w:p w:rsidR="001F2ED3" w:rsidRDefault="001F2ED3" w:rsidP="001F2ED3">
          <w:pPr>
            <w:pStyle w:val="Header"/>
            <w:spacing w:before="120" w:after="120"/>
            <w:jc w:val="center"/>
            <w:rPr>
              <w:rtl/>
            </w:rPr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6E8C6DF0" wp14:editId="1C627BC9">
                <wp:extent cx="579396" cy="657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activeWritingStyle w:appName="MSWord" w:lang="ar-EG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E0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73915"/>
    <w:rsid w:val="001F2ED3"/>
    <w:rsid w:val="0021544D"/>
    <w:rsid w:val="0022345D"/>
    <w:rsid w:val="00225854"/>
    <w:rsid w:val="0023283D"/>
    <w:rsid w:val="00252E0C"/>
    <w:rsid w:val="00276881"/>
    <w:rsid w:val="002863E0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4D54"/>
    <w:rsid w:val="003275AC"/>
    <w:rsid w:val="00333D29"/>
    <w:rsid w:val="003409F4"/>
    <w:rsid w:val="00344605"/>
    <w:rsid w:val="00357185"/>
    <w:rsid w:val="003C475F"/>
    <w:rsid w:val="003E4132"/>
    <w:rsid w:val="003F678F"/>
    <w:rsid w:val="0042686F"/>
    <w:rsid w:val="004367CE"/>
    <w:rsid w:val="00443869"/>
    <w:rsid w:val="004712C6"/>
    <w:rsid w:val="00497703"/>
    <w:rsid w:val="004B100B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C46EA"/>
    <w:rsid w:val="006E0334"/>
    <w:rsid w:val="006F267F"/>
    <w:rsid w:val="006F63F7"/>
    <w:rsid w:val="006F6F03"/>
    <w:rsid w:val="00706D7A"/>
    <w:rsid w:val="00726AEC"/>
    <w:rsid w:val="00750163"/>
    <w:rsid w:val="007530CA"/>
    <w:rsid w:val="0076152F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36B90"/>
    <w:rsid w:val="00972CA2"/>
    <w:rsid w:val="009734C8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0F49"/>
    <w:rsid w:val="00AD1503"/>
    <w:rsid w:val="00AE7244"/>
    <w:rsid w:val="00AF3FEE"/>
    <w:rsid w:val="00AF70F6"/>
    <w:rsid w:val="00B02F46"/>
    <w:rsid w:val="00B0644C"/>
    <w:rsid w:val="00B2000C"/>
    <w:rsid w:val="00B20ADE"/>
    <w:rsid w:val="00B66B9A"/>
    <w:rsid w:val="00B82089"/>
    <w:rsid w:val="00B970AE"/>
    <w:rsid w:val="00BA1427"/>
    <w:rsid w:val="00BE49D0"/>
    <w:rsid w:val="00BF2C38"/>
    <w:rsid w:val="00C23331"/>
    <w:rsid w:val="00C265DA"/>
    <w:rsid w:val="00C442F2"/>
    <w:rsid w:val="00C47025"/>
    <w:rsid w:val="00C674FE"/>
    <w:rsid w:val="00C7297D"/>
    <w:rsid w:val="00C75633"/>
    <w:rsid w:val="00C75AD8"/>
    <w:rsid w:val="00C8242E"/>
    <w:rsid w:val="00C82615"/>
    <w:rsid w:val="00C867DB"/>
    <w:rsid w:val="00C938A9"/>
    <w:rsid w:val="00CA2A38"/>
    <w:rsid w:val="00CA50FF"/>
    <w:rsid w:val="00CC20FD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24898"/>
    <w:rsid w:val="00D45542"/>
    <w:rsid w:val="00D77D0F"/>
    <w:rsid w:val="00DA1CF0"/>
    <w:rsid w:val="00DB2271"/>
    <w:rsid w:val="00DB5659"/>
    <w:rsid w:val="00DC24B4"/>
    <w:rsid w:val="00DC5E81"/>
    <w:rsid w:val="00DD7A05"/>
    <w:rsid w:val="00DF16DC"/>
    <w:rsid w:val="00DF5361"/>
    <w:rsid w:val="00E009A1"/>
    <w:rsid w:val="00E00D15"/>
    <w:rsid w:val="00E071BE"/>
    <w:rsid w:val="00E07379"/>
    <w:rsid w:val="00E14154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B140C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839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2491E41-9AC8-4513-A976-A13BA6FF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uiPriority w:val="99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uiPriority w:val="99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uiPriority w:val="99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R15-SG07-C-0071/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rsgd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R%20(BR)\PA_BR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800650-B680-4AFB-97BA-9B6AF107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PA_BR_CACE Model.dotx</Template>
  <TotalTime>64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- ITU -</cp:lastModifiedBy>
  <cp:revision>17</cp:revision>
  <cp:lastPrinted>2018-10-26T14:19:00Z</cp:lastPrinted>
  <dcterms:created xsi:type="dcterms:W3CDTF">2018-10-24T12:20:00Z</dcterms:created>
  <dcterms:modified xsi:type="dcterms:W3CDTF">2018-10-29T07:48:00Z</dcterms:modified>
  <cp:category>Conference document</cp:category>
</cp:coreProperties>
</file>