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131B8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D131B8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131B8" w:rsidRDefault="00456812" w:rsidP="00CA194B">
            <w:pPr>
              <w:spacing w:before="0"/>
            </w:pPr>
            <w:r w:rsidRPr="00D131B8">
              <w:t>Административный циркуляр</w:t>
            </w:r>
          </w:p>
          <w:p w:rsidR="00651777" w:rsidRPr="00D131B8" w:rsidRDefault="00E17344" w:rsidP="00CA194B">
            <w:pPr>
              <w:spacing w:before="0"/>
              <w:rPr>
                <w:b/>
                <w:bCs/>
              </w:rPr>
            </w:pPr>
            <w:r w:rsidRPr="00D131B8">
              <w:rPr>
                <w:b/>
                <w:bCs/>
              </w:rPr>
              <w:t>CA</w:t>
            </w:r>
            <w:r w:rsidR="004A7970" w:rsidRPr="00D131B8">
              <w:rPr>
                <w:b/>
                <w:bCs/>
              </w:rPr>
              <w:t>CE</w:t>
            </w:r>
            <w:r w:rsidR="003836D4" w:rsidRPr="00D131B8">
              <w:rPr>
                <w:b/>
                <w:bCs/>
              </w:rPr>
              <w:t>/</w:t>
            </w:r>
            <w:r w:rsidR="00E30E3D" w:rsidRPr="00D131B8">
              <w:rPr>
                <w:b/>
                <w:bCs/>
              </w:rPr>
              <w:t>8</w:t>
            </w:r>
            <w:r w:rsidR="000531F9" w:rsidRPr="00D131B8">
              <w:rPr>
                <w:b/>
                <w:bCs/>
              </w:rPr>
              <w:t>6</w:t>
            </w:r>
            <w:r w:rsidR="00E30E3D" w:rsidRPr="00D131B8">
              <w:rPr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51777" w:rsidRPr="00D131B8" w:rsidRDefault="006B002F" w:rsidP="006B002F">
            <w:pPr>
              <w:spacing w:before="0"/>
              <w:jc w:val="right"/>
            </w:pPr>
            <w:r w:rsidRPr="00D131B8">
              <w:t>17</w:t>
            </w:r>
            <w:r w:rsidR="00423C78" w:rsidRPr="00D131B8">
              <w:t xml:space="preserve"> </w:t>
            </w:r>
            <w:r w:rsidRPr="00D131B8">
              <w:t>августа 2018</w:t>
            </w:r>
            <w:r w:rsidR="00423C78" w:rsidRPr="00D131B8">
              <w:t xml:space="preserve"> года</w:t>
            </w: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</w:pP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131B8" w:rsidRDefault="00456812" w:rsidP="00CA194B">
            <w:pPr>
              <w:spacing w:before="0"/>
              <w:rPr>
                <w:b/>
                <w:bCs/>
              </w:rPr>
            </w:pPr>
            <w:r w:rsidRPr="00D131B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D131B8">
              <w:rPr>
                <w:b/>
                <w:bCs/>
              </w:rPr>
              <w:t>5</w:t>
            </w:r>
            <w:r w:rsidRPr="00D131B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</w:pPr>
          </w:p>
        </w:tc>
      </w:tr>
      <w:tr w:rsidR="00DB5813" w:rsidRPr="00D131B8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9D1D5E" w:rsidRPr="00D131B8" w:rsidRDefault="009D1D5E" w:rsidP="00CA194B">
            <w:r w:rsidRPr="00D131B8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D1D5E" w:rsidRPr="00D131B8" w:rsidRDefault="009D1D5E" w:rsidP="00E30E3D">
            <w:pPr>
              <w:tabs>
                <w:tab w:val="left" w:pos="493"/>
              </w:tabs>
              <w:rPr>
                <w:b/>
                <w:bCs/>
              </w:rPr>
            </w:pPr>
            <w:r w:rsidRPr="00D131B8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D131B8">
              <w:rPr>
                <w:b/>
                <w:bCs/>
              </w:rPr>
              <w:br/>
              <w:t xml:space="preserve">Женева, </w:t>
            </w:r>
            <w:r w:rsidR="00E30E3D" w:rsidRPr="00D131B8">
              <w:rPr>
                <w:b/>
                <w:bCs/>
              </w:rPr>
              <w:t>19 ноября 2018</w:t>
            </w:r>
            <w:r w:rsidRPr="00D131B8">
              <w:rPr>
                <w:b/>
                <w:bCs/>
              </w:rPr>
              <w:t> года</w:t>
            </w:r>
          </w:p>
        </w:tc>
      </w:tr>
    </w:tbl>
    <w:p w:rsidR="009D1D5E" w:rsidRPr="00D131B8" w:rsidRDefault="009D1D5E" w:rsidP="00286323">
      <w:pPr>
        <w:pStyle w:val="Heading1"/>
      </w:pPr>
      <w:r w:rsidRPr="00D131B8">
        <w:t>1</w:t>
      </w:r>
      <w:r w:rsidRPr="00D131B8">
        <w:tab/>
        <w:t>Введение</w:t>
      </w:r>
    </w:p>
    <w:p w:rsidR="009D1D5E" w:rsidRPr="00D131B8" w:rsidRDefault="009D1D5E" w:rsidP="00AF729E">
      <w:pPr>
        <w:jc w:val="both"/>
      </w:pPr>
      <w:r w:rsidRPr="00D131B8">
        <w:t>Настоящим Административным циркуляром хочу сообщить, что собрание 5</w:t>
      </w:r>
      <w:r w:rsidRPr="00D131B8">
        <w:noBreakHyphen/>
        <w:t xml:space="preserve">й Исследовательской комиссии МСЭ-R состоится в Женеве </w:t>
      </w:r>
      <w:r w:rsidR="00E30E3D" w:rsidRPr="00D131B8">
        <w:t>19</w:t>
      </w:r>
      <w:r w:rsidRPr="00D131B8">
        <w:t> ноября 201</w:t>
      </w:r>
      <w:r w:rsidR="00E30E3D" w:rsidRPr="00D131B8">
        <w:t>8</w:t>
      </w:r>
      <w:r w:rsidRPr="00D131B8">
        <w:t> года</w:t>
      </w:r>
      <w:r w:rsidR="00C46613" w:rsidRPr="00D131B8">
        <w:t xml:space="preserve"> после собраний Рабочих групп 5A, 5B и</w:t>
      </w:r>
      <w:r w:rsidR="00E30E3D" w:rsidRPr="00D131B8">
        <w:t xml:space="preserve"> 5C (</w:t>
      </w:r>
      <w:r w:rsidR="00C46613" w:rsidRPr="00D131B8">
        <w:t>см. Циркулярное письмо</w:t>
      </w:r>
      <w:r w:rsidR="00AF729E" w:rsidRPr="00D131B8">
        <w:t xml:space="preserve"> </w:t>
      </w:r>
      <w:hyperlink r:id="rId8" w:history="1">
        <w:r w:rsidR="00E30E3D" w:rsidRPr="00D131B8">
          <w:rPr>
            <w:rStyle w:val="Hyperlink"/>
          </w:rPr>
          <w:t>5/LCCE/78</w:t>
        </w:r>
      </w:hyperlink>
      <w:r w:rsidR="00E30E3D" w:rsidRPr="00D131B8">
        <w:t>).</w:t>
      </w:r>
    </w:p>
    <w:p w:rsidR="009D1D5E" w:rsidRPr="00D131B8" w:rsidRDefault="009D1D5E" w:rsidP="00825A56">
      <w:pPr>
        <w:jc w:val="both"/>
        <w:rPr>
          <w:bCs/>
        </w:rPr>
      </w:pPr>
      <w:r w:rsidRPr="00D131B8">
        <w:t xml:space="preserve">Собрание Исследовательской комиссии будет проведено в штаб-квартире МСЭ в Женеве. </w:t>
      </w:r>
      <w:r w:rsidRPr="00D131B8">
        <w:rPr>
          <w:bCs/>
        </w:rPr>
        <w:t xml:space="preserve">Открытие собрания состоится в 09 час. 30 мин. </w:t>
      </w:r>
    </w:p>
    <w:p w:rsidR="009D1D5E" w:rsidRPr="00D131B8" w:rsidRDefault="009D1D5E" w:rsidP="00CA194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DB5813" w:rsidRPr="00D131B8" w:rsidTr="00DB5813">
        <w:trPr>
          <w:jc w:val="center"/>
        </w:trPr>
        <w:tc>
          <w:tcPr>
            <w:tcW w:w="2127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Даты собрания</w:t>
            </w:r>
          </w:p>
        </w:tc>
        <w:tc>
          <w:tcPr>
            <w:tcW w:w="2977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Открытие</w:t>
            </w:r>
          </w:p>
        </w:tc>
      </w:tr>
      <w:tr w:rsidR="00DB5813" w:rsidRPr="00D131B8" w:rsidTr="00DB5813">
        <w:trPr>
          <w:jc w:val="center"/>
        </w:trPr>
        <w:tc>
          <w:tcPr>
            <w:tcW w:w="2127" w:type="dxa"/>
            <w:vAlign w:val="center"/>
          </w:tcPr>
          <w:p w:rsidR="009D1D5E" w:rsidRPr="00D131B8" w:rsidRDefault="009D1D5E" w:rsidP="00CA194B">
            <w:pPr>
              <w:pStyle w:val="Tabletext"/>
              <w:ind w:left="-57" w:right="-57"/>
              <w:jc w:val="center"/>
            </w:pPr>
            <w:r w:rsidRPr="00D131B8">
              <w:t>5-я Исследовательская комиссия</w:t>
            </w:r>
          </w:p>
        </w:tc>
        <w:tc>
          <w:tcPr>
            <w:tcW w:w="1630" w:type="dxa"/>
            <w:vAlign w:val="center"/>
          </w:tcPr>
          <w:p w:rsidR="009D1D5E" w:rsidRPr="00D131B8" w:rsidRDefault="00E30E3D" w:rsidP="00CA194B">
            <w:pPr>
              <w:pStyle w:val="Tabletext"/>
              <w:jc w:val="center"/>
            </w:pPr>
            <w:r w:rsidRPr="00D131B8">
              <w:t>19 ноября 2018</w:t>
            </w:r>
            <w:r w:rsidR="009D1D5E" w:rsidRPr="00D131B8">
              <w:t> г.</w:t>
            </w:r>
          </w:p>
        </w:tc>
        <w:tc>
          <w:tcPr>
            <w:tcW w:w="2977" w:type="dxa"/>
            <w:vAlign w:val="center"/>
          </w:tcPr>
          <w:p w:rsidR="009D1D5E" w:rsidRPr="00D131B8" w:rsidRDefault="009D1D5E" w:rsidP="00E30E3D">
            <w:pPr>
              <w:pStyle w:val="Tabletext"/>
              <w:ind w:left="-57" w:right="-57"/>
              <w:jc w:val="center"/>
            </w:pPr>
            <w:r w:rsidRPr="00D131B8">
              <w:rPr>
                <w:spacing w:val="-2"/>
              </w:rPr>
              <w:t>Понедельник, 1</w:t>
            </w:r>
            <w:r w:rsidR="00E30E3D" w:rsidRPr="00D131B8">
              <w:rPr>
                <w:spacing w:val="-2"/>
              </w:rPr>
              <w:t>2</w:t>
            </w:r>
            <w:r w:rsidRPr="00D131B8">
              <w:rPr>
                <w:spacing w:val="-2"/>
              </w:rPr>
              <w:t> ноября 201</w:t>
            </w:r>
            <w:r w:rsidR="00E30E3D" w:rsidRPr="00D131B8">
              <w:rPr>
                <w:spacing w:val="-2"/>
              </w:rPr>
              <w:t>8</w:t>
            </w:r>
            <w:r w:rsidRPr="00D131B8">
              <w:rPr>
                <w:spacing w:val="-2"/>
              </w:rPr>
              <w:t> г.,</w:t>
            </w:r>
            <w:r w:rsidRPr="00D131B8">
              <w:rPr>
                <w:spacing w:val="-2"/>
              </w:rPr>
              <w:br/>
            </w:r>
            <w:r w:rsidRPr="00D131B8">
              <w:t>16</w:t>
            </w:r>
            <w:r w:rsidR="00294E2F" w:rsidRPr="00D131B8">
              <w:t xml:space="preserve"> час. </w:t>
            </w:r>
            <w:r w:rsidRPr="00D131B8">
              <w:t>00</w:t>
            </w:r>
            <w:r w:rsidR="00294E2F" w:rsidRPr="00D131B8">
              <w:t xml:space="preserve"> мин.</w:t>
            </w:r>
            <w:r w:rsidRPr="00D131B8">
              <w:t xml:space="preserve"> UTC</w:t>
            </w:r>
          </w:p>
        </w:tc>
        <w:tc>
          <w:tcPr>
            <w:tcW w:w="2976" w:type="dxa"/>
            <w:vAlign w:val="center"/>
          </w:tcPr>
          <w:p w:rsidR="009D1D5E" w:rsidRPr="00D131B8" w:rsidRDefault="009D1D5E" w:rsidP="00E30E3D">
            <w:pPr>
              <w:pStyle w:val="Tabletext"/>
              <w:ind w:left="-57" w:right="-57"/>
              <w:jc w:val="center"/>
            </w:pPr>
            <w:r w:rsidRPr="00D131B8">
              <w:rPr>
                <w:spacing w:val="-2"/>
              </w:rPr>
              <w:t xml:space="preserve">Понедельник, </w:t>
            </w:r>
            <w:r w:rsidR="00E30E3D" w:rsidRPr="00D131B8">
              <w:rPr>
                <w:spacing w:val="-2"/>
              </w:rPr>
              <w:t>19</w:t>
            </w:r>
            <w:r w:rsidRPr="00D131B8">
              <w:rPr>
                <w:spacing w:val="-2"/>
              </w:rPr>
              <w:t> ноября 201</w:t>
            </w:r>
            <w:r w:rsidR="00E30E3D" w:rsidRPr="00D131B8">
              <w:rPr>
                <w:spacing w:val="-2"/>
              </w:rPr>
              <w:t>8</w:t>
            </w:r>
            <w:r w:rsidRPr="00D131B8">
              <w:rPr>
                <w:spacing w:val="-2"/>
              </w:rPr>
              <w:t> г.,</w:t>
            </w:r>
            <w:r w:rsidRPr="00D131B8">
              <w:br/>
              <w:t>09 час. 30 мин. (местное время)</w:t>
            </w:r>
          </w:p>
        </w:tc>
      </w:tr>
    </w:tbl>
    <w:p w:rsidR="009D1D5E" w:rsidRPr="00D131B8" w:rsidRDefault="009D1D5E" w:rsidP="00CA194B">
      <w:pPr>
        <w:pStyle w:val="Heading1"/>
        <w:rPr>
          <w:sz w:val="24"/>
          <w:szCs w:val="24"/>
        </w:rPr>
      </w:pPr>
      <w:r w:rsidRPr="00D131B8">
        <w:rPr>
          <w:sz w:val="24"/>
          <w:szCs w:val="24"/>
        </w:rPr>
        <w:t>2</w:t>
      </w:r>
      <w:r w:rsidRPr="00D131B8">
        <w:rPr>
          <w:sz w:val="24"/>
          <w:szCs w:val="24"/>
        </w:rPr>
        <w:tab/>
      </w:r>
      <w:r w:rsidRPr="00D131B8">
        <w:t>Программа</w:t>
      </w:r>
      <w:r w:rsidRPr="00D131B8">
        <w:rPr>
          <w:sz w:val="24"/>
          <w:szCs w:val="24"/>
        </w:rPr>
        <w:t xml:space="preserve"> собрания</w:t>
      </w:r>
    </w:p>
    <w:p w:rsidR="009D1D5E" w:rsidRPr="00D131B8" w:rsidRDefault="009D1D5E" w:rsidP="00825A56">
      <w:pPr>
        <w:jc w:val="both"/>
      </w:pPr>
      <w:r w:rsidRPr="00D131B8">
        <w:t xml:space="preserve">Проект повестки дня собрания 5-й Исследовательской комиссии содержится в Приложении 1. </w:t>
      </w:r>
      <w:r w:rsidRPr="00D131B8">
        <w:rPr>
          <w:szCs w:val="24"/>
        </w:rPr>
        <w:t xml:space="preserve">Статус текстов, </w:t>
      </w:r>
      <w:r w:rsidRPr="00D131B8">
        <w:t>порученных</w:t>
      </w:r>
      <w:r w:rsidRPr="00D131B8">
        <w:rPr>
          <w:szCs w:val="24"/>
        </w:rPr>
        <w:t xml:space="preserve"> 5</w:t>
      </w:r>
      <w:r w:rsidRPr="00D131B8">
        <w:t xml:space="preserve">-й Исследовательской комиссии, </w:t>
      </w:r>
      <w:r w:rsidRPr="00D131B8">
        <w:rPr>
          <w:szCs w:val="24"/>
        </w:rPr>
        <w:t>представлен по адресу:</w:t>
      </w:r>
    </w:p>
    <w:p w:rsidR="009D1D5E" w:rsidRPr="00D131B8" w:rsidRDefault="000C4C1B" w:rsidP="00CA194B">
      <w:pPr>
        <w:jc w:val="center"/>
      </w:pPr>
      <w:hyperlink r:id="rId9" w:history="1">
        <w:r w:rsidR="009D1D5E" w:rsidRPr="00D131B8">
          <w:rPr>
            <w:rStyle w:val="Hyperlink"/>
          </w:rPr>
          <w:t>http://www.itu.int/md/R15-SG05-C-0001/en</w:t>
        </w:r>
      </w:hyperlink>
      <w:r w:rsidR="009D1D5E" w:rsidRPr="00D131B8">
        <w:t>.</w:t>
      </w:r>
    </w:p>
    <w:p w:rsidR="009D1D5E" w:rsidRPr="00D131B8" w:rsidRDefault="009D1D5E" w:rsidP="00286323">
      <w:pPr>
        <w:pStyle w:val="Heading2"/>
      </w:pPr>
      <w:r w:rsidRPr="00D131B8">
        <w:t>2.1</w:t>
      </w:r>
      <w:r w:rsidRPr="00D131B8">
        <w:tab/>
        <w:t>Одобрение проект</w:t>
      </w:r>
      <w:r w:rsidR="00286323" w:rsidRPr="00D131B8">
        <w:t>ов</w:t>
      </w:r>
      <w:r w:rsidRPr="00D131B8">
        <w:t xml:space="preserve"> Рекомендаций на собрании Исследовательской комиссии (п. </w:t>
      </w:r>
      <w:r w:rsidRPr="00D131B8">
        <w:rPr>
          <w:szCs w:val="24"/>
        </w:rPr>
        <w:t xml:space="preserve">A2.6.2.2.2 </w:t>
      </w:r>
      <w:r w:rsidRPr="00D131B8">
        <w:t>Резолюции МСЭ-R 1-7)</w:t>
      </w:r>
    </w:p>
    <w:p w:rsidR="009D1D5E" w:rsidRPr="00D131B8" w:rsidRDefault="009D1D5E" w:rsidP="00E30E3D">
      <w:pPr>
        <w:jc w:val="both"/>
      </w:pPr>
      <w:r w:rsidRPr="00D131B8">
        <w:t xml:space="preserve">Были предложены проекты </w:t>
      </w:r>
      <w:r w:rsidR="00E30E3D" w:rsidRPr="00D131B8">
        <w:t>двух</w:t>
      </w:r>
      <w:r w:rsidRPr="00D131B8">
        <w:t xml:space="preserve"> пересмотров и </w:t>
      </w:r>
      <w:r w:rsidR="00E30E3D" w:rsidRPr="00D131B8">
        <w:t>двух</w:t>
      </w:r>
      <w:r w:rsidRPr="00D131B8">
        <w:t xml:space="preserve"> нов</w:t>
      </w:r>
      <w:r w:rsidR="00E30E3D" w:rsidRPr="00D131B8">
        <w:t>ых Рекомендаций</w:t>
      </w:r>
      <w:r w:rsidRPr="00D131B8">
        <w:t xml:space="preserve"> для одобрения Исследовательской комиссией на ее собрании в соответствии с п. </w:t>
      </w:r>
      <w:r w:rsidRPr="00D131B8">
        <w:rPr>
          <w:szCs w:val="24"/>
        </w:rPr>
        <w:t xml:space="preserve">A2.6.2.2.2 </w:t>
      </w:r>
      <w:r w:rsidRPr="00D131B8">
        <w:t>Резолюции МСЭ-R 1-7.</w:t>
      </w:r>
    </w:p>
    <w:p w:rsidR="009D1D5E" w:rsidRPr="00D131B8" w:rsidRDefault="009D1D5E" w:rsidP="00825A56">
      <w:pPr>
        <w:jc w:val="both"/>
      </w:pPr>
      <w:r w:rsidRPr="00D131B8">
        <w:t>В соответствии с п. A2.6.2.2.2.1 Резолю</w:t>
      </w:r>
      <w:bookmarkStart w:id="0" w:name="_GoBack"/>
      <w:bookmarkEnd w:id="0"/>
      <w:r w:rsidRPr="00D131B8">
        <w:t>ции МСЭ-R 1-7 названия и резюме проектов Рекомендаций приведены в Приложении 2.</w:t>
      </w:r>
    </w:p>
    <w:p w:rsidR="009D1D5E" w:rsidRPr="00D131B8" w:rsidRDefault="009D1D5E" w:rsidP="00CA194B">
      <w:pPr>
        <w:pStyle w:val="Heading2"/>
      </w:pPr>
      <w:r w:rsidRPr="00D131B8">
        <w:lastRenderedPageBreak/>
        <w:t>2.2</w:t>
      </w:r>
      <w:r w:rsidRPr="00D131B8">
        <w:tab/>
        <w:t>Одобрение Исследовательской комиссией проектов Рекомендаций по переписке (п. </w:t>
      </w:r>
      <w:r w:rsidRPr="00D131B8">
        <w:rPr>
          <w:szCs w:val="24"/>
        </w:rPr>
        <w:t>A2.6.2.2.3</w:t>
      </w:r>
      <w:r w:rsidRPr="00D131B8">
        <w:t> Резолюции МСЭ-R 1-7)</w:t>
      </w:r>
    </w:p>
    <w:p w:rsidR="009D1D5E" w:rsidRPr="00D131B8" w:rsidRDefault="009D1D5E" w:rsidP="00825A56">
      <w:pPr>
        <w:jc w:val="both"/>
      </w:pPr>
      <w:r w:rsidRPr="00D131B8">
        <w:t>Процедура, описанная в п. </w:t>
      </w:r>
      <w:r w:rsidRPr="00D131B8">
        <w:rPr>
          <w:szCs w:val="24"/>
        </w:rPr>
        <w:t xml:space="preserve">A2.6.2.2.3 </w:t>
      </w:r>
      <w:r w:rsidRPr="00D131B8">
        <w:t>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9D1D5E" w:rsidRPr="00D131B8" w:rsidRDefault="009D1D5E" w:rsidP="00E934C9">
      <w:pPr>
        <w:keepLines/>
        <w:jc w:val="both"/>
      </w:pPr>
      <w:r w:rsidRPr="00D131B8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 5А, 5В, 5С и 5D и Целевой группы 5/1,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</w:t>
      </w:r>
      <w:r w:rsidR="00B715B1" w:rsidRPr="00D131B8">
        <w:t>ции МСЭ-R 1-7 (см. также п. 2.3</w:t>
      </w:r>
      <w:r w:rsidRPr="00D131B8">
        <w:t xml:space="preserve"> ниже), при отсутствии возражений по поводу такого подхода со стороны любого из Государств-Членов, участвующ</w:t>
      </w:r>
      <w:r w:rsidR="00E934C9" w:rsidRPr="00D131B8">
        <w:t>их</w:t>
      </w:r>
      <w:r w:rsidRPr="00D131B8">
        <w:t xml:space="preserve"> в собрании, и если соответствующая Рекомендация не включена в Регламент радиосвязи посредством ссылки.</w:t>
      </w:r>
    </w:p>
    <w:p w:rsidR="009D1D5E" w:rsidRPr="00D131B8" w:rsidRDefault="009D1D5E" w:rsidP="0070698E">
      <w:pPr>
        <w:jc w:val="both"/>
      </w:pPr>
      <w:r w:rsidRPr="00D131B8">
        <w:t xml:space="preserve">В соответствии с п. A1.3.1.13 Резолюции МСЭ-R 1-7 в Приложении 3 к настоящему Циркуляру содержится список тем для рассмотрения на собраниях </w:t>
      </w:r>
      <w:r w:rsidR="0070698E" w:rsidRPr="00D131B8">
        <w:t>рабочих групп и ц</w:t>
      </w:r>
      <w:r w:rsidRPr="00D131B8">
        <w:t>елевой группы, проводимых перед собранием Исследовательской комиссии, по которым могут быть разработаны проекты Рекомендаций.</w:t>
      </w:r>
    </w:p>
    <w:p w:rsidR="009D1D5E" w:rsidRPr="00D131B8" w:rsidRDefault="009D1D5E" w:rsidP="00CA194B">
      <w:pPr>
        <w:pStyle w:val="Heading2"/>
      </w:pPr>
      <w:r w:rsidRPr="00D131B8">
        <w:t>2.3</w:t>
      </w:r>
      <w:r w:rsidRPr="00D131B8">
        <w:tab/>
        <w:t>Решение о процедуре утверждения</w:t>
      </w:r>
    </w:p>
    <w:p w:rsidR="009D1D5E" w:rsidRPr="00D131B8" w:rsidRDefault="009D1D5E" w:rsidP="00825A56">
      <w:pPr>
        <w:jc w:val="both"/>
      </w:pPr>
      <w:r w:rsidRPr="00D131B8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Pr="00D131B8">
        <w:rPr>
          <w:szCs w:val="24"/>
        </w:rPr>
        <w:t xml:space="preserve">A2.6.2.3 </w:t>
      </w:r>
      <w:r w:rsidRPr="00D131B8">
        <w:t>Резолюции МСЭ-R 1-7, если только Исследовательская комиссия не примет решения об использовании процедуры PSAA, описание которой содержится в п. </w:t>
      </w:r>
      <w:r w:rsidRPr="00D131B8">
        <w:rPr>
          <w:szCs w:val="24"/>
        </w:rPr>
        <w:t xml:space="preserve">A2.6.2.4 </w:t>
      </w:r>
      <w:r w:rsidRPr="00D131B8">
        <w:t>Резолюции М</w:t>
      </w:r>
      <w:r w:rsidR="0020520D" w:rsidRPr="00D131B8">
        <w:t>СЭ</w:t>
      </w:r>
      <w:r w:rsidR="0020520D" w:rsidRPr="00D131B8">
        <w:noBreakHyphen/>
        <w:t>R 1</w:t>
      </w:r>
      <w:r w:rsidR="0020520D" w:rsidRPr="00D131B8">
        <w:noBreakHyphen/>
        <w:t>7 (см. п. 2.2</w:t>
      </w:r>
      <w:r w:rsidRPr="00D131B8">
        <w:t xml:space="preserve"> выше).</w:t>
      </w:r>
    </w:p>
    <w:p w:rsidR="009D1D5E" w:rsidRPr="00D131B8" w:rsidRDefault="009D1D5E" w:rsidP="00055B2E">
      <w:pPr>
        <w:pStyle w:val="Heading1"/>
      </w:pPr>
      <w:r w:rsidRPr="00D131B8">
        <w:t>3</w:t>
      </w:r>
      <w:r w:rsidRPr="00D131B8">
        <w:tab/>
        <w:t>Вклады</w:t>
      </w:r>
    </w:p>
    <w:p w:rsidR="009D1D5E" w:rsidRPr="00D131B8" w:rsidRDefault="009D1D5E" w:rsidP="00825A56">
      <w:pPr>
        <w:jc w:val="both"/>
      </w:pPr>
      <w:r w:rsidRPr="00D131B8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D131B8">
        <w:noBreakHyphen/>
        <w:t>R 1-7.</w:t>
      </w:r>
    </w:p>
    <w:p w:rsidR="009D1D5E" w:rsidRPr="00D131B8" w:rsidRDefault="009D1D5E" w:rsidP="00825A56">
      <w:pPr>
        <w:jc w:val="both"/>
      </w:pPr>
      <w:r w:rsidRPr="00D131B8">
        <w:lastRenderedPageBreak/>
        <w:t>Предельный срок для получения вкладов, по которым не требуется письменный перевод</w:t>
      </w:r>
      <w:r w:rsidRPr="00D131B8">
        <w:rPr>
          <w:rFonts w:eastAsia="MS Mincho"/>
          <w:position w:val="6"/>
          <w:sz w:val="16"/>
          <w:lang w:eastAsia="ja-JP"/>
        </w:rPr>
        <w:footnoteReference w:customMarkFollows="1" w:id="1"/>
        <w:t>*</w:t>
      </w:r>
      <w:r w:rsidRPr="00D131B8">
        <w:rPr>
          <w:szCs w:val="24"/>
          <w:lang w:eastAsia="ja-JP"/>
        </w:rPr>
        <w:t xml:space="preserve"> (включая </w:t>
      </w:r>
      <w:r w:rsidRPr="00D131B8">
        <w:t>пересмотры</w:t>
      </w:r>
      <w:r w:rsidRPr="00D131B8">
        <w:rPr>
          <w:szCs w:val="24"/>
          <w:lang w:eastAsia="ja-JP"/>
        </w:rPr>
        <w:t>, дополнительные документы и исправления к</w:t>
      </w:r>
      <w:r w:rsidR="0020520D" w:rsidRPr="00D131B8">
        <w:rPr>
          <w:szCs w:val="24"/>
          <w:lang w:eastAsia="ja-JP"/>
        </w:rPr>
        <w:t>о</w:t>
      </w:r>
      <w:r w:rsidRPr="00D131B8">
        <w:rPr>
          <w:szCs w:val="24"/>
          <w:lang w:eastAsia="ja-JP"/>
        </w:rPr>
        <w:t xml:space="preserve"> вкладам), составляет </w:t>
      </w:r>
      <w:r w:rsidRPr="00D131B8">
        <w:t>семь календарных дней (16</w:t>
      </w:r>
      <w:r w:rsidR="0020520D" w:rsidRPr="00D131B8">
        <w:t xml:space="preserve"> час. </w:t>
      </w:r>
      <w:r w:rsidRPr="00D131B8">
        <w:t>00</w:t>
      </w:r>
      <w:r w:rsidR="0020520D" w:rsidRPr="00D131B8">
        <w:t xml:space="preserve"> мин.</w:t>
      </w:r>
      <w:r w:rsidRPr="00D131B8">
        <w:t xml:space="preserve"> </w:t>
      </w:r>
      <w:r w:rsidRPr="00D131B8">
        <w:rPr>
          <w:lang w:eastAsia="zh-CN"/>
        </w:rPr>
        <w:t xml:space="preserve">UTC) </w:t>
      </w:r>
      <w:r w:rsidRPr="00D131B8">
        <w:t xml:space="preserve">до начала собрания. </w:t>
      </w:r>
      <w:r w:rsidRPr="00D131B8">
        <w:rPr>
          <w:b/>
          <w:bCs/>
        </w:rPr>
        <w:t xml:space="preserve">Предельный срок для получения вкладов к этому собранию указан в </w:t>
      </w:r>
      <w:r w:rsidR="00055B2E" w:rsidRPr="00D131B8">
        <w:rPr>
          <w:b/>
          <w:bCs/>
        </w:rPr>
        <w:t>т</w:t>
      </w:r>
      <w:r w:rsidR="00044391" w:rsidRPr="00D131B8">
        <w:rPr>
          <w:b/>
          <w:bCs/>
        </w:rPr>
        <w:t>аблице</w:t>
      </w:r>
      <w:r w:rsidRPr="00D131B8">
        <w:rPr>
          <w:b/>
          <w:bCs/>
        </w:rPr>
        <w:t xml:space="preserve"> выше</w:t>
      </w:r>
      <w:r w:rsidRPr="00D131B8">
        <w:t>. Вклады, которые получены после указанного предельного срока, не принимаются. В Резолюции МСЭ</w:t>
      </w:r>
      <w:r w:rsidRPr="00D131B8"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</w:p>
    <w:p w:rsidR="009D1D5E" w:rsidRPr="00D131B8" w:rsidRDefault="009D1D5E" w:rsidP="00CA194B">
      <w:r w:rsidRPr="00D131B8">
        <w:t>Просим участников представлять вклады по электронной почте по адресу:</w:t>
      </w:r>
    </w:p>
    <w:p w:rsidR="009D1D5E" w:rsidRPr="00D131B8" w:rsidRDefault="000C4C1B" w:rsidP="00CA194B">
      <w:pPr>
        <w:spacing w:after="240"/>
        <w:jc w:val="center"/>
      </w:pPr>
      <w:hyperlink r:id="rId10" w:history="1">
        <w:r w:rsidR="009D1D5E" w:rsidRPr="00D131B8">
          <w:rPr>
            <w:rStyle w:val="Hyperlink"/>
          </w:rPr>
          <w:t>rsg5@itu.int</w:t>
        </w:r>
      </w:hyperlink>
      <w:r w:rsidR="009D1D5E" w:rsidRPr="00D131B8">
        <w:t>.</w:t>
      </w:r>
    </w:p>
    <w:p w:rsidR="009D1D5E" w:rsidRPr="00D131B8" w:rsidRDefault="009D1D5E" w:rsidP="008111B0">
      <w:r w:rsidRPr="00D131B8">
        <w:t xml:space="preserve">Кроме того, по одному экземпляру каждого вклада следует направить </w:t>
      </w:r>
      <w:r w:rsidR="008111B0" w:rsidRPr="00D131B8">
        <w:t>п</w:t>
      </w:r>
      <w:r w:rsidRPr="00D131B8">
        <w:t xml:space="preserve">редседателю и заместителям </w:t>
      </w:r>
      <w:r w:rsidR="008111B0" w:rsidRPr="00D131B8">
        <w:t>п</w:t>
      </w:r>
      <w:r w:rsidRPr="00D131B8">
        <w:t>редседателя 5-й Исследовательской комиссии. Соответствующие адреса приводятся на</w:t>
      </w:r>
      <w:r w:rsidR="004346F6" w:rsidRPr="00D131B8">
        <w:t xml:space="preserve"> веб-странице</w:t>
      </w:r>
      <w:r w:rsidRPr="00D131B8">
        <w:t>:</w:t>
      </w:r>
    </w:p>
    <w:p w:rsidR="009D1D5E" w:rsidRPr="00D131B8" w:rsidRDefault="000C4C1B" w:rsidP="00CA194B">
      <w:pPr>
        <w:spacing w:after="120"/>
        <w:jc w:val="center"/>
      </w:pPr>
      <w:hyperlink r:id="rId11" w:history="1">
        <w:r w:rsidR="009D1D5E" w:rsidRPr="00D131B8">
          <w:rPr>
            <w:rStyle w:val="Hyperlink"/>
          </w:rPr>
          <w:t>http://www.itu.int/go/rsg5/ch</w:t>
        </w:r>
      </w:hyperlink>
      <w:r w:rsidR="009D1D5E" w:rsidRPr="00D131B8">
        <w:t>.</w:t>
      </w:r>
    </w:p>
    <w:p w:rsidR="009D1D5E" w:rsidRPr="00D131B8" w:rsidRDefault="009D1D5E" w:rsidP="00055B2E">
      <w:pPr>
        <w:pStyle w:val="Heading1"/>
      </w:pPr>
      <w:r w:rsidRPr="00D131B8">
        <w:t>4</w:t>
      </w:r>
      <w:r w:rsidRPr="00D131B8">
        <w:tab/>
        <w:t>Документы</w:t>
      </w:r>
    </w:p>
    <w:p w:rsidR="009D1D5E" w:rsidRPr="00D131B8" w:rsidRDefault="009D1D5E" w:rsidP="00825A56">
      <w:pPr>
        <w:jc w:val="both"/>
      </w:pPr>
      <w:r w:rsidRPr="00D131B8">
        <w:t>Вклады размещ</w:t>
      </w:r>
      <w:r w:rsidR="00C22584" w:rsidRPr="00D131B8">
        <w:t>аются</w:t>
      </w:r>
      <w:r w:rsidRPr="00D131B8">
        <w:t xml:space="preserve"> в том виде, в котором они будут получены, в течение одного рабочего дня на веб-странице, созданной для этой цели:</w:t>
      </w:r>
    </w:p>
    <w:p w:rsidR="009D1D5E" w:rsidRPr="00D131B8" w:rsidRDefault="000C4C1B" w:rsidP="00D131B8">
      <w:pPr>
        <w:spacing w:after="240"/>
        <w:jc w:val="center"/>
      </w:pPr>
      <w:hyperlink r:id="rId12" w:history="1">
        <w:r w:rsidR="009D1D5E" w:rsidRPr="00D131B8">
          <w:rPr>
            <w:rStyle w:val="Hyperlink"/>
          </w:rPr>
          <w:t>http://www.itu.int/md/R15-SG05.AR-C/en</w:t>
        </w:r>
      </w:hyperlink>
      <w:r w:rsidR="009D1D5E" w:rsidRPr="00D131B8">
        <w:t>.</w:t>
      </w:r>
    </w:p>
    <w:p w:rsidR="009D1D5E" w:rsidRPr="00D131B8" w:rsidRDefault="009D1D5E" w:rsidP="00615A15">
      <w:pPr>
        <w:jc w:val="both"/>
      </w:pPr>
      <w:r w:rsidRPr="00D131B8"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Pr="00D131B8">
          <w:rPr>
            <w:rStyle w:val="Hyperlink"/>
          </w:rPr>
          <w:t>http://www.itu.int/md/R15-SG05-C/en</w:t>
        </w:r>
      </w:hyperlink>
      <w:r w:rsidRPr="00D131B8">
        <w:t>.</w:t>
      </w:r>
    </w:p>
    <w:p w:rsidR="009D1D5E" w:rsidRPr="00D131B8" w:rsidRDefault="009D1D5E" w:rsidP="00825A56">
      <w:pPr>
        <w:jc w:val="both"/>
      </w:pPr>
      <w:r w:rsidRPr="00D131B8">
        <w:t xml:space="preserve">В соответствии с Резолюцией 167 (Пересм. Пусан, 2014 г.) </w:t>
      </w:r>
      <w:r w:rsidRPr="00D131B8">
        <w:rPr>
          <w:b/>
          <w:bCs/>
        </w:rPr>
        <w:t>работа</w:t>
      </w:r>
      <w:r w:rsidRPr="00D131B8">
        <w:t xml:space="preserve"> </w:t>
      </w:r>
      <w:r w:rsidRPr="00D131B8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D131B8">
        <w:rPr>
          <w:rFonts w:eastAsia="MS PGothic"/>
          <w:lang w:eastAsia="zh-CN"/>
        </w:rPr>
        <w:t xml:space="preserve">. </w:t>
      </w:r>
      <w:r w:rsidRPr="00D131B8">
        <w:t>В залах заседаний будут иметься средства беспроводной ЛВС, которыми смогут воспользоваться делегаты.</w:t>
      </w:r>
      <w:r w:rsidRPr="00D131B8">
        <w:rPr>
          <w:rFonts w:eastAsia="MS PGothic"/>
          <w:lang w:eastAsia="zh-CN"/>
        </w:rPr>
        <w:t xml:space="preserve"> </w:t>
      </w:r>
      <w:r w:rsidRPr="00D131B8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4" w:history="1">
        <w:r w:rsidRPr="00D131B8">
          <w:rPr>
            <w:rStyle w:val="Hyperlink"/>
          </w:rPr>
          <w:t>servicedesk@itu.int</w:t>
        </w:r>
      </w:hyperlink>
      <w:r w:rsidRPr="00D131B8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9D1D5E" w:rsidRPr="00D131B8" w:rsidRDefault="009D1D5E" w:rsidP="00055B2E">
      <w:pPr>
        <w:pStyle w:val="Heading1"/>
      </w:pPr>
      <w:r w:rsidRPr="00D131B8">
        <w:t>5</w:t>
      </w:r>
      <w:r w:rsidRPr="00D131B8">
        <w:tab/>
        <w:t>Дистанционное участие</w:t>
      </w:r>
    </w:p>
    <w:p w:rsidR="009D1D5E" w:rsidRPr="00D131B8" w:rsidRDefault="009D1D5E" w:rsidP="00825A56">
      <w:pPr>
        <w:jc w:val="both"/>
      </w:pPr>
      <w:r w:rsidRPr="00D131B8">
        <w:t>Для обеспечения возможности дистанционного слежения за ходом работы собраний МСЭ-R Службой радиовещания по интернету (</w:t>
      </w:r>
      <w:r w:rsidRPr="00D131B8">
        <w:rPr>
          <w:lang w:eastAsia="zh-CN"/>
        </w:rPr>
        <w:t xml:space="preserve">IBS) МСЭ </w:t>
      </w:r>
      <w:r w:rsidRPr="00D131B8">
        <w:t xml:space="preserve">будет </w:t>
      </w:r>
      <w:r w:rsidRPr="00D131B8">
        <w:lastRenderedPageBreak/>
        <w:t xml:space="preserve">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веб-трансляции, но для получения доступа к веб-трансляции требуется </w:t>
      </w:r>
      <w:hyperlink r:id="rId15" w:history="1">
        <w:r w:rsidRPr="00D131B8">
          <w:rPr>
            <w:rStyle w:val="Hyperlink"/>
          </w:rPr>
          <w:t xml:space="preserve">учетная запись </w:t>
        </w:r>
      </w:hyperlink>
      <w:r w:rsidRPr="00D131B8">
        <w:rPr>
          <w:rStyle w:val="Hyperlink"/>
        </w:rPr>
        <w:t>TIES</w:t>
      </w:r>
      <w:r w:rsidRPr="00D131B8">
        <w:t xml:space="preserve"> МСЭ.</w:t>
      </w:r>
    </w:p>
    <w:p w:rsidR="009D1D5E" w:rsidRPr="00D131B8" w:rsidRDefault="009D1D5E" w:rsidP="00055B2E">
      <w:pPr>
        <w:pStyle w:val="Heading1"/>
      </w:pPr>
      <w:r w:rsidRPr="00D131B8">
        <w:t>6</w:t>
      </w:r>
      <w:r w:rsidRPr="00D131B8">
        <w:tab/>
        <w:t>Участие/необходимость получения визы/размещение в гостиницах</w:t>
      </w:r>
    </w:p>
    <w:p w:rsidR="009D1D5E" w:rsidRPr="00D131B8" w:rsidRDefault="009D1D5E" w:rsidP="00564D90">
      <w:pPr>
        <w:jc w:val="both"/>
      </w:pPr>
      <w:r w:rsidRPr="00D131B8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D131B8" w:rsidDel="00B24E71">
        <w:t xml:space="preserve"> </w:t>
      </w:r>
      <w:r w:rsidRPr="00D131B8">
        <w:t xml:space="preserve">Лицам, желающим зарегистрироваться для участия в каком-либо мероприятии МСЭ-R, следует обращаться непосредственно к DFP по своему </w:t>
      </w:r>
      <w:r w:rsidR="00564D90" w:rsidRPr="00D131B8">
        <w:t>учреждению</w:t>
      </w:r>
      <w:r w:rsidRPr="00D131B8">
        <w:t>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9D1D5E" w:rsidRPr="00D131B8" w:rsidRDefault="000C4C1B" w:rsidP="00CA194B">
      <w:pPr>
        <w:jc w:val="center"/>
      </w:pPr>
      <w:hyperlink r:id="rId16" w:history="1">
        <w:r w:rsidR="009D1D5E" w:rsidRPr="00D131B8">
          <w:rPr>
            <w:rStyle w:val="Hyperlink"/>
          </w:rPr>
          <w:t>www.itu.int/en/ITU-R/information/events</w:t>
        </w:r>
      </w:hyperlink>
      <w:r w:rsidR="009D1D5E" w:rsidRPr="00D131B8">
        <w:t>.</w:t>
      </w:r>
    </w:p>
    <w:p w:rsidR="009D1D5E" w:rsidRPr="00D131B8" w:rsidRDefault="009D1D5E" w:rsidP="00D131B8">
      <w:pPr>
        <w:spacing w:before="1080"/>
      </w:pPr>
      <w:r w:rsidRPr="00D131B8">
        <w:t>Франсуа Ранси</w:t>
      </w:r>
      <w:r w:rsidRPr="00D131B8">
        <w:br/>
        <w:t xml:space="preserve">Директор </w:t>
      </w:r>
    </w:p>
    <w:p w:rsidR="009D1D5E" w:rsidRPr="00D131B8" w:rsidRDefault="009D1D5E" w:rsidP="00D131B8">
      <w:pPr>
        <w:spacing w:before="600"/>
      </w:pPr>
      <w:r w:rsidRPr="00D131B8">
        <w:rPr>
          <w:b/>
          <w:bCs/>
        </w:rPr>
        <w:t>Приложения</w:t>
      </w:r>
      <w:r w:rsidRPr="00D131B8">
        <w:t>: 3</w:t>
      </w:r>
    </w:p>
    <w:p w:rsidR="009D1D5E" w:rsidRPr="00D131B8" w:rsidRDefault="009D1D5E" w:rsidP="00D131B8">
      <w:pPr>
        <w:tabs>
          <w:tab w:val="left" w:pos="6237"/>
        </w:tabs>
        <w:spacing w:before="600"/>
        <w:rPr>
          <w:sz w:val="18"/>
          <w:szCs w:val="18"/>
          <w:u w:val="single"/>
        </w:rPr>
      </w:pPr>
      <w:r w:rsidRPr="00D131B8">
        <w:rPr>
          <w:b/>
          <w:bCs/>
          <w:sz w:val="18"/>
          <w:szCs w:val="18"/>
        </w:rPr>
        <w:t>Рассылка</w:t>
      </w:r>
      <w:r w:rsidRPr="00D131B8">
        <w:rPr>
          <w:sz w:val="18"/>
          <w:szCs w:val="18"/>
        </w:rPr>
        <w:t>:</w:t>
      </w:r>
    </w:p>
    <w:p w:rsidR="009D1D5E" w:rsidRPr="00D131B8" w:rsidRDefault="009D1D5E" w:rsidP="00CA194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Администрациям Государств – Членов МСЭ и Членам Сектора радиосвязи, участ</w:t>
      </w:r>
      <w:r w:rsidR="00C22584" w:rsidRPr="00D131B8">
        <w:rPr>
          <w:sz w:val="18"/>
          <w:szCs w:val="18"/>
        </w:rPr>
        <w:t>вующим</w:t>
      </w:r>
      <w:r w:rsidRPr="00D131B8">
        <w:rPr>
          <w:sz w:val="18"/>
          <w:szCs w:val="18"/>
        </w:rPr>
        <w:t xml:space="preserve"> в работе 5</w:t>
      </w:r>
      <w:r w:rsidRPr="00D131B8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Ассоциированным членам МСЭ-R, участ</w:t>
      </w:r>
      <w:r w:rsidR="00C22584" w:rsidRPr="00D131B8">
        <w:rPr>
          <w:sz w:val="18"/>
          <w:szCs w:val="18"/>
        </w:rPr>
        <w:t>вующим</w:t>
      </w:r>
      <w:r w:rsidRPr="00D131B8">
        <w:rPr>
          <w:sz w:val="18"/>
          <w:szCs w:val="18"/>
        </w:rPr>
        <w:t xml:space="preserve"> в работе 5-й Исследовательской комиссии по радиосвязи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−</w:t>
      </w:r>
      <w:r w:rsidRPr="00D131B8">
        <w:rPr>
          <w:sz w:val="18"/>
          <w:szCs w:val="18"/>
        </w:rPr>
        <w:tab/>
        <w:t>Академическим организациям − Членам МСЭ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Членам Радиорегламентарного комитета</w:t>
      </w:r>
    </w:p>
    <w:p w:rsidR="009D1D5E" w:rsidRPr="00D131B8" w:rsidRDefault="009D1D5E" w:rsidP="006E1835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</w:rPr>
      </w:pPr>
      <w:r w:rsidRPr="00D131B8">
        <w:rPr>
          <w:sz w:val="18"/>
          <w:szCs w:val="18"/>
        </w:rPr>
        <w:lastRenderedPageBreak/>
        <w:t>–</w:t>
      </w:r>
      <w:r w:rsidRPr="00D131B8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131B8">
        <w:rPr>
          <w:sz w:val="16"/>
          <w:szCs w:val="16"/>
        </w:rPr>
        <w:br w:type="page"/>
      </w:r>
    </w:p>
    <w:p w:rsidR="009D1D5E" w:rsidRPr="00D131B8" w:rsidRDefault="009D1D5E" w:rsidP="00CA194B">
      <w:pPr>
        <w:pStyle w:val="AnnexNo"/>
      </w:pPr>
      <w:r w:rsidRPr="00D131B8">
        <w:lastRenderedPageBreak/>
        <w:t>Приложение 1</w:t>
      </w:r>
    </w:p>
    <w:p w:rsidR="009D1D5E" w:rsidRPr="00D131B8" w:rsidRDefault="009D1D5E" w:rsidP="00CA194B">
      <w:pPr>
        <w:pStyle w:val="Annextitle"/>
      </w:pPr>
      <w:r w:rsidRPr="00D131B8">
        <w:t>Проект повестки дня собрания 5-й Исследовательской комиссии по радиосвязи</w:t>
      </w:r>
    </w:p>
    <w:p w:rsidR="009D1D5E" w:rsidRPr="00D131B8" w:rsidRDefault="009D1D5E" w:rsidP="00E30E3D">
      <w:pPr>
        <w:jc w:val="center"/>
      </w:pPr>
      <w:r w:rsidRPr="00D131B8">
        <w:t xml:space="preserve">(Женева, </w:t>
      </w:r>
      <w:r w:rsidR="00E30E3D" w:rsidRPr="00D131B8">
        <w:t>19</w:t>
      </w:r>
      <w:r w:rsidRPr="00D131B8">
        <w:t xml:space="preserve"> ноября 201</w:t>
      </w:r>
      <w:r w:rsidR="00E30E3D" w:rsidRPr="00D131B8">
        <w:t>8</w:t>
      </w:r>
      <w:r w:rsidR="00C22584" w:rsidRPr="00D131B8">
        <w:t> </w:t>
      </w:r>
      <w:r w:rsidRPr="00D131B8">
        <w:t>г.)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1</w:t>
      </w:r>
      <w:r w:rsidRPr="00D131B8">
        <w:rPr>
          <w:b/>
        </w:rPr>
        <w:tab/>
      </w:r>
      <w:r w:rsidRPr="00D131B8">
        <w:t>Открытие собрания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2</w:t>
      </w:r>
      <w:r w:rsidRPr="00D131B8">
        <w:rPr>
          <w:b/>
        </w:rPr>
        <w:tab/>
      </w:r>
      <w:r w:rsidRPr="00D131B8">
        <w:t>Утверждение повестки дня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3</w:t>
      </w:r>
      <w:r w:rsidRPr="00D131B8">
        <w:tab/>
        <w:t>Назначение Докладчика</w:t>
      </w:r>
    </w:p>
    <w:p w:rsidR="009D1D5E" w:rsidRPr="00D131B8" w:rsidRDefault="009D1D5E" w:rsidP="00E30E3D">
      <w:pPr>
        <w:pStyle w:val="enumlev1"/>
      </w:pPr>
      <w:r w:rsidRPr="00D131B8">
        <w:rPr>
          <w:b/>
        </w:rPr>
        <w:t>4</w:t>
      </w:r>
      <w:r w:rsidRPr="00D131B8">
        <w:rPr>
          <w:b/>
        </w:rPr>
        <w:tab/>
      </w:r>
      <w:r w:rsidRPr="00D131B8">
        <w:rPr>
          <w:bCs/>
        </w:rPr>
        <w:t>Краткий</w:t>
      </w:r>
      <w:r w:rsidRPr="00D131B8">
        <w:t xml:space="preserve"> отчет о работе предыдущего собрания (Документ </w:t>
      </w:r>
      <w:hyperlink r:id="rId17" w:history="1">
        <w:r w:rsidR="00E30E3D" w:rsidRPr="00D131B8">
          <w:rPr>
            <w:rStyle w:val="Hyperlink"/>
            <w:szCs w:val="24"/>
          </w:rPr>
          <w:t>5/90</w:t>
        </w:r>
      </w:hyperlink>
      <w:r w:rsidRPr="00D131B8">
        <w:t>)</w:t>
      </w:r>
    </w:p>
    <w:p w:rsidR="009D1D5E" w:rsidRPr="00D131B8" w:rsidRDefault="009D1D5E" w:rsidP="00CA194B">
      <w:pPr>
        <w:pStyle w:val="enumlev1"/>
        <w:rPr>
          <w:szCs w:val="24"/>
          <w:lang w:eastAsia="ja-JP"/>
        </w:rPr>
      </w:pPr>
      <w:r w:rsidRPr="00D131B8">
        <w:rPr>
          <w:b/>
          <w:bCs/>
          <w:szCs w:val="24"/>
          <w:lang w:eastAsia="ja-JP"/>
        </w:rPr>
        <w:t>5</w:t>
      </w:r>
      <w:r w:rsidRPr="00D131B8">
        <w:rPr>
          <w:b/>
          <w:bCs/>
          <w:szCs w:val="24"/>
          <w:lang w:eastAsia="ja-JP"/>
        </w:rPr>
        <w:tab/>
      </w:r>
      <w:r w:rsidRPr="00D131B8">
        <w:t>Рассмотрение результатов работы Рабочих групп</w:t>
      </w:r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5.1</w:t>
      </w:r>
      <w:r w:rsidRPr="00D131B8">
        <w:tab/>
        <w:t>Рабочая группа 5A</w:t>
      </w:r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5.2</w:t>
      </w:r>
      <w:r w:rsidRPr="00D131B8">
        <w:tab/>
        <w:t>Рабочая группа 5B</w:t>
      </w:r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5.3</w:t>
      </w:r>
      <w:r w:rsidRPr="00D131B8">
        <w:tab/>
        <w:t>Рабочая группа 5C</w:t>
      </w:r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5.4</w:t>
      </w:r>
      <w:r w:rsidRPr="00D131B8">
        <w:tab/>
        <w:t>Рабочая группа 5D</w:t>
      </w:r>
    </w:p>
    <w:p w:rsidR="009D1D5E" w:rsidRPr="00D131B8" w:rsidRDefault="009D1D5E" w:rsidP="00CA194B">
      <w:pPr>
        <w:pStyle w:val="enumlev2"/>
        <w:rPr>
          <w:lang w:eastAsia="ja-JP"/>
        </w:rPr>
      </w:pPr>
      <w:r w:rsidRPr="00D131B8">
        <w:rPr>
          <w:b/>
          <w:bCs/>
        </w:rPr>
        <w:t>5.5</w:t>
      </w:r>
      <w:r w:rsidRPr="00D131B8">
        <w:tab/>
      </w:r>
      <w:r w:rsidRPr="00D131B8">
        <w:rPr>
          <w:lang w:eastAsia="ja-JP"/>
        </w:rPr>
        <w:t>Целевая группа 5/1</w:t>
      </w:r>
    </w:p>
    <w:p w:rsidR="009D1D5E" w:rsidRPr="00D131B8" w:rsidRDefault="009D1D5E" w:rsidP="00CA194B">
      <w:pPr>
        <w:pStyle w:val="enumlev1"/>
        <w:rPr>
          <w:szCs w:val="24"/>
          <w:u w:val="single"/>
        </w:rPr>
      </w:pPr>
      <w:r w:rsidRPr="00D131B8">
        <w:rPr>
          <w:b/>
          <w:bCs/>
          <w:szCs w:val="24"/>
          <w:lang w:eastAsia="ja-JP"/>
        </w:rPr>
        <w:t>6</w:t>
      </w:r>
      <w:r w:rsidRPr="00D131B8">
        <w:rPr>
          <w:b/>
          <w:bCs/>
          <w:szCs w:val="24"/>
        </w:rPr>
        <w:tab/>
      </w:r>
      <w:r w:rsidRPr="00D131B8">
        <w:t>Рассмотрение других вкладов (если таковые имеются)</w:t>
      </w:r>
    </w:p>
    <w:p w:rsidR="009D1D5E" w:rsidRPr="00D131B8" w:rsidRDefault="009D1D5E" w:rsidP="00CA194B">
      <w:pPr>
        <w:pStyle w:val="enumlev1"/>
        <w:rPr>
          <w:b/>
          <w:bCs/>
        </w:rPr>
      </w:pPr>
      <w:r w:rsidRPr="00D131B8">
        <w:rPr>
          <w:b/>
          <w:bCs/>
        </w:rPr>
        <w:t>7</w:t>
      </w:r>
      <w:r w:rsidRPr="00D131B8">
        <w:rPr>
          <w:b/>
          <w:bCs/>
        </w:rPr>
        <w:tab/>
      </w:r>
      <w:r w:rsidRPr="00D131B8">
        <w:t>Взаимодействие с другими исследовательскими комиссиями, ККТ и международными организациями</w:t>
      </w:r>
    </w:p>
    <w:p w:rsidR="009D1D5E" w:rsidRPr="00D131B8" w:rsidRDefault="009D1D5E" w:rsidP="00CA194B">
      <w:pPr>
        <w:pStyle w:val="enumlev1"/>
        <w:rPr>
          <w:b/>
          <w:bCs/>
        </w:rPr>
      </w:pPr>
      <w:r w:rsidRPr="00D131B8">
        <w:rPr>
          <w:b/>
          <w:bCs/>
        </w:rPr>
        <w:t>8</w:t>
      </w:r>
      <w:r w:rsidRPr="00D131B8">
        <w:rPr>
          <w:b/>
          <w:bCs/>
        </w:rPr>
        <w:tab/>
      </w:r>
      <w:r w:rsidRPr="00D131B8">
        <w:t>Расписание собраний</w:t>
      </w:r>
    </w:p>
    <w:p w:rsidR="009D1D5E" w:rsidRPr="00D131B8" w:rsidRDefault="009D1D5E" w:rsidP="00CA194B">
      <w:pPr>
        <w:pStyle w:val="enumlev1"/>
      </w:pPr>
      <w:r w:rsidRPr="00D131B8">
        <w:rPr>
          <w:b/>
          <w:bCs/>
        </w:rPr>
        <w:t>9</w:t>
      </w:r>
      <w:r w:rsidRPr="00D131B8">
        <w:rPr>
          <w:b/>
          <w:bCs/>
        </w:rPr>
        <w:tab/>
      </w:r>
      <w:r w:rsidRPr="00D131B8">
        <w:t>Любые другие вопросы</w:t>
      </w:r>
    </w:p>
    <w:p w:rsidR="009D1D5E" w:rsidRPr="00D131B8" w:rsidRDefault="009D1D5E" w:rsidP="00CA194B">
      <w:pPr>
        <w:tabs>
          <w:tab w:val="clear" w:pos="1134"/>
          <w:tab w:val="clear" w:pos="1871"/>
          <w:tab w:val="clear" w:pos="2268"/>
          <w:tab w:val="center" w:pos="7655"/>
        </w:tabs>
        <w:spacing w:before="1080"/>
      </w:pPr>
      <w:r w:rsidRPr="00D131B8">
        <w:tab/>
        <w:t>М. ФЕНТОН</w:t>
      </w:r>
      <w:r w:rsidRPr="00D131B8">
        <w:br/>
      </w:r>
      <w:r w:rsidRPr="00D131B8">
        <w:tab/>
        <w:t xml:space="preserve">Председатель 5-й Исследовательской </w:t>
      </w:r>
      <w:r w:rsidRPr="00D131B8">
        <w:br/>
      </w:r>
      <w:r w:rsidRPr="00D131B8">
        <w:tab/>
        <w:t>комиссии по радиосвязи</w:t>
      </w:r>
    </w:p>
    <w:p w:rsidR="009D1D5E" w:rsidRPr="00D131B8" w:rsidRDefault="009D1D5E" w:rsidP="00CA194B">
      <w:r w:rsidRPr="00D131B8">
        <w:br w:type="page"/>
      </w:r>
    </w:p>
    <w:p w:rsidR="009D1D5E" w:rsidRPr="00D131B8" w:rsidRDefault="009D1D5E" w:rsidP="00CA194B">
      <w:pPr>
        <w:pStyle w:val="AnnexNo"/>
        <w:pageBreakBefore/>
      </w:pPr>
      <w:r w:rsidRPr="00D131B8">
        <w:lastRenderedPageBreak/>
        <w:t>Приложение 2</w:t>
      </w:r>
    </w:p>
    <w:p w:rsidR="009D1D5E" w:rsidRPr="00D131B8" w:rsidRDefault="009D1D5E" w:rsidP="00CA194B">
      <w:pPr>
        <w:pStyle w:val="Annextitle"/>
      </w:pPr>
      <w:r w:rsidRPr="00D131B8">
        <w:t xml:space="preserve">Названия и резюме проектов Рекомендаций, </w:t>
      </w:r>
      <w:r w:rsidR="00064EFC" w:rsidRPr="00D131B8">
        <w:br/>
      </w:r>
      <w:r w:rsidRPr="00D131B8">
        <w:t>предлагаемых для одобрения на собрании 5-й Исследовательской комиссии</w:t>
      </w:r>
    </w:p>
    <w:p w:rsidR="008F2E98" w:rsidRPr="00D131B8" w:rsidRDefault="008F2E98" w:rsidP="00D131B8">
      <w:pPr>
        <w:tabs>
          <w:tab w:val="right" w:pos="9639"/>
        </w:tabs>
        <w:spacing w:before="360"/>
      </w:pPr>
      <w:r w:rsidRPr="00D131B8">
        <w:rPr>
          <w:u w:val="single"/>
        </w:rPr>
        <w:t>Проект пересмотра Рекомендации МСЭ-R F.1105-3</w:t>
      </w:r>
      <w:r w:rsidRPr="00D131B8">
        <w:tab/>
        <w:t>Док. 5/93</w:t>
      </w:r>
    </w:p>
    <w:p w:rsidR="008F2E98" w:rsidRPr="00D131B8" w:rsidRDefault="008F2E98" w:rsidP="008F2E98">
      <w:pPr>
        <w:pStyle w:val="Rectitle"/>
      </w:pPr>
      <w:r w:rsidRPr="00D131B8">
        <w:t>Фиксированные беспроводные системы для смягчения последствий бедствий и осуществления операций по оказанию помощи</w:t>
      </w:r>
    </w:p>
    <w:p w:rsidR="0083179D" w:rsidRPr="00D131B8" w:rsidRDefault="00737729" w:rsidP="00D131B8">
      <w:pPr>
        <w:pStyle w:val="Normalaftertitle0"/>
        <w:jc w:val="both"/>
        <w:rPr>
          <w:rFonts w:eastAsia="MS Mincho"/>
          <w:lang w:eastAsia="ja-JP"/>
        </w:rPr>
      </w:pPr>
      <w:r w:rsidRPr="00D131B8">
        <w:rPr>
          <w:rFonts w:eastAsia="MS Mincho"/>
          <w:lang w:eastAsia="ja-JP"/>
        </w:rPr>
        <w:t>В Приложени</w:t>
      </w:r>
      <w:r w:rsidR="00D131B8" w:rsidRPr="00D131B8">
        <w:rPr>
          <w:rFonts w:eastAsia="MS Mincho"/>
          <w:lang w:eastAsia="ja-JP"/>
        </w:rPr>
        <w:t>е</w:t>
      </w:r>
      <w:r w:rsidRPr="00D131B8">
        <w:rPr>
          <w:rFonts w:eastAsia="MS Mincho"/>
          <w:lang w:eastAsia="ja-JP"/>
        </w:rPr>
        <w:t xml:space="preserve"> 1</w:t>
      </w:r>
      <w:r w:rsidR="00D131B8" w:rsidRPr="00D131B8">
        <w:rPr>
          <w:rFonts w:eastAsia="MS Mincho"/>
          <w:lang w:eastAsia="ja-JP"/>
        </w:rPr>
        <w:t xml:space="preserve"> добавлены</w:t>
      </w:r>
      <w:r w:rsidRPr="00D131B8">
        <w:rPr>
          <w:rFonts w:eastAsia="MS Mincho"/>
          <w:lang w:eastAsia="ja-JP"/>
        </w:rPr>
        <w:t xml:space="preserve"> о</w:t>
      </w:r>
      <w:r w:rsidR="0083179D" w:rsidRPr="00D131B8">
        <w:rPr>
          <w:rFonts w:eastAsia="MS Mincho"/>
          <w:lang w:eastAsia="ja-JP"/>
        </w:rPr>
        <w:t>писани</w:t>
      </w:r>
      <w:r w:rsidR="00512375" w:rsidRPr="00D131B8">
        <w:rPr>
          <w:rFonts w:eastAsia="MS Mincho"/>
          <w:lang w:eastAsia="ja-JP"/>
        </w:rPr>
        <w:t>я</w:t>
      </w:r>
      <w:r w:rsidR="0083179D" w:rsidRPr="00D131B8">
        <w:rPr>
          <w:rFonts w:eastAsia="MS Mincho"/>
          <w:lang w:eastAsia="ja-JP"/>
        </w:rPr>
        <w:t xml:space="preserve"> систем типа С с адаптивной модуляцией и </w:t>
      </w:r>
      <w:r w:rsidR="00D131B8" w:rsidRPr="00D131B8">
        <w:rPr>
          <w:rFonts w:eastAsia="MS Mincho"/>
          <w:lang w:eastAsia="ja-JP"/>
        </w:rPr>
        <w:t>регулированием</w:t>
      </w:r>
      <w:r w:rsidR="0083179D" w:rsidRPr="00D131B8">
        <w:rPr>
          <w:rFonts w:eastAsia="MS Mincho"/>
          <w:lang w:eastAsia="ja-JP"/>
        </w:rPr>
        <w:t xml:space="preserve"> мощности передачи, </w:t>
      </w:r>
      <w:r w:rsidR="00D131B8" w:rsidRPr="00D131B8">
        <w:rPr>
          <w:rFonts w:eastAsia="MS Mincho"/>
          <w:lang w:eastAsia="ja-JP"/>
        </w:rPr>
        <w:t xml:space="preserve">которые </w:t>
      </w:r>
      <w:r w:rsidR="0083179D" w:rsidRPr="00D131B8">
        <w:rPr>
          <w:rFonts w:eastAsia="MS Mincho"/>
          <w:lang w:eastAsia="ja-JP"/>
        </w:rPr>
        <w:t xml:space="preserve">также </w:t>
      </w:r>
      <w:r w:rsidRPr="00D131B8">
        <w:rPr>
          <w:rFonts w:eastAsia="MS Mincho"/>
          <w:lang w:eastAsia="ja-JP"/>
        </w:rPr>
        <w:t xml:space="preserve">способны </w:t>
      </w:r>
      <w:r w:rsidR="0083179D" w:rsidRPr="00D131B8">
        <w:rPr>
          <w:rFonts w:eastAsia="MS Mincho"/>
          <w:lang w:eastAsia="ja-JP"/>
        </w:rPr>
        <w:t>выбирать соответствующий частотный канал с исполь</w:t>
      </w:r>
      <w:r w:rsidRPr="00D131B8">
        <w:rPr>
          <w:rFonts w:eastAsia="MS Mincho"/>
          <w:lang w:eastAsia="ja-JP"/>
        </w:rPr>
        <w:t>зованием конкретных механизмов;</w:t>
      </w:r>
      <w:r w:rsidR="0083179D" w:rsidRPr="00D131B8">
        <w:rPr>
          <w:rFonts w:eastAsia="MS Mincho"/>
          <w:lang w:eastAsia="ja-JP"/>
        </w:rPr>
        <w:t xml:space="preserve"> </w:t>
      </w:r>
      <w:r w:rsidR="006A2E5D" w:rsidRPr="00D131B8">
        <w:rPr>
          <w:rFonts w:eastAsia="MS Mincho"/>
          <w:lang w:eastAsia="ja-JP"/>
        </w:rPr>
        <w:t>помимо этого,</w:t>
      </w:r>
      <w:r w:rsidR="0083179D" w:rsidRPr="00D131B8">
        <w:rPr>
          <w:rFonts w:eastAsia="MS Mincho"/>
          <w:lang w:eastAsia="ja-JP"/>
        </w:rPr>
        <w:t xml:space="preserve"> </w:t>
      </w:r>
      <w:r w:rsidRPr="00D131B8">
        <w:rPr>
          <w:rFonts w:eastAsia="MS Mincho"/>
          <w:lang w:eastAsia="ja-JP"/>
        </w:rPr>
        <w:t>в Приложени</w:t>
      </w:r>
      <w:r w:rsidR="00D131B8" w:rsidRPr="00D131B8">
        <w:rPr>
          <w:rFonts w:eastAsia="MS Mincho"/>
          <w:lang w:eastAsia="ja-JP"/>
        </w:rPr>
        <w:t>е</w:t>
      </w:r>
      <w:r w:rsidRPr="00D131B8">
        <w:rPr>
          <w:rFonts w:eastAsia="MS Mincho"/>
          <w:lang w:eastAsia="ja-JP"/>
        </w:rPr>
        <w:t xml:space="preserve"> 1 </w:t>
      </w:r>
      <w:r w:rsidR="00D131B8" w:rsidRPr="00D131B8">
        <w:rPr>
          <w:rFonts w:eastAsia="MS Mincho"/>
          <w:lang w:eastAsia="ja-JP"/>
        </w:rPr>
        <w:t>добавлен</w:t>
      </w:r>
      <w:r w:rsidRPr="00D131B8">
        <w:rPr>
          <w:rFonts w:eastAsia="MS Mincho"/>
          <w:lang w:eastAsia="ja-JP"/>
        </w:rPr>
        <w:t xml:space="preserve"> один пример</w:t>
      </w:r>
      <w:r w:rsidR="0083179D" w:rsidRPr="00D131B8">
        <w:rPr>
          <w:rFonts w:eastAsia="MS Mincho"/>
          <w:lang w:eastAsia="ja-JP"/>
        </w:rPr>
        <w:t>.</w:t>
      </w:r>
    </w:p>
    <w:p w:rsidR="008F2E98" w:rsidRPr="00D131B8" w:rsidRDefault="008F2E98" w:rsidP="00D131B8">
      <w:pPr>
        <w:tabs>
          <w:tab w:val="right" w:pos="9639"/>
        </w:tabs>
        <w:overflowPunct/>
        <w:autoSpaceDE/>
        <w:adjustRightInd/>
        <w:spacing w:before="360"/>
        <w:rPr>
          <w:sz w:val="24"/>
          <w:szCs w:val="24"/>
        </w:rPr>
      </w:pPr>
      <w:r w:rsidRPr="00D131B8">
        <w:rPr>
          <w:u w:val="single"/>
        </w:rPr>
        <w:t>Проект новой Рекомендации МСЭ</w:t>
      </w:r>
      <w:r w:rsidRPr="00D131B8">
        <w:rPr>
          <w:szCs w:val="24"/>
          <w:u w:val="single"/>
        </w:rPr>
        <w:t>-R F.[HF-SHARE]</w:t>
      </w:r>
      <w:r w:rsidRPr="00D131B8">
        <w:rPr>
          <w:szCs w:val="24"/>
        </w:rPr>
        <w:tab/>
        <w:t>Док. 5/94</w:t>
      </w:r>
    </w:p>
    <w:p w:rsidR="008F2E98" w:rsidRPr="00D131B8" w:rsidRDefault="001D3190" w:rsidP="004B1D5D">
      <w:pPr>
        <w:pStyle w:val="Rectitle"/>
        <w:rPr>
          <w:lang w:eastAsia="ja-JP"/>
        </w:rPr>
      </w:pPr>
      <w:r w:rsidRPr="00D131B8">
        <w:t>Руководство по техническим параметрам и методикам проведения исследований совместного использования частот и совместимости, относящихся к фиксированной и сухопутной подвижной служб</w:t>
      </w:r>
      <w:r w:rsidR="004B1D5D" w:rsidRPr="00D131B8">
        <w:t>ам</w:t>
      </w:r>
      <w:r w:rsidRPr="00D131B8">
        <w:rPr>
          <w:bCs/>
          <w:sz w:val="28"/>
          <w:szCs w:val="28"/>
        </w:rPr>
        <w:t xml:space="preserve"> </w:t>
      </w:r>
      <w:r w:rsidR="005D2DEB" w:rsidRPr="00D131B8">
        <w:t>в частотном диапазоне</w:t>
      </w:r>
      <w:r w:rsidR="005D2DEB" w:rsidRPr="00D131B8">
        <w:rPr>
          <w:bCs/>
        </w:rPr>
        <w:t xml:space="preserve"> </w:t>
      </w:r>
      <w:r w:rsidRPr="00D131B8">
        <w:rPr>
          <w:bCs/>
        </w:rPr>
        <w:t>1,5−30 МГц</w:t>
      </w:r>
    </w:p>
    <w:p w:rsidR="00E30E3D" w:rsidRPr="00D131B8" w:rsidRDefault="001D3190" w:rsidP="00D131B8">
      <w:pPr>
        <w:pStyle w:val="Normalaftertitle0"/>
        <w:jc w:val="both"/>
        <w:rPr>
          <w:szCs w:val="22"/>
        </w:rPr>
      </w:pPr>
      <w:r w:rsidRPr="00D131B8">
        <w:t xml:space="preserve">В настоящей Рекомендации содержится руководство по выполнению исследований совместного использования частот, относящихся к системам фиксированной и сухопутной подвижной служб </w:t>
      </w:r>
      <w:r w:rsidR="00512375" w:rsidRPr="00D131B8">
        <w:t>в частотном диапазоне</w:t>
      </w:r>
      <w:r w:rsidRPr="00D131B8">
        <w:t xml:space="preserve"> 1,5−30 МГц. В ней установлен список параметров, которые характеризуют систему, для содействия проведению исследования совместного использования частот, предоставляется информация о методиках, которые могут использоваться для анализа совместного использования частот, связанного с </w:t>
      </w:r>
      <w:r w:rsidR="003D66C2" w:rsidRPr="00D131B8">
        <w:t xml:space="preserve">фиксированной и сухопутной подвижной службами </w:t>
      </w:r>
      <w:r w:rsidR="00512375" w:rsidRPr="00D131B8">
        <w:t>в этом частотном диапазоне</w:t>
      </w:r>
      <w:r w:rsidRPr="00D131B8">
        <w:t>. В Рекомендации содержится также список соответствующих Рекомендаций, Отчетов и Справочников МСЭ-R.</w:t>
      </w:r>
    </w:p>
    <w:p w:rsidR="003D66C2" w:rsidRPr="00D131B8" w:rsidRDefault="003D66C2" w:rsidP="00D131B8">
      <w:pPr>
        <w:tabs>
          <w:tab w:val="right" w:pos="9639"/>
        </w:tabs>
        <w:overflowPunct/>
        <w:autoSpaceDE/>
        <w:adjustRightInd/>
        <w:spacing w:before="360"/>
        <w:rPr>
          <w:sz w:val="24"/>
          <w:szCs w:val="24"/>
        </w:rPr>
      </w:pPr>
      <w:r w:rsidRPr="00D131B8">
        <w:rPr>
          <w:u w:val="single"/>
        </w:rPr>
        <w:t>Проект новой Рекомендации</w:t>
      </w:r>
      <w:r w:rsidRPr="00D131B8">
        <w:rPr>
          <w:szCs w:val="24"/>
          <w:u w:val="single"/>
        </w:rPr>
        <w:t>/</w:t>
      </w:r>
      <w:r w:rsidR="003C5058" w:rsidRPr="00D131B8">
        <w:rPr>
          <w:szCs w:val="24"/>
          <w:u w:val="single"/>
        </w:rPr>
        <w:t xml:space="preserve">нового </w:t>
      </w:r>
      <w:r w:rsidRPr="00D131B8">
        <w:rPr>
          <w:szCs w:val="24"/>
          <w:u w:val="single"/>
        </w:rPr>
        <w:t>Отчета МСЭ-R M.[IMT.1518 MHz COEXISTANCE]</w:t>
      </w:r>
      <w:r w:rsidRPr="00D131B8">
        <w:rPr>
          <w:szCs w:val="24"/>
        </w:rPr>
        <w:tab/>
        <w:t>Док. 5/XX</w:t>
      </w:r>
    </w:p>
    <w:p w:rsidR="003D66C2" w:rsidRPr="00D131B8" w:rsidRDefault="001756B4" w:rsidP="001756B4">
      <w:pPr>
        <w:pStyle w:val="Rectitle"/>
        <w:rPr>
          <w:rFonts w:cstheme="majorBidi"/>
          <w:szCs w:val="22"/>
          <w:u w:val="single"/>
        </w:rPr>
      </w:pPr>
      <w:r w:rsidRPr="00D131B8">
        <w:lastRenderedPageBreak/>
        <w:t xml:space="preserve">Условия сосуществования между IMT и воздушной подвижной службой в полосе частот 4800−4990 МГц </w:t>
      </w:r>
    </w:p>
    <w:p w:rsidR="00A66E23" w:rsidRPr="00D131B8" w:rsidRDefault="00A66E23" w:rsidP="00D131B8">
      <w:pPr>
        <w:pStyle w:val="Normalaftertitle0"/>
        <w:jc w:val="both"/>
        <w:rPr>
          <w:rFonts w:eastAsia="SimSun"/>
          <w:lang w:eastAsia="zh-CN"/>
        </w:rPr>
      </w:pPr>
      <w:r w:rsidRPr="00D131B8">
        <w:rPr>
          <w:rFonts w:eastAsia="SimSun"/>
          <w:lang w:eastAsia="zh-CN"/>
        </w:rPr>
        <w:t>Во всех трех Районах МСЭ полоса частот 4800−4990 МГц на первичной основе распределена подвижной службе (ПС), включая воздушную подвижную службу (ВПС</w:t>
      </w:r>
      <w:r w:rsidR="005E72CF" w:rsidRPr="00D131B8">
        <w:rPr>
          <w:rFonts w:eastAsia="SimSun"/>
          <w:lang w:eastAsia="zh-CN"/>
        </w:rPr>
        <w:t xml:space="preserve">). В этой полосе </w:t>
      </w:r>
      <w:r w:rsidRPr="00D131B8">
        <w:rPr>
          <w:rFonts w:eastAsia="SimSun"/>
          <w:lang w:eastAsia="zh-CN"/>
        </w:rPr>
        <w:t xml:space="preserve">частот существуют системы и сети </w:t>
      </w:r>
      <w:r w:rsidR="005A5820" w:rsidRPr="00D131B8">
        <w:rPr>
          <w:rFonts w:eastAsia="SimSun"/>
          <w:lang w:eastAsia="zh-CN"/>
        </w:rPr>
        <w:t>для применений</w:t>
      </w:r>
      <w:r w:rsidRPr="00D131B8">
        <w:rPr>
          <w:rFonts w:eastAsia="SimSun"/>
          <w:lang w:eastAsia="zh-CN"/>
        </w:rPr>
        <w:t xml:space="preserve"> </w:t>
      </w:r>
      <w:r w:rsidR="005A5820" w:rsidRPr="00D131B8">
        <w:rPr>
          <w:rFonts w:eastAsia="SimSun"/>
          <w:lang w:eastAsia="zh-CN"/>
        </w:rPr>
        <w:t>ВПС</w:t>
      </w:r>
      <w:r w:rsidRPr="00D131B8">
        <w:rPr>
          <w:rFonts w:eastAsia="SimSun"/>
          <w:lang w:eastAsia="zh-CN"/>
        </w:rPr>
        <w:t>. На ВКР-15 полоса 4800</w:t>
      </w:r>
      <w:r w:rsidR="00B204B8" w:rsidRPr="00D131B8">
        <w:rPr>
          <w:rFonts w:eastAsia="SimSun"/>
          <w:lang w:eastAsia="zh-CN"/>
        </w:rPr>
        <w:t>−</w:t>
      </w:r>
      <w:r w:rsidRPr="00D131B8">
        <w:rPr>
          <w:rFonts w:eastAsia="SimSun"/>
          <w:lang w:eastAsia="zh-CN"/>
        </w:rPr>
        <w:t xml:space="preserve">4990 МГц была </w:t>
      </w:r>
      <w:r w:rsidR="00B204B8" w:rsidRPr="00D131B8">
        <w:rPr>
          <w:rFonts w:eastAsia="SimSun"/>
          <w:lang w:eastAsia="zh-CN"/>
        </w:rPr>
        <w:t>определена</w:t>
      </w:r>
      <w:r w:rsidRPr="00D131B8">
        <w:rPr>
          <w:rFonts w:eastAsia="SimSun"/>
          <w:lang w:eastAsia="zh-CN"/>
        </w:rPr>
        <w:t xml:space="preserve"> для IMT в </w:t>
      </w:r>
      <w:r w:rsidR="00B204CF" w:rsidRPr="00D131B8">
        <w:rPr>
          <w:rFonts w:eastAsia="SimSun"/>
          <w:lang w:eastAsia="zh-CN"/>
        </w:rPr>
        <w:t>РР</w:t>
      </w:r>
      <w:r w:rsidR="00B32168" w:rsidRPr="00D131B8">
        <w:rPr>
          <w:rFonts w:eastAsia="SimSun"/>
          <w:lang w:eastAsia="zh-CN"/>
        </w:rPr>
        <w:t xml:space="preserve"> в одной стране Района 2</w:t>
      </w:r>
      <w:r w:rsidRPr="00D131B8">
        <w:rPr>
          <w:rFonts w:eastAsia="SimSun"/>
          <w:lang w:eastAsia="zh-CN"/>
        </w:rPr>
        <w:t xml:space="preserve"> в соответствии с п. </w:t>
      </w:r>
      <w:r w:rsidRPr="00D131B8">
        <w:rPr>
          <w:rFonts w:eastAsia="SimSun"/>
          <w:b/>
          <w:bCs/>
          <w:lang w:eastAsia="zh-CN"/>
        </w:rPr>
        <w:t>5.441A</w:t>
      </w:r>
      <w:r w:rsidRPr="00D131B8">
        <w:rPr>
          <w:rFonts w:eastAsia="SimSun"/>
          <w:lang w:eastAsia="zh-CN"/>
        </w:rPr>
        <w:t xml:space="preserve"> РР и </w:t>
      </w:r>
      <w:r w:rsidR="00B32168" w:rsidRPr="00D131B8">
        <w:rPr>
          <w:rFonts w:eastAsia="SimSun"/>
          <w:lang w:eastAsia="zh-CN"/>
        </w:rPr>
        <w:t>в трех странах</w:t>
      </w:r>
      <w:r w:rsidRPr="00D131B8">
        <w:rPr>
          <w:rFonts w:eastAsia="SimSun"/>
          <w:lang w:eastAsia="zh-CN"/>
        </w:rPr>
        <w:t xml:space="preserve"> Район</w:t>
      </w:r>
      <w:r w:rsidR="00B32168" w:rsidRPr="00D131B8">
        <w:rPr>
          <w:rFonts w:eastAsia="SimSun"/>
          <w:lang w:eastAsia="zh-CN"/>
        </w:rPr>
        <w:t>а 3</w:t>
      </w:r>
      <w:r w:rsidRPr="00D131B8">
        <w:rPr>
          <w:rFonts w:eastAsia="SimSun"/>
          <w:lang w:eastAsia="zh-CN"/>
        </w:rPr>
        <w:t xml:space="preserve"> в соответствии с п. </w:t>
      </w:r>
      <w:r w:rsidRPr="00D131B8">
        <w:rPr>
          <w:rFonts w:eastAsia="SimSun"/>
          <w:b/>
          <w:bCs/>
          <w:lang w:eastAsia="zh-CN"/>
        </w:rPr>
        <w:t>5.441B</w:t>
      </w:r>
      <w:r w:rsidRPr="00D131B8">
        <w:rPr>
          <w:rFonts w:eastAsia="SimSun"/>
          <w:lang w:eastAsia="zh-CN"/>
        </w:rPr>
        <w:t xml:space="preserve"> РР.</w:t>
      </w:r>
    </w:p>
    <w:p w:rsidR="00081645" w:rsidRDefault="000816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5E51FB" w:rsidRPr="00D131B8" w:rsidRDefault="005E51FB" w:rsidP="00D131B8">
      <w:pPr>
        <w:tabs>
          <w:tab w:val="right" w:pos="9639"/>
        </w:tabs>
        <w:overflowPunct/>
        <w:autoSpaceDE/>
        <w:adjustRightInd/>
        <w:spacing w:before="360"/>
      </w:pPr>
      <w:r w:rsidRPr="00D131B8">
        <w:rPr>
          <w:u w:val="single"/>
        </w:rPr>
        <w:t>Проект пересмотра Рекомендации МСЭ-R M.1457-13</w:t>
      </w:r>
      <w:r w:rsidRPr="00D131B8">
        <w:tab/>
        <w:t>Док. 5/XX</w:t>
      </w:r>
    </w:p>
    <w:p w:rsidR="005E51FB" w:rsidRPr="00D131B8" w:rsidRDefault="005E51FB" w:rsidP="005E51FB">
      <w:pPr>
        <w:pStyle w:val="Rectitle"/>
      </w:pPr>
      <w:r w:rsidRPr="00D131B8">
        <w:t>Подробные спецификации наземных радиоинтерфейсов Международной подвижной электросвязи-2000 (IMT-2000)</w:t>
      </w:r>
    </w:p>
    <w:p w:rsidR="005E51FB" w:rsidRPr="00D131B8" w:rsidRDefault="005E51FB" w:rsidP="00D131B8">
      <w:pPr>
        <w:pStyle w:val="Normalaftertitle0"/>
        <w:jc w:val="both"/>
      </w:pPr>
      <w:r w:rsidRPr="00D131B8">
        <w:t xml:space="preserve">Это изменение к Рекомендации МСЭ-R M.1457 предназначено для того, чтобы обновить указанные технологии наземного сегмента IMT-2000. Основные изменения включают добавление расширенных возможностей для </w:t>
      </w:r>
      <w:r w:rsidR="00892745" w:rsidRPr="00D131B8">
        <w:t xml:space="preserve">технологий радиоинтерфейсов (RIT) </w:t>
      </w:r>
      <w:r w:rsidRPr="00D131B8">
        <w:t>CDMA DS,</w:t>
      </w:r>
      <w:r w:rsidRPr="00D131B8">
        <w:rPr>
          <w:lang w:eastAsia="ja-JP"/>
        </w:rPr>
        <w:t xml:space="preserve"> CDMA TDD и FDMA/TDMA </w:t>
      </w:r>
      <w:r w:rsidRPr="00D131B8">
        <w:t xml:space="preserve">и ряд вытекающих из этого изменений в описательных разделах текста, а также в глобальных базовых спецификациях. Были также обновлены транспозиционные ссылки в разделах </w:t>
      </w:r>
      <w:r w:rsidRPr="00D131B8">
        <w:rPr>
          <w:lang w:eastAsia="ja-JP"/>
        </w:rPr>
        <w:t>5.1, 5.3 и 5.5</w:t>
      </w:r>
      <w:r w:rsidRPr="00D131B8">
        <w:t xml:space="preserve">. </w:t>
      </w:r>
      <w:r w:rsidR="007A0165" w:rsidRPr="00D131B8">
        <w:t xml:space="preserve">Технологии радиоинтерфейсов </w:t>
      </w:r>
      <w:r w:rsidRPr="00D131B8">
        <w:t>CDMA MC, TDMA SC и OFDMA TDD WMAN не обновлял</w:t>
      </w:r>
      <w:r w:rsidR="000451D9" w:rsidRPr="00D131B8">
        <w:t>и</w:t>
      </w:r>
      <w:r w:rsidRPr="00D131B8">
        <w:t xml:space="preserve">сь, и разделы 5.2, 5.4 и 5.6 </w:t>
      </w:r>
      <w:r w:rsidR="00B13E57" w:rsidRPr="00D131B8">
        <w:t xml:space="preserve">пересмотра 13 </w:t>
      </w:r>
      <w:r w:rsidRPr="00D131B8">
        <w:t>остаются без изменений.</w:t>
      </w:r>
    </w:p>
    <w:p w:rsidR="005E51FB" w:rsidRPr="00D131B8" w:rsidRDefault="005E51FB" w:rsidP="00D131B8">
      <w:pPr>
        <w:jc w:val="both"/>
      </w:pPr>
      <w:r w:rsidRPr="00D131B8">
        <w:t>Начиная с данного обновления новая ОРС (TSDSI) добавлена к транспонирующим организациям по разделам 5.1.2 и 5.3.2. (CDMA DS и CDMA TDD).</w:t>
      </w:r>
    </w:p>
    <w:p w:rsidR="00D131B8" w:rsidRPr="00D131B8" w:rsidRDefault="004B5A10" w:rsidP="00D131B8">
      <w:pPr>
        <w:pStyle w:val="AnnexNotitle0"/>
        <w:pageBreakBefore/>
        <w:spacing w:before="600" w:after="240"/>
        <w:rPr>
          <w:rFonts w:asciiTheme="minorHAnsi" w:hAnsiTheme="minorHAnsi"/>
          <w:b w:val="0"/>
          <w:caps/>
          <w:sz w:val="26"/>
          <w:lang w:val="ru-RU"/>
        </w:rPr>
      </w:pPr>
      <w:r w:rsidRPr="00D131B8">
        <w:rPr>
          <w:rFonts w:asciiTheme="minorHAnsi" w:hAnsiTheme="minorHAnsi"/>
          <w:b w:val="0"/>
          <w:caps/>
          <w:sz w:val="26"/>
          <w:lang w:val="ru-RU"/>
        </w:rPr>
        <w:lastRenderedPageBreak/>
        <w:t>Приложение</w:t>
      </w:r>
      <w:r w:rsidR="00F96B6D" w:rsidRPr="00D131B8">
        <w:rPr>
          <w:rFonts w:asciiTheme="minorHAnsi" w:hAnsiTheme="minorHAnsi"/>
          <w:b w:val="0"/>
          <w:caps/>
          <w:sz w:val="26"/>
          <w:lang w:val="ru-RU"/>
        </w:rPr>
        <w:t xml:space="preserve"> 3</w:t>
      </w:r>
    </w:p>
    <w:p w:rsidR="00F96B6D" w:rsidRPr="00D131B8" w:rsidRDefault="004B5A10" w:rsidP="00D131B8">
      <w:pPr>
        <w:pStyle w:val="Annextitle"/>
      </w:pPr>
      <w:r w:rsidRPr="00D131B8">
        <w:t>Темы для рассмотрения на собраниях Рабочих групп 5А, 5В, 5С и 5D и Целевой группы 5/1, проводимых перед собранием 5-й Исследовательской комиссии, по которым могут быть разработаны проекты Рекомендаций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Cs/>
        </w:rPr>
      </w:pPr>
      <w:r w:rsidRPr="00D131B8">
        <w:rPr>
          <w:b/>
          <w:bCs/>
        </w:rPr>
        <w:t>Рабочая группа </w:t>
      </w:r>
      <w:r w:rsidR="00F96B6D" w:rsidRPr="00D131B8">
        <w:rPr>
          <w:b/>
          <w:bCs/>
        </w:rPr>
        <w:t>5A</w:t>
      </w:r>
    </w:p>
    <w:p w:rsidR="00F96B6D" w:rsidRPr="00D131B8" w:rsidRDefault="00843794" w:rsidP="00D131B8">
      <w:pPr>
        <w:jc w:val="both"/>
      </w:pPr>
      <w:r w:rsidRPr="00D131B8">
        <w:t xml:space="preserve">Согласование частот и соответствующие планы размещения частот для </w:t>
      </w:r>
      <w:r w:rsidRPr="00D131B8">
        <w:rPr>
          <w:color w:val="000000"/>
        </w:rPr>
        <w:t>систем железнодорожной радиосвязи между поездом и путевыми устройствами</w:t>
      </w:r>
      <w:r w:rsidRPr="00D131B8">
        <w:t xml:space="preserve"> </w:t>
      </w:r>
      <w:r w:rsidR="00F96B6D" w:rsidRPr="00D131B8">
        <w:t>(</w:t>
      </w:r>
      <w:r w:rsidR="006A0F94" w:rsidRPr="00D131B8">
        <w:t xml:space="preserve">рабочий документ </w:t>
      </w:r>
      <w:r w:rsidR="00673D15" w:rsidRPr="00D131B8">
        <w:t>к</w:t>
      </w:r>
      <w:r w:rsidR="006A0F94" w:rsidRPr="00D131B8">
        <w:t xml:space="preserve"> п</w:t>
      </w:r>
      <w:r w:rsidR="004B5A10" w:rsidRPr="00D131B8">
        <w:t>редварительн</w:t>
      </w:r>
      <w:r w:rsidR="006A0F94" w:rsidRPr="00D131B8">
        <w:t>ому</w:t>
      </w:r>
      <w:r w:rsidR="004B5A10" w:rsidRPr="00D131B8">
        <w:t xml:space="preserve"> проект</w:t>
      </w:r>
      <w:r w:rsidR="006A0F94" w:rsidRPr="00D131B8">
        <w:t>у</w:t>
      </w:r>
      <w:r w:rsidR="004B5A10" w:rsidRPr="00D131B8">
        <w:t xml:space="preserve"> новой Рекомендации МСЭ-R</w:t>
      </w:r>
      <w:r w:rsidR="00F96B6D" w:rsidRPr="00D131B8">
        <w:t xml:space="preserve"> M.[</w:t>
      </w:r>
      <w:r w:rsidR="006A0F94" w:rsidRPr="00D131B8">
        <w:rPr>
          <w:szCs w:val="24"/>
        </w:rPr>
        <w:t>RSTT_FRQ</w:t>
      </w:r>
      <w:r w:rsidR="00F96B6D" w:rsidRPr="00D131B8">
        <w:t xml:space="preserve">] – </w:t>
      </w:r>
      <w:r w:rsidR="004C3E76" w:rsidRPr="00D131B8">
        <w:t>см. Приложение </w:t>
      </w:r>
      <w:r w:rsidR="00F96B6D" w:rsidRPr="00D131B8">
        <w:t>1</w:t>
      </w:r>
      <w:r w:rsidR="006A0F94" w:rsidRPr="00D131B8">
        <w:t>5</w:t>
      </w:r>
      <w:r w:rsidR="00F96B6D" w:rsidRPr="00D131B8">
        <w:t xml:space="preserve"> </w:t>
      </w:r>
      <w:r w:rsidR="004C3E76" w:rsidRPr="00D131B8">
        <w:t>к Документу </w:t>
      </w:r>
      <w:hyperlink r:id="rId18" w:history="1">
        <w:r w:rsidR="006A0F94" w:rsidRPr="00D131B8">
          <w:rPr>
            <w:rStyle w:val="Hyperlink"/>
          </w:rPr>
          <w:t>5A/844</w:t>
        </w:r>
      </w:hyperlink>
      <w:r w:rsidR="00F96B6D" w:rsidRPr="00D131B8">
        <w:t>)</w:t>
      </w:r>
    </w:p>
    <w:p w:rsidR="006A0F94" w:rsidRPr="00D131B8" w:rsidRDefault="00D50AB4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Глобальные международные перевозки оборудования радиосвязи </w:t>
      </w:r>
      <w:r w:rsidR="004F1410" w:rsidRPr="00D131B8">
        <w:rPr>
          <w:szCs w:val="22"/>
        </w:rPr>
        <w:t>для использования в чрезвычайных ситуациях и в случаях оказания помощи при бедствиях</w:t>
      </w:r>
      <w:r w:rsidR="006A0F94" w:rsidRPr="00D131B8">
        <w:rPr>
          <w:szCs w:val="22"/>
        </w:rPr>
        <w:t xml:space="preserve"> 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>проект пересмотренной Рекомендации МСЭ</w:t>
      </w:r>
      <w:r w:rsidR="005A0448" w:rsidRPr="00D131B8">
        <w:rPr>
          <w:szCs w:val="22"/>
        </w:rPr>
        <w:t>-R M.1637-0 </w:t>
      </w:r>
      <w:r w:rsidR="006A0F94" w:rsidRPr="00D131B8">
        <w:rPr>
          <w:szCs w:val="22"/>
        </w:rPr>
        <w:t xml:space="preserve">– </w:t>
      </w:r>
      <w:r w:rsidR="005A0448" w:rsidRPr="00D131B8">
        <w:t>см. Приложение </w:t>
      </w:r>
      <w:r w:rsidR="006A0F94" w:rsidRPr="00D131B8">
        <w:rPr>
          <w:szCs w:val="22"/>
        </w:rPr>
        <w:t xml:space="preserve">19 </w:t>
      </w:r>
      <w:r w:rsidR="005A0448" w:rsidRPr="00D131B8">
        <w:rPr>
          <w:szCs w:val="22"/>
        </w:rPr>
        <w:t>к Документу </w:t>
      </w:r>
      <w:hyperlink r:id="rId19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E603E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Согласованные планы частотных каналов для защиты собственности с использованием передачи данных </w:t>
      </w:r>
      <w:r w:rsidR="006A0F94" w:rsidRPr="00D131B8">
        <w:rPr>
          <w:szCs w:val="22"/>
        </w:rPr>
        <w:t>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>проект пересмотренной Рекомендации МСЭ</w:t>
      </w:r>
      <w:r w:rsidR="005A0448" w:rsidRPr="00D131B8">
        <w:rPr>
          <w:szCs w:val="22"/>
        </w:rPr>
        <w:t>-R M.1746-0 </w:t>
      </w:r>
      <w:r w:rsidR="006A0F94" w:rsidRPr="00D131B8">
        <w:rPr>
          <w:szCs w:val="22"/>
        </w:rPr>
        <w:t xml:space="preserve">– </w:t>
      </w:r>
      <w:r w:rsidR="006A0F94" w:rsidRPr="00D131B8">
        <w:t>см. Приложение </w:t>
      </w:r>
      <w:r w:rsidR="006A0F94" w:rsidRPr="00D131B8">
        <w:rPr>
          <w:szCs w:val="22"/>
        </w:rPr>
        <w:t>20 к Документу </w:t>
      </w:r>
      <w:hyperlink r:id="rId20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E603E" w:rsidP="00D131B8">
      <w:pPr>
        <w:pStyle w:val="Reasons"/>
        <w:jc w:val="both"/>
        <w:rPr>
          <w:szCs w:val="22"/>
        </w:rPr>
      </w:pPr>
      <w:r w:rsidRPr="00D131B8">
        <w:t xml:space="preserve">Стандарты радиоинтерфейсов для использования в целях обеспечения общественной безопасности и оказания помощи при бедствиях в соответствии с Резолюцией 646 </w:t>
      </w:r>
      <w:r w:rsidR="006A0F94" w:rsidRPr="00D131B8">
        <w:rPr>
          <w:szCs w:val="22"/>
        </w:rPr>
        <w:t>(</w:t>
      </w:r>
      <w:r w:rsidR="005A0448" w:rsidRPr="00D131B8">
        <w:rPr>
          <w:szCs w:val="22"/>
        </w:rPr>
        <w:t>Пересм</w:t>
      </w:r>
      <w:r w:rsidR="006A0F94" w:rsidRPr="00D131B8">
        <w:rPr>
          <w:szCs w:val="22"/>
        </w:rPr>
        <w:t>.</w:t>
      </w:r>
      <w:r w:rsidR="005A0448" w:rsidRPr="00D131B8">
        <w:rPr>
          <w:szCs w:val="22"/>
        </w:rPr>
        <w:t xml:space="preserve"> ВКР</w:t>
      </w:r>
      <w:r w:rsidR="006A0F94" w:rsidRPr="00D131B8">
        <w:rPr>
          <w:szCs w:val="22"/>
        </w:rPr>
        <w:t>-15) 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 xml:space="preserve">проект пересмотренной Рекомендации МСЭ-R M.2009-1 – </w:t>
      </w:r>
      <w:r w:rsidR="006A0F94" w:rsidRPr="00D131B8">
        <w:t>см. Приложение </w:t>
      </w:r>
      <w:r w:rsidR="006A0F94" w:rsidRPr="00D131B8">
        <w:rPr>
          <w:szCs w:val="22"/>
        </w:rPr>
        <w:t xml:space="preserve">21 к Документу </w:t>
      </w:r>
      <w:hyperlink r:id="rId21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E603E" w:rsidP="00D131B8">
      <w:pPr>
        <w:pStyle w:val="Reasons"/>
        <w:jc w:val="both"/>
        <w:rPr>
          <w:szCs w:val="22"/>
        </w:rPr>
      </w:pPr>
      <w:r w:rsidRPr="00D131B8">
        <w:t>Согласованный план частотных каналов для операций по обеспечению общественной безопасности и оказания помощи при бедствиях, проводимых с использованием широкополосной связи в полосе частот 4940–4990 МГц в Районах 2 и 3</w:t>
      </w:r>
      <w:r w:rsidRPr="00D131B8">
        <w:rPr>
          <w:szCs w:val="22"/>
        </w:rPr>
        <w:t xml:space="preserve"> </w:t>
      </w:r>
      <w:r w:rsidR="006A0F94" w:rsidRPr="00D131B8">
        <w:rPr>
          <w:szCs w:val="22"/>
        </w:rPr>
        <w:t>(</w:t>
      </w:r>
      <w:r w:rsidR="006A0F94" w:rsidRPr="00D131B8">
        <w:t xml:space="preserve">рабочий документ </w:t>
      </w:r>
      <w:r w:rsidR="00673D15" w:rsidRPr="00D131B8">
        <w:t>к</w:t>
      </w:r>
      <w:r w:rsidR="006A0F94" w:rsidRPr="00D131B8">
        <w:t xml:space="preserve"> предварительному проекту пересмотренной Рекомендации МСЭ</w:t>
      </w:r>
      <w:r w:rsidR="006A0F94" w:rsidRPr="00D131B8">
        <w:rPr>
          <w:szCs w:val="22"/>
        </w:rPr>
        <w:t xml:space="preserve">-R M.1826-0 – </w:t>
      </w:r>
      <w:r w:rsidR="006A0F94" w:rsidRPr="00D131B8">
        <w:t>см. Приложение </w:t>
      </w:r>
      <w:r w:rsidR="006A0F94" w:rsidRPr="00D131B8">
        <w:rPr>
          <w:szCs w:val="22"/>
        </w:rPr>
        <w:t xml:space="preserve">22 к Документу </w:t>
      </w:r>
      <w:hyperlink r:id="rId22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90095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Технические и эксплуатационные характеристики </w:t>
      </w:r>
      <w:r w:rsidR="00E47F72" w:rsidRPr="00D131B8">
        <w:rPr>
          <w:szCs w:val="22"/>
        </w:rPr>
        <w:t xml:space="preserve">традиционных и транковых </w:t>
      </w:r>
      <w:r w:rsidRPr="00D131B8">
        <w:rPr>
          <w:szCs w:val="22"/>
        </w:rPr>
        <w:t xml:space="preserve">сухопутных подвижных систем, работающих в распределениях подвижной службе ниже 869 МГц, для применения в исследованиях по совместному использованию частот </w:t>
      </w:r>
      <w:r w:rsidR="006A0F94" w:rsidRPr="00D131B8">
        <w:rPr>
          <w:szCs w:val="22"/>
        </w:rPr>
        <w:t>(</w:t>
      </w:r>
      <w:r w:rsidR="006A0F94" w:rsidRPr="00D131B8">
        <w:t xml:space="preserve">рабочий документ </w:t>
      </w:r>
      <w:r w:rsidR="00673D15" w:rsidRPr="00D131B8">
        <w:t>к</w:t>
      </w:r>
      <w:r w:rsidR="006A0F94" w:rsidRPr="00D131B8">
        <w:t xml:space="preserve"> предварительному проекту пересмотренной Рекомендации МСЭ</w:t>
      </w:r>
      <w:r w:rsidRPr="00D131B8">
        <w:rPr>
          <w:szCs w:val="22"/>
        </w:rPr>
        <w:t>-R M.1808-0 </w:t>
      </w:r>
      <w:r w:rsidR="006A0F94" w:rsidRPr="00D131B8">
        <w:rPr>
          <w:szCs w:val="22"/>
        </w:rPr>
        <w:t xml:space="preserve">– </w:t>
      </w:r>
      <w:r w:rsidR="006A0F94" w:rsidRPr="00D131B8">
        <w:t>см. Приложение </w:t>
      </w:r>
      <w:r w:rsidR="006A0F94" w:rsidRPr="00D131B8">
        <w:rPr>
          <w:szCs w:val="22"/>
        </w:rPr>
        <w:t>23 к Документу </w:t>
      </w:r>
      <w:hyperlink r:id="rId23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90095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 </w:t>
      </w:r>
      <w:r w:rsidR="006A0F94" w:rsidRPr="00D131B8">
        <w:rPr>
          <w:szCs w:val="22"/>
        </w:rPr>
        <w:t>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 xml:space="preserve">проект </w:t>
      </w:r>
      <w:r w:rsidR="006A0F94" w:rsidRPr="00D131B8">
        <w:rPr>
          <w:szCs w:val="22"/>
        </w:rPr>
        <w:lastRenderedPageBreak/>
        <w:t xml:space="preserve">пересмотренной Рекомендации МСЭ-R M.2084-0 – </w:t>
      </w:r>
      <w:r w:rsidR="006A0F94" w:rsidRPr="00D131B8">
        <w:t>см. Приложение </w:t>
      </w:r>
      <w:r w:rsidR="006A0F94" w:rsidRPr="00D131B8">
        <w:rPr>
          <w:szCs w:val="22"/>
        </w:rPr>
        <w:t xml:space="preserve">28 </w:t>
      </w:r>
      <w:r w:rsidR="005A0448" w:rsidRPr="00D131B8">
        <w:rPr>
          <w:szCs w:val="22"/>
        </w:rPr>
        <w:t>к Документу</w:t>
      </w:r>
      <w:r w:rsidR="006A0F94" w:rsidRPr="00D131B8">
        <w:rPr>
          <w:szCs w:val="22"/>
        </w:rPr>
        <w:t> </w:t>
      </w:r>
      <w:hyperlink r:id="rId24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90095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Согласование </w:t>
      </w:r>
      <w:r w:rsidR="00F95528" w:rsidRPr="00D131B8">
        <w:rPr>
          <w:szCs w:val="22"/>
        </w:rPr>
        <w:t>полос</w:t>
      </w:r>
      <w:r w:rsidRPr="00D131B8">
        <w:rPr>
          <w:szCs w:val="22"/>
        </w:rPr>
        <w:t xml:space="preserve"> частот для интеллектуальных транспортных систем </w:t>
      </w:r>
      <w:r w:rsidR="00D131B8" w:rsidRPr="00D131B8">
        <w:rPr>
          <w:szCs w:val="22"/>
        </w:rPr>
        <w:t>подвижной службы</w:t>
      </w:r>
      <w:r w:rsidRPr="00D131B8">
        <w:rPr>
          <w:szCs w:val="22"/>
        </w:rPr>
        <w:t xml:space="preserve"> </w:t>
      </w:r>
      <w:r w:rsidR="006A0F94" w:rsidRPr="00D131B8">
        <w:rPr>
          <w:szCs w:val="22"/>
        </w:rPr>
        <w:t>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 xml:space="preserve">проект новой Рекомендации МСЭ-R M.[ITS_FRQ] – </w:t>
      </w:r>
      <w:r w:rsidR="005A0448" w:rsidRPr="00D131B8">
        <w:t>см. Приложение </w:t>
      </w:r>
      <w:r w:rsidR="006A0F94" w:rsidRPr="00D131B8">
        <w:rPr>
          <w:szCs w:val="22"/>
        </w:rPr>
        <w:t xml:space="preserve">30 </w:t>
      </w:r>
      <w:r w:rsidR="005A0448" w:rsidRPr="00D131B8">
        <w:rPr>
          <w:szCs w:val="22"/>
        </w:rPr>
        <w:t>к Документу </w:t>
      </w:r>
      <w:hyperlink r:id="rId25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E90095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 xml:space="preserve">Эксплуатационные показатели радиосвязи и требования к радиосвязи для передовых интеллектуальных транспортных систем </w:t>
      </w:r>
      <w:r w:rsidR="006A0F94" w:rsidRPr="00D131B8">
        <w:rPr>
          <w:szCs w:val="22"/>
        </w:rPr>
        <w:t>(</w:t>
      </w:r>
      <w:r w:rsidR="005A0448"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 xml:space="preserve">проект пересмотренной Рекомендации МСЭ-R M.1890-0 – </w:t>
      </w:r>
      <w:r w:rsidR="005A0448" w:rsidRPr="00D131B8">
        <w:t>см. Приложение </w:t>
      </w:r>
      <w:r w:rsidR="006A0F94" w:rsidRPr="00D131B8">
        <w:rPr>
          <w:szCs w:val="22"/>
        </w:rPr>
        <w:t xml:space="preserve">31 </w:t>
      </w:r>
      <w:r w:rsidR="005A0448" w:rsidRPr="00D131B8">
        <w:rPr>
          <w:szCs w:val="22"/>
        </w:rPr>
        <w:t>к Документу </w:t>
      </w:r>
      <w:hyperlink r:id="rId26" w:history="1">
        <w:r w:rsidR="006A0F94" w:rsidRPr="00D131B8">
          <w:rPr>
            <w:rStyle w:val="Hyperlink"/>
            <w:szCs w:val="22"/>
          </w:rPr>
          <w:t>5A/844</w:t>
        </w:r>
      </w:hyperlink>
      <w:r w:rsidR="006A0F94" w:rsidRPr="00D131B8">
        <w:rPr>
          <w:szCs w:val="22"/>
        </w:rPr>
        <w:t>)</w:t>
      </w:r>
    </w:p>
    <w:p w:rsidR="006A0F94" w:rsidRPr="00D131B8" w:rsidRDefault="005A0448" w:rsidP="00D131B8">
      <w:pPr>
        <w:pStyle w:val="Reasons"/>
        <w:jc w:val="both"/>
        <w:rPr>
          <w:szCs w:val="22"/>
        </w:rPr>
      </w:pPr>
      <w:r w:rsidRPr="00D131B8">
        <w:rPr>
          <w:szCs w:val="22"/>
        </w:rPr>
        <w:t>Предварительный проект новой Рекомендации МСЭ</w:t>
      </w:r>
      <w:r w:rsidR="006A0F94" w:rsidRPr="00D131B8">
        <w:rPr>
          <w:szCs w:val="22"/>
        </w:rPr>
        <w:t xml:space="preserve">-R M.[MS-RXCHAR-28] – </w:t>
      </w:r>
      <w:r w:rsidR="00E90095" w:rsidRPr="00D131B8">
        <w:rPr>
          <w:szCs w:val="22"/>
        </w:rPr>
        <w:t xml:space="preserve">Характеристики и критерии защиты приемников для систем (за исключением IMT) </w:t>
      </w:r>
      <w:r w:rsidR="00D131B8" w:rsidRPr="00D131B8">
        <w:rPr>
          <w:szCs w:val="22"/>
        </w:rPr>
        <w:t>подвижной службы</w:t>
      </w:r>
      <w:r w:rsidR="00E90095" w:rsidRPr="00D131B8">
        <w:rPr>
          <w:szCs w:val="22"/>
        </w:rPr>
        <w:t xml:space="preserve"> в диапазоне частот 27,5</w:t>
      </w:r>
      <w:r w:rsidR="005D0A36" w:rsidRPr="00D131B8">
        <w:rPr>
          <w:szCs w:val="22"/>
        </w:rPr>
        <w:t>–</w:t>
      </w:r>
      <w:r w:rsidR="00E90095" w:rsidRPr="00D131B8">
        <w:rPr>
          <w:szCs w:val="22"/>
        </w:rPr>
        <w:t>29,5 ГГц для применения в исследованиях совместного использования частот и совместимости с находящимися в движении земными станциями, работающими в геостационарных сетях ФСС, и с применениями, используемыми в фиксированной службе</w:t>
      </w:r>
      <w:r w:rsidR="006A0F94" w:rsidRPr="00D131B8">
        <w:rPr>
          <w:szCs w:val="22"/>
        </w:rPr>
        <w:t xml:space="preserve"> (</w:t>
      </w:r>
      <w:r w:rsidRPr="00D131B8">
        <w:rPr>
          <w:szCs w:val="22"/>
        </w:rPr>
        <w:t xml:space="preserve">предварительный </w:t>
      </w:r>
      <w:r w:rsidR="006A0F94" w:rsidRPr="00D131B8">
        <w:rPr>
          <w:szCs w:val="22"/>
        </w:rPr>
        <w:t>проект новой Рекомендации МСЭ-R M.[MS</w:t>
      </w:r>
      <w:r w:rsidR="006A0F94" w:rsidRPr="00D131B8">
        <w:rPr>
          <w:szCs w:val="22"/>
        </w:rPr>
        <w:noBreakHyphen/>
        <w:t xml:space="preserve">RXCHAR-28] – </w:t>
      </w:r>
      <w:r w:rsidRPr="00D131B8">
        <w:rPr>
          <w:szCs w:val="22"/>
        </w:rPr>
        <w:t>см.</w:t>
      </w:r>
      <w:r w:rsidR="006A0F94" w:rsidRPr="00D131B8">
        <w:rPr>
          <w:szCs w:val="22"/>
        </w:rPr>
        <w:t xml:space="preserve"> </w:t>
      </w:r>
      <w:hyperlink r:id="rId27" w:history="1">
        <w:r w:rsidRPr="00D131B8">
          <w:rPr>
            <w:rStyle w:val="Hyperlink"/>
            <w:szCs w:val="22"/>
          </w:rPr>
          <w:t>Приложение </w:t>
        </w:r>
        <w:r w:rsidR="006A0F94" w:rsidRPr="00D131B8">
          <w:rPr>
            <w:rStyle w:val="Hyperlink"/>
            <w:szCs w:val="22"/>
          </w:rPr>
          <w:t>15</w:t>
        </w:r>
      </w:hyperlink>
      <w:r w:rsidR="006A0F94" w:rsidRPr="00D131B8">
        <w:rPr>
          <w:szCs w:val="22"/>
        </w:rPr>
        <w:t xml:space="preserve"> </w:t>
      </w:r>
      <w:r w:rsidRPr="00D131B8">
        <w:rPr>
          <w:szCs w:val="22"/>
        </w:rPr>
        <w:t>к</w:t>
      </w:r>
      <w:r w:rsidR="006A0F94" w:rsidRPr="00D131B8">
        <w:rPr>
          <w:szCs w:val="22"/>
        </w:rPr>
        <w:t xml:space="preserve"> </w:t>
      </w:r>
      <w:hyperlink r:id="rId28" w:history="1">
        <w:r w:rsidRPr="00D131B8">
          <w:rPr>
            <w:rStyle w:val="Hyperlink"/>
            <w:szCs w:val="22"/>
          </w:rPr>
          <w:t>Документу </w:t>
        </w:r>
        <w:r w:rsidR="006A0F94" w:rsidRPr="00D131B8">
          <w:rPr>
            <w:rStyle w:val="Hyperlink"/>
            <w:szCs w:val="22"/>
          </w:rPr>
          <w:t>5A/650</w:t>
        </w:r>
      </w:hyperlink>
      <w:r w:rsidR="006A0F94" w:rsidRPr="00D131B8">
        <w:rPr>
          <w:szCs w:val="22"/>
        </w:rPr>
        <w:t>).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r w:rsidR="00F96B6D" w:rsidRPr="00D131B8">
        <w:rPr>
          <w:b/>
          <w:bCs/>
        </w:rPr>
        <w:t>5B</w:t>
      </w:r>
    </w:p>
    <w:p w:rsidR="003C5058" w:rsidRPr="00D131B8" w:rsidRDefault="00673D15" w:rsidP="00D131B8">
      <w:pPr>
        <w:jc w:val="both"/>
        <w:rPr>
          <w:sz w:val="24"/>
          <w:szCs w:val="24"/>
        </w:rPr>
      </w:pPr>
      <w:r w:rsidRPr="00D131B8">
        <w:rPr>
          <w:szCs w:val="24"/>
        </w:rPr>
        <w:t xml:space="preserve">Характеристики цифровой системы, которая называется "Навигационные данные" и предназначена для радиовещания информации, касающейся защиты и обеспечения безопасности на море, в направлении берег-судно в диапазоне 500 кГц </w:t>
      </w:r>
      <w:r w:rsidR="003C5058" w:rsidRPr="00D131B8">
        <w:rPr>
          <w:szCs w:val="24"/>
        </w:rPr>
        <w:t xml:space="preserve">(предварительный проект пересмотренной Рекомендации МСЭ-R M.2010-0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10 </w:t>
      </w:r>
      <w:r w:rsidR="003C5058" w:rsidRPr="00D131B8">
        <w:rPr>
          <w:szCs w:val="22"/>
        </w:rPr>
        <w:t>к Документу </w:t>
      </w:r>
      <w:hyperlink r:id="rId29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786401" w:rsidP="00D131B8">
      <w:pPr>
        <w:jc w:val="both"/>
        <w:rPr>
          <w:szCs w:val="24"/>
        </w:rPr>
      </w:pPr>
      <w:r w:rsidRPr="00D131B8">
        <w:t xml:space="preserve">Система цифрового избирательного вызова для использования в морской подвижной службе </w:t>
      </w:r>
      <w:r w:rsidR="003C5058" w:rsidRPr="00D131B8">
        <w:rPr>
          <w:szCs w:val="24"/>
        </w:rPr>
        <w:t xml:space="preserve">(предварительный проект пересмотренной Рекомендации МСЭ-R M.493-14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12 </w:t>
      </w:r>
      <w:r w:rsidR="003C5058" w:rsidRPr="00D131B8">
        <w:rPr>
          <w:szCs w:val="22"/>
        </w:rPr>
        <w:t>к Документу </w:t>
      </w:r>
      <w:hyperlink r:id="rId30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673D15" w:rsidP="00D131B8">
      <w:pPr>
        <w:jc w:val="both"/>
        <w:rPr>
          <w:szCs w:val="24"/>
        </w:rPr>
      </w:pPr>
      <w:r w:rsidRPr="00D131B8">
        <w:rPr>
          <w:szCs w:val="24"/>
        </w:rPr>
        <w:t>Характеристики и критерии защиты радаров, работающих в радиолокационной службе в диапазоне частот 420</w:t>
      </w:r>
      <w:r w:rsidR="00862E82" w:rsidRPr="00D131B8">
        <w:rPr>
          <w:szCs w:val="24"/>
        </w:rPr>
        <w:t>–</w:t>
      </w:r>
      <w:r w:rsidRPr="00D131B8">
        <w:rPr>
          <w:szCs w:val="24"/>
        </w:rPr>
        <w:t xml:space="preserve">450 МГц </w:t>
      </w:r>
      <w:r w:rsidR="003C5058" w:rsidRPr="00D131B8">
        <w:rPr>
          <w:szCs w:val="24"/>
        </w:rPr>
        <w:t xml:space="preserve">(предварительный проект пересмотренной Рекомендации МСЭ-R M.1462-0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13 </w:t>
      </w:r>
      <w:r w:rsidR="003C5058" w:rsidRPr="00D131B8">
        <w:rPr>
          <w:szCs w:val="22"/>
        </w:rPr>
        <w:t>к Документу </w:t>
      </w:r>
      <w:hyperlink r:id="rId31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786401" w:rsidP="00D131B8">
      <w:pPr>
        <w:jc w:val="both"/>
        <w:rPr>
          <w:szCs w:val="24"/>
        </w:rPr>
      </w:pPr>
      <w:r w:rsidRPr="00D131B8">
        <w:rPr>
          <w:szCs w:val="26"/>
        </w:rPr>
        <w:t>Технические и эксплуатационные аспекты наземных метеорологических радаров</w:t>
      </w:r>
      <w:r w:rsidRPr="00D131B8">
        <w:rPr>
          <w:szCs w:val="22"/>
        </w:rPr>
        <w:t xml:space="preserve"> </w:t>
      </w:r>
      <w:r w:rsidR="003C5058" w:rsidRPr="00D131B8">
        <w:rPr>
          <w:szCs w:val="24"/>
        </w:rPr>
        <w:t xml:space="preserve">(предварительный проект пересмотренной Рекомендации МСЭ-R M.1849-1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14 </w:t>
      </w:r>
      <w:r w:rsidR="003C5058" w:rsidRPr="00D131B8">
        <w:rPr>
          <w:szCs w:val="22"/>
        </w:rPr>
        <w:t>к Документу </w:t>
      </w:r>
      <w:hyperlink r:id="rId32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786401" w:rsidP="00D131B8">
      <w:pPr>
        <w:jc w:val="both"/>
        <w:rPr>
          <w:szCs w:val="24"/>
        </w:rPr>
      </w:pPr>
      <w:r w:rsidRPr="00D131B8">
        <w:rPr>
          <w:rFonts w:cs="TimesNewRoman"/>
          <w:lang w:eastAsia="zh-CN"/>
        </w:rPr>
        <w:t>Присвоение и использование опознавател</w:t>
      </w:r>
      <w:r w:rsidR="00D131B8" w:rsidRPr="00D131B8">
        <w:rPr>
          <w:rFonts w:cs="TimesNewRoman"/>
          <w:lang w:eastAsia="zh-CN"/>
        </w:rPr>
        <w:t>ей</w:t>
      </w:r>
      <w:r w:rsidRPr="00D131B8">
        <w:rPr>
          <w:rFonts w:cs="TimesNewRoman"/>
          <w:lang w:eastAsia="zh-CN"/>
        </w:rPr>
        <w:t xml:space="preserve"> </w:t>
      </w:r>
      <w:r w:rsidR="00D131B8" w:rsidRPr="00D131B8">
        <w:rPr>
          <w:rFonts w:cs="TimesNewRoman"/>
          <w:lang w:eastAsia="zh-CN"/>
        </w:rPr>
        <w:t xml:space="preserve">в </w:t>
      </w:r>
      <w:r w:rsidRPr="00D131B8">
        <w:rPr>
          <w:rFonts w:cs="TimesNewRoman"/>
          <w:lang w:eastAsia="zh-CN"/>
        </w:rPr>
        <w:t>морской подвижной служб</w:t>
      </w:r>
      <w:r w:rsidR="00D131B8" w:rsidRPr="00D131B8">
        <w:rPr>
          <w:rFonts w:cs="TimesNewRoman"/>
          <w:lang w:eastAsia="zh-CN"/>
        </w:rPr>
        <w:t>е</w:t>
      </w:r>
      <w:r w:rsidRPr="00D131B8">
        <w:rPr>
          <w:rFonts w:cs="TimesNewRoman"/>
          <w:lang w:eastAsia="zh-CN"/>
        </w:rPr>
        <w:t xml:space="preserve"> </w:t>
      </w:r>
      <w:r w:rsidR="003C5058" w:rsidRPr="00D131B8">
        <w:rPr>
          <w:szCs w:val="24"/>
        </w:rPr>
        <w:t xml:space="preserve">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пересмотренной Рекомендации МСЭ-R M.585-7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15 </w:t>
      </w:r>
      <w:r w:rsidR="003C5058" w:rsidRPr="00D131B8">
        <w:rPr>
          <w:szCs w:val="22"/>
        </w:rPr>
        <w:t>к Документу </w:t>
      </w:r>
      <w:hyperlink r:id="rId33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2D7094" w:rsidP="00D131B8">
      <w:pPr>
        <w:jc w:val="both"/>
        <w:rPr>
          <w:szCs w:val="24"/>
        </w:rPr>
      </w:pPr>
      <w:r w:rsidRPr="00D131B8">
        <w:rPr>
          <w:szCs w:val="24"/>
        </w:rPr>
        <w:t xml:space="preserve">Технические характеристики автоматической системы опознавания, использующей многостанционный доступ с временным разделением в полосе </w:t>
      </w:r>
      <w:r w:rsidRPr="00D131B8">
        <w:rPr>
          <w:szCs w:val="24"/>
        </w:rPr>
        <w:lastRenderedPageBreak/>
        <w:t>частот ОВЧ морской подвижной службы</w:t>
      </w:r>
      <w:r w:rsidR="003C5058" w:rsidRPr="00D131B8">
        <w:rPr>
          <w:szCs w:val="24"/>
        </w:rPr>
        <w:t xml:space="preserve"> 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пересмотренной Рекомендации МСЭ-R M.1371-5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16 </w:t>
      </w:r>
      <w:r w:rsidR="003C5058" w:rsidRPr="00D131B8">
        <w:rPr>
          <w:szCs w:val="22"/>
        </w:rPr>
        <w:t>к Документу </w:t>
      </w:r>
      <w:hyperlink r:id="rId34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144CE2" w:rsidP="00D131B8">
      <w:pPr>
        <w:jc w:val="both"/>
        <w:rPr>
          <w:szCs w:val="24"/>
        </w:rPr>
      </w:pPr>
      <w:r w:rsidRPr="00D131B8">
        <w:rPr>
          <w:szCs w:val="24"/>
        </w:rPr>
        <w:t>Х</w:t>
      </w:r>
      <w:r w:rsidR="00C91648" w:rsidRPr="00D131B8">
        <w:rPr>
          <w:szCs w:val="24"/>
        </w:rPr>
        <w:t xml:space="preserve">арактеристики радаров радиолокационной (за исключением наземных метеорологических радаров) и воздушной радионавигационной служб, работающих в полосах частот между 5250 и 5850 МГц, и критерии защиты для исследований совместного использования частот этими радарами </w:t>
      </w:r>
      <w:r w:rsidR="003C5058" w:rsidRPr="00D131B8">
        <w:rPr>
          <w:szCs w:val="24"/>
        </w:rPr>
        <w:t xml:space="preserve">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пересмотренной Рекомендации МСЭ-R M.1638-1</w:t>
      </w:r>
      <w:r w:rsidR="002D7094" w:rsidRPr="00D131B8">
        <w:rPr>
          <w:szCs w:val="24"/>
        </w:rPr>
        <w:t> </w:t>
      </w:r>
      <w:r w:rsidR="003C5058" w:rsidRPr="00D131B8">
        <w:rPr>
          <w:szCs w:val="24"/>
        </w:rPr>
        <w:t xml:space="preserve">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17 </w:t>
      </w:r>
      <w:r w:rsidR="003C5058" w:rsidRPr="00D131B8">
        <w:rPr>
          <w:szCs w:val="22"/>
        </w:rPr>
        <w:t>к Документу </w:t>
      </w:r>
      <w:hyperlink r:id="rId35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4466EE" w:rsidP="00D131B8">
      <w:pPr>
        <w:jc w:val="both"/>
        <w:rPr>
          <w:szCs w:val="24"/>
        </w:rPr>
      </w:pPr>
      <w:r w:rsidRPr="00D131B8">
        <w:rPr>
          <w:szCs w:val="24"/>
        </w:rPr>
        <w:t xml:space="preserve">Определение и технические и эксплуатационные характеристики автономных морских радиоустройств </w:t>
      </w:r>
      <w:r w:rsidR="003C5058" w:rsidRPr="00D131B8">
        <w:rPr>
          <w:szCs w:val="24"/>
        </w:rPr>
        <w:t xml:space="preserve">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новой Рекомендации МСЭ-R M.[AMRD]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18 </w:t>
      </w:r>
      <w:r w:rsidR="003C5058" w:rsidRPr="00D131B8">
        <w:rPr>
          <w:szCs w:val="22"/>
        </w:rPr>
        <w:t>к Документу </w:t>
      </w:r>
      <w:hyperlink r:id="rId36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2D7094" w:rsidP="00D131B8">
      <w:pPr>
        <w:jc w:val="both"/>
        <w:rPr>
          <w:szCs w:val="24"/>
        </w:rPr>
      </w:pPr>
      <w:r w:rsidRPr="00D131B8">
        <w:rPr>
          <w:szCs w:val="22"/>
        </w:rPr>
        <w:t xml:space="preserve">Характеристики земных станций </w:t>
      </w:r>
      <w:r w:rsidRPr="00D131B8">
        <w:rPr>
          <w:color w:val="000000"/>
        </w:rPr>
        <w:t xml:space="preserve">управления и связи, не относящейся к полезной нагрузке, беспилотных авиационных систем для использования с </w:t>
      </w:r>
      <w:r w:rsidRPr="00D131B8">
        <w:t>космическими</w:t>
      </w:r>
      <w:r w:rsidRPr="00D131B8">
        <w:rPr>
          <w:color w:val="000000"/>
        </w:rPr>
        <w:t xml:space="preserve"> станциями, работающими в фиксированной спутниковой службе</w:t>
      </w:r>
      <w:r w:rsidRPr="00D131B8">
        <w:rPr>
          <w:szCs w:val="22"/>
        </w:rPr>
        <w:t xml:space="preserve"> </w:t>
      </w:r>
      <w:r w:rsidR="003C5058" w:rsidRPr="00D131B8">
        <w:rPr>
          <w:szCs w:val="24"/>
        </w:rPr>
        <w:t xml:space="preserve">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нового Отчета/новой Рекомендации МСЭ-R M.[UAS CNPC_CHAR]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19 </w:t>
      </w:r>
      <w:r w:rsidR="003C5058" w:rsidRPr="00D131B8">
        <w:rPr>
          <w:szCs w:val="22"/>
        </w:rPr>
        <w:t>к Документу </w:t>
      </w:r>
      <w:hyperlink r:id="rId37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3C5058" w:rsidRPr="00D131B8" w:rsidRDefault="00065B36" w:rsidP="00D131B8">
      <w:pPr>
        <w:jc w:val="both"/>
        <w:rPr>
          <w:b/>
          <w:bCs/>
          <w:szCs w:val="24"/>
        </w:rPr>
      </w:pPr>
      <w:r w:rsidRPr="00D131B8">
        <w:rPr>
          <w:szCs w:val="24"/>
        </w:rPr>
        <w:t xml:space="preserve">Технические характеристики и критерии защиты систем воздушной подвижной службы, работающих в подвижной службе в диапазоне частот </w:t>
      </w:r>
      <w:r w:rsidR="003C5058" w:rsidRPr="00D131B8">
        <w:rPr>
          <w:szCs w:val="24"/>
        </w:rPr>
        <w:t>21</w:t>
      </w:r>
      <w:r w:rsidR="002D7094" w:rsidRPr="00D131B8">
        <w:rPr>
          <w:szCs w:val="24"/>
        </w:rPr>
        <w:t>,</w:t>
      </w:r>
      <w:r w:rsidR="003C5058" w:rsidRPr="00D131B8">
        <w:rPr>
          <w:szCs w:val="24"/>
        </w:rPr>
        <w:t>2</w:t>
      </w:r>
      <w:r w:rsidR="002D7094" w:rsidRPr="00D131B8">
        <w:rPr>
          <w:szCs w:val="24"/>
        </w:rPr>
        <w:t>−</w:t>
      </w:r>
      <w:r w:rsidR="003C5058" w:rsidRPr="00D131B8">
        <w:rPr>
          <w:szCs w:val="24"/>
        </w:rPr>
        <w:t xml:space="preserve">22 </w:t>
      </w:r>
      <w:r w:rsidR="002D7094" w:rsidRPr="00D131B8">
        <w:rPr>
          <w:szCs w:val="24"/>
        </w:rPr>
        <w:t>ГГц</w:t>
      </w:r>
      <w:r w:rsidR="003C5058" w:rsidRPr="00D131B8">
        <w:rPr>
          <w:szCs w:val="24"/>
        </w:rPr>
        <w:t xml:space="preserve"> (рабочий документ </w:t>
      </w:r>
      <w:r w:rsidR="00673D15" w:rsidRPr="00D131B8">
        <w:rPr>
          <w:szCs w:val="24"/>
        </w:rPr>
        <w:t>к</w:t>
      </w:r>
      <w:r w:rsidR="003C5058" w:rsidRPr="00D131B8">
        <w:rPr>
          <w:szCs w:val="24"/>
        </w:rPr>
        <w:t xml:space="preserve"> предварительному проекту новой Рекомендации МСЭ-R M.[AMS_21.2-22 GHz] – </w:t>
      </w:r>
      <w:r w:rsidR="003C5058" w:rsidRPr="00D131B8">
        <w:t>см. Приложение </w:t>
      </w:r>
      <w:r w:rsidR="003C5058" w:rsidRPr="00D131B8">
        <w:rPr>
          <w:szCs w:val="24"/>
        </w:rPr>
        <w:t xml:space="preserve">22 </w:t>
      </w:r>
      <w:r w:rsidR="003C5058" w:rsidRPr="00D131B8">
        <w:rPr>
          <w:szCs w:val="22"/>
        </w:rPr>
        <w:t>к Документу </w:t>
      </w:r>
      <w:hyperlink r:id="rId38" w:history="1">
        <w:r w:rsidR="003C5058" w:rsidRPr="00D131B8">
          <w:rPr>
            <w:rStyle w:val="Hyperlink"/>
            <w:szCs w:val="24"/>
          </w:rPr>
          <w:t>5B/538</w:t>
        </w:r>
      </w:hyperlink>
      <w:r w:rsidR="003C5058" w:rsidRPr="00D131B8">
        <w:rPr>
          <w:szCs w:val="24"/>
        </w:rPr>
        <w:t>)</w:t>
      </w:r>
    </w:p>
    <w:p w:rsidR="00081645" w:rsidRDefault="000816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r w:rsidR="00F96B6D" w:rsidRPr="00D131B8">
        <w:rPr>
          <w:b/>
          <w:bCs/>
        </w:rPr>
        <w:t>5C</w:t>
      </w:r>
    </w:p>
    <w:p w:rsidR="00C960F9" w:rsidRPr="00D131B8" w:rsidRDefault="00670956" w:rsidP="00D131B8">
      <w:pPr>
        <w:jc w:val="both"/>
        <w:rPr>
          <w:sz w:val="24"/>
          <w:szCs w:val="24"/>
        </w:rPr>
      </w:pPr>
      <w:r w:rsidRPr="00D131B8">
        <w:rPr>
          <w:szCs w:val="24"/>
        </w:rPr>
        <w:t xml:space="preserve">Эталонные диаграммы направленности всенаправленных, секторных и других антенн для фиксированной службы и подвижной службы с целью использования при изучении вопросов совместного использования частот в диапазоне от 400 МГц до примерно 70 ГГц </w:t>
      </w:r>
      <w:r w:rsidR="00C960F9" w:rsidRPr="00D131B8">
        <w:rPr>
          <w:szCs w:val="24"/>
        </w:rPr>
        <w:t xml:space="preserve">(предварительный проект пересмотренной Рекомендации МСЭ-R F.1336-4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2 </w:t>
      </w:r>
      <w:r w:rsidR="001B0C7F" w:rsidRPr="00D131B8">
        <w:rPr>
          <w:szCs w:val="22"/>
        </w:rPr>
        <w:t>к Документу </w:t>
      </w:r>
      <w:hyperlink r:id="rId39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C960F9" w:rsidRPr="00D131B8" w:rsidRDefault="0093338C" w:rsidP="00D131B8">
      <w:pPr>
        <w:jc w:val="both"/>
        <w:rPr>
          <w:szCs w:val="24"/>
        </w:rPr>
      </w:pPr>
      <w:r w:rsidRPr="00D131B8">
        <w:rPr>
          <w:szCs w:val="28"/>
        </w:rPr>
        <w:t xml:space="preserve">Параметры системы и принципы разработки критериев совместного </w:t>
      </w:r>
      <w:r w:rsidRPr="00D131B8">
        <w:t>использования</w:t>
      </w:r>
      <w:r w:rsidRPr="00D131B8">
        <w:rPr>
          <w:szCs w:val="28"/>
        </w:rPr>
        <w:t xml:space="preserve">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  <w:r w:rsidRPr="00D131B8">
        <w:rPr>
          <w:szCs w:val="22"/>
        </w:rPr>
        <w:t xml:space="preserve"> </w:t>
      </w:r>
      <w:r w:rsidR="00C960F9" w:rsidRPr="00D131B8">
        <w:rPr>
          <w:szCs w:val="24"/>
        </w:rPr>
        <w:t>(</w:t>
      </w:r>
      <w:r w:rsidR="001B0C7F" w:rsidRPr="00D131B8">
        <w:rPr>
          <w:szCs w:val="24"/>
        </w:rPr>
        <w:t>рабочий документ к предварительному проекту пересмотренной Рекомендации МСЭ</w:t>
      </w:r>
      <w:r w:rsidRPr="00D131B8">
        <w:rPr>
          <w:szCs w:val="24"/>
        </w:rPr>
        <w:t>-R F.</w:t>
      </w:r>
      <w:r w:rsidR="00C960F9" w:rsidRPr="00D131B8">
        <w:rPr>
          <w:szCs w:val="24"/>
        </w:rPr>
        <w:t xml:space="preserve">758-6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8 </w:t>
      </w:r>
      <w:r w:rsidR="001B0C7F" w:rsidRPr="00D131B8">
        <w:rPr>
          <w:szCs w:val="22"/>
        </w:rPr>
        <w:t>к Документу </w:t>
      </w:r>
      <w:hyperlink r:id="rId40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C960F9" w:rsidRPr="00D131B8" w:rsidRDefault="00601BF9" w:rsidP="00D131B8">
      <w:pPr>
        <w:jc w:val="both"/>
        <w:rPr>
          <w:szCs w:val="24"/>
        </w:rPr>
      </w:pPr>
      <w:r w:rsidRPr="00D131B8">
        <w:t xml:space="preserve">Математическая модель усредненных и родственных диаграмм направленности излучения антенн систем фиксированной беспроводной связи пункта с пунктом, предназначенная для использования при изучении </w:t>
      </w:r>
      <w:r w:rsidRPr="00D131B8">
        <w:lastRenderedPageBreak/>
        <w:t>определенных вопросов координации и оценке помех в диапазоне частот</w:t>
      </w:r>
      <w:r w:rsidR="005C7DD3" w:rsidRPr="00D131B8">
        <w:t xml:space="preserve"> от</w:t>
      </w:r>
      <w:r w:rsidRPr="00D131B8">
        <w:t xml:space="preserve"> </w:t>
      </w:r>
      <w:r w:rsidR="0093338C" w:rsidRPr="00D131B8">
        <w:t>1 ГГц до 86 ГГц</w:t>
      </w:r>
      <w:r w:rsidR="0093338C" w:rsidRPr="00D131B8">
        <w:rPr>
          <w:szCs w:val="22"/>
        </w:rPr>
        <w:t xml:space="preserve"> </w:t>
      </w:r>
      <w:r w:rsidR="00C960F9" w:rsidRPr="00D131B8">
        <w:rPr>
          <w:szCs w:val="24"/>
        </w:rPr>
        <w:t xml:space="preserve">(предварительный проект пересмотренной Рекомендации МСЭ-R F.1245-2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9 </w:t>
      </w:r>
      <w:r w:rsidR="001B0C7F" w:rsidRPr="00D131B8">
        <w:rPr>
          <w:szCs w:val="22"/>
        </w:rPr>
        <w:t>к Документу </w:t>
      </w:r>
      <w:hyperlink r:id="rId41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C960F9" w:rsidRPr="00D131B8" w:rsidRDefault="00C262C1" w:rsidP="00D131B8">
      <w:pPr>
        <w:jc w:val="both"/>
        <w:rPr>
          <w:szCs w:val="24"/>
        </w:rPr>
      </w:pPr>
      <w:r w:rsidRPr="00D131B8">
        <w:rPr>
          <w:szCs w:val="24"/>
        </w:rPr>
        <w:t xml:space="preserve">Планы размещения частот радиостволов для систем фиксированной беспроводной связи, работающих в полосе </w:t>
      </w:r>
      <w:r w:rsidR="00C960F9" w:rsidRPr="00D131B8">
        <w:rPr>
          <w:szCs w:val="24"/>
        </w:rPr>
        <w:t>14</w:t>
      </w:r>
      <w:r w:rsidR="008959E6" w:rsidRPr="00D131B8">
        <w:rPr>
          <w:szCs w:val="24"/>
        </w:rPr>
        <w:t>,4−15,</w:t>
      </w:r>
      <w:r w:rsidR="00C960F9" w:rsidRPr="00D131B8">
        <w:rPr>
          <w:szCs w:val="24"/>
        </w:rPr>
        <w:t xml:space="preserve">35 </w:t>
      </w:r>
      <w:r w:rsidR="008959E6" w:rsidRPr="00D131B8">
        <w:rPr>
          <w:szCs w:val="24"/>
        </w:rPr>
        <w:t>ГГц</w:t>
      </w:r>
      <w:r w:rsidR="00C960F9" w:rsidRPr="00D131B8">
        <w:rPr>
          <w:szCs w:val="24"/>
        </w:rPr>
        <w:t xml:space="preserve"> (предварительный проект пересмотренной Рекомендации МСЭ</w:t>
      </w:r>
      <w:r w:rsidR="00D131B8" w:rsidRPr="00D131B8">
        <w:rPr>
          <w:szCs w:val="24"/>
        </w:rPr>
        <w:noBreakHyphen/>
      </w:r>
      <w:r w:rsidR="00C960F9" w:rsidRPr="00D131B8">
        <w:rPr>
          <w:szCs w:val="24"/>
        </w:rPr>
        <w:t xml:space="preserve">R F.636-4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13 </w:t>
      </w:r>
      <w:r w:rsidR="001B0C7F" w:rsidRPr="00D131B8">
        <w:rPr>
          <w:szCs w:val="22"/>
        </w:rPr>
        <w:t>к Документу </w:t>
      </w:r>
      <w:hyperlink r:id="rId42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C960F9" w:rsidRPr="00D131B8" w:rsidRDefault="0093338C" w:rsidP="00D131B8">
      <w:pPr>
        <w:jc w:val="both"/>
        <w:rPr>
          <w:szCs w:val="24"/>
        </w:rPr>
      </w:pPr>
      <w:r w:rsidRPr="00D131B8">
        <w:rPr>
          <w:szCs w:val="22"/>
        </w:rPr>
        <w:t xml:space="preserve">Развертывание и технические характеристики широкополосных станций </w:t>
      </w:r>
      <w:r w:rsidRPr="00D131B8">
        <w:t>на</w:t>
      </w:r>
      <w:r w:rsidRPr="00D131B8">
        <w:rPr>
          <w:szCs w:val="22"/>
        </w:rPr>
        <w:t xml:space="preserve"> высотных платформах в полосах 6440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6520 МГц, 6560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6640 МГц, 21,4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22,0 ГГц, 24,25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27,5 ГГц, 27,9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28,2 ГГц, 31,0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31,3 ГГц, 38,0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39,5 ГГц, 47,2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>47,5 ГГц и 47,9</w:t>
      </w:r>
      <w:r w:rsidR="00984769" w:rsidRPr="00D131B8">
        <w:rPr>
          <w:szCs w:val="24"/>
        </w:rPr>
        <w:t>–</w:t>
      </w:r>
      <w:r w:rsidRPr="00D131B8">
        <w:rPr>
          <w:szCs w:val="22"/>
        </w:rPr>
        <w:t xml:space="preserve">48,2 ГГц для применения в исследованиях совместного использования частот и совместимости </w:t>
      </w:r>
      <w:r w:rsidR="00C960F9" w:rsidRPr="00D131B8">
        <w:rPr>
          <w:szCs w:val="24"/>
        </w:rPr>
        <w:t xml:space="preserve">(предварительный проект новой Рекомендации/нового Отчета МСЭ-R F.[BROADBAND HAPS CHARACTERISTICS]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14 </w:t>
      </w:r>
      <w:r w:rsidR="001B0C7F" w:rsidRPr="00D131B8">
        <w:rPr>
          <w:szCs w:val="22"/>
        </w:rPr>
        <w:t>к Документу </w:t>
      </w:r>
      <w:hyperlink r:id="rId43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C960F9" w:rsidRPr="00D131B8" w:rsidRDefault="00371854" w:rsidP="00D131B8">
      <w:pPr>
        <w:jc w:val="both"/>
        <w:rPr>
          <w:szCs w:val="24"/>
        </w:rPr>
      </w:pPr>
      <w:r w:rsidRPr="00D131B8">
        <w:rPr>
          <w:szCs w:val="24"/>
        </w:rPr>
        <w:t xml:space="preserve">Ухудшение эксплуатационных показателей вследствие помех от других служб, совместно использующих те же полосы частот на равной первичной основе с реальными цифровыми системами фиксированной беспроводной связи, используемыми на международных и внутренних участках гипотетического эталонного тракта длиной 27 500 км на основной и более высокой скорости  </w:t>
      </w:r>
      <w:r w:rsidR="00C960F9" w:rsidRPr="00D131B8">
        <w:rPr>
          <w:szCs w:val="24"/>
        </w:rPr>
        <w:t xml:space="preserve">(предварительный проект пересмотренной Рекомендации МСЭ-R F.1565-0 – </w:t>
      </w:r>
      <w:r w:rsidR="001B0C7F" w:rsidRPr="00D131B8">
        <w:t>см. Приложение </w:t>
      </w:r>
      <w:r w:rsidR="00C960F9" w:rsidRPr="00D131B8">
        <w:rPr>
          <w:szCs w:val="24"/>
        </w:rPr>
        <w:t xml:space="preserve">22 </w:t>
      </w:r>
      <w:r w:rsidR="001B0C7F" w:rsidRPr="00D131B8">
        <w:rPr>
          <w:szCs w:val="22"/>
        </w:rPr>
        <w:t>к Документу </w:t>
      </w:r>
      <w:hyperlink r:id="rId44" w:history="1">
        <w:r w:rsidR="00C960F9" w:rsidRPr="00D131B8">
          <w:rPr>
            <w:rStyle w:val="Hyperlink"/>
            <w:szCs w:val="24"/>
          </w:rPr>
          <w:t>5C/531</w:t>
        </w:r>
      </w:hyperlink>
      <w:r w:rsidR="00C960F9" w:rsidRPr="00D131B8">
        <w:rPr>
          <w:szCs w:val="24"/>
        </w:rPr>
        <w:t>)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r w:rsidR="00F96B6D" w:rsidRPr="00D131B8">
        <w:rPr>
          <w:b/>
          <w:bCs/>
        </w:rPr>
        <w:t>5D</w:t>
      </w:r>
    </w:p>
    <w:p w:rsidR="001F6157" w:rsidRPr="00D131B8" w:rsidRDefault="001F6157" w:rsidP="00D131B8">
      <w:pPr>
        <w:jc w:val="both"/>
      </w:pPr>
      <w:r w:rsidRPr="00D131B8">
        <w:t>Планы размещения частот для внедрения наземного сегмента системы Международной подвижной связи (IMT) в полосах частот, определенных для IMT в Регламенте радиосвязи (РР) (</w:t>
      </w:r>
      <w:r w:rsidRPr="00D131B8">
        <w:rPr>
          <w:szCs w:val="24"/>
        </w:rPr>
        <w:t>рабочий документ к предварительному проекту пересмотренной Рекомендации МСЭ-</w:t>
      </w:r>
      <w:r w:rsidRPr="00D131B8">
        <w:t>R M.1036-5 − см. Документ </w:t>
      </w:r>
      <w:hyperlink r:id="rId45" w:history="1">
        <w:r w:rsidRPr="00D131B8">
          <w:rPr>
            <w:rStyle w:val="Hyperlink"/>
          </w:rPr>
          <w:t>5D/1011</w:t>
        </w:r>
      </w:hyperlink>
      <w:r w:rsidRPr="00D131B8">
        <w:t xml:space="preserve"> (Att. 4.2)).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Целевая группа 5/1</w:t>
      </w:r>
    </w:p>
    <w:p w:rsidR="00F96B6D" w:rsidRPr="00D131B8" w:rsidRDefault="004B5A10" w:rsidP="00CA194B">
      <w:pPr>
        <w:pStyle w:val="Reasons"/>
        <w:spacing w:before="240"/>
        <w:rPr>
          <w:szCs w:val="22"/>
        </w:rPr>
      </w:pPr>
      <w:r w:rsidRPr="00D131B8">
        <w:rPr>
          <w:szCs w:val="22"/>
        </w:rPr>
        <w:t>Отсутствуют.</w:t>
      </w:r>
    </w:p>
    <w:p w:rsidR="00F96B6D" w:rsidRPr="00D131B8" w:rsidRDefault="00F96B6D" w:rsidP="001F6157">
      <w:pPr>
        <w:spacing w:before="720"/>
        <w:jc w:val="center"/>
      </w:pPr>
      <w:r w:rsidRPr="00D131B8">
        <w:t>______________</w:t>
      </w:r>
    </w:p>
    <w:sectPr w:rsidR="00F96B6D" w:rsidRPr="00D131B8" w:rsidSect="00D131B8">
      <w:headerReference w:type="even" r:id="rId46"/>
      <w:headerReference w:type="default" r:id="rId47"/>
      <w:footerReference w:type="even" r:id="rId48"/>
      <w:headerReference w:type="first" r:id="rId49"/>
      <w:footerReference w:type="first" r:id="rId5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C" w:rsidRDefault="0093338C">
      <w:r>
        <w:separator/>
      </w:r>
    </w:p>
  </w:endnote>
  <w:endnote w:type="continuationSeparator" w:id="0">
    <w:p w:rsidR="0093338C" w:rsidRDefault="009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0C4C1B">
      <w:rPr>
        <w:szCs w:val="10"/>
        <w:lang w:val="fr-CH"/>
      </w:rPr>
      <w:t>Y:\APP\BR\CIRCS_DMS\CACE\800\869\869r.docx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0C4C1B">
      <w:rPr>
        <w:szCs w:val="10"/>
      </w:rPr>
      <w:t>17.08.2018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0C4C1B">
      <w:rPr>
        <w:szCs w:val="10"/>
      </w:rPr>
      <w:t>17.08.2018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E3193E" w:rsidRDefault="0093338C" w:rsidP="00E30E3D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C" w:rsidRDefault="0093338C">
      <w:r>
        <w:t>____________________</w:t>
      </w:r>
    </w:p>
  </w:footnote>
  <w:footnote w:type="continuationSeparator" w:id="0">
    <w:p w:rsidR="0093338C" w:rsidRDefault="0093338C">
      <w:r>
        <w:continuationSeparator/>
      </w:r>
    </w:p>
  </w:footnote>
  <w:footnote w:id="1">
    <w:p w:rsidR="0093338C" w:rsidRPr="009D1D5E" w:rsidRDefault="0093338C" w:rsidP="009D1D5E">
      <w:pPr>
        <w:pStyle w:val="FootnoteText"/>
        <w:ind w:left="284" w:hanging="284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9D1D5E">
        <w:rPr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3338C" w:rsidTr="00E30E3D">
      <w:trPr>
        <w:jc w:val="center"/>
      </w:trPr>
      <w:tc>
        <w:tcPr>
          <w:tcW w:w="9889" w:type="dxa"/>
        </w:tcPr>
        <w:p w:rsidR="0093338C" w:rsidRDefault="0093338C" w:rsidP="00E30E3D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C247521" wp14:editId="4DAE64BB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38C" w:rsidRPr="00D13C40" w:rsidRDefault="0093338C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4C1B"/>
    <w:rsid w:val="000E3DEE"/>
    <w:rsid w:val="000F0121"/>
    <w:rsid w:val="000F2673"/>
    <w:rsid w:val="00100B72"/>
    <w:rsid w:val="00101F7D"/>
    <w:rsid w:val="00103C76"/>
    <w:rsid w:val="00104BE7"/>
    <w:rsid w:val="0011265F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2C71"/>
    <w:rsid w:val="001756B4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2170"/>
    <w:rsid w:val="001F3948"/>
    <w:rsid w:val="001F5A49"/>
    <w:rsid w:val="001F6157"/>
    <w:rsid w:val="001F6CFE"/>
    <w:rsid w:val="00201097"/>
    <w:rsid w:val="00201B6E"/>
    <w:rsid w:val="0020520D"/>
    <w:rsid w:val="00207F4C"/>
    <w:rsid w:val="00214392"/>
    <w:rsid w:val="002302B3"/>
    <w:rsid w:val="00230C66"/>
    <w:rsid w:val="00235A29"/>
    <w:rsid w:val="00241526"/>
    <w:rsid w:val="002443A2"/>
    <w:rsid w:val="0025572B"/>
    <w:rsid w:val="002558C6"/>
    <w:rsid w:val="00266E74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A15"/>
    <w:rsid w:val="002D5BDD"/>
    <w:rsid w:val="002D7094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36D4"/>
    <w:rsid w:val="00385FF5"/>
    <w:rsid w:val="003A176F"/>
    <w:rsid w:val="003A1F49"/>
    <w:rsid w:val="003A5D52"/>
    <w:rsid w:val="003B2BDA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6864"/>
    <w:rsid w:val="00496920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79E9"/>
    <w:rsid w:val="005B214C"/>
    <w:rsid w:val="005B5DD0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29F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835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7729"/>
    <w:rsid w:val="00740B4A"/>
    <w:rsid w:val="00750CFA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1B0"/>
    <w:rsid w:val="008143A4"/>
    <w:rsid w:val="0081513E"/>
    <w:rsid w:val="00817367"/>
    <w:rsid w:val="00825A56"/>
    <w:rsid w:val="0083179D"/>
    <w:rsid w:val="00843794"/>
    <w:rsid w:val="00851FD9"/>
    <w:rsid w:val="00854131"/>
    <w:rsid w:val="0085652D"/>
    <w:rsid w:val="00862E82"/>
    <w:rsid w:val="008657DD"/>
    <w:rsid w:val="008750C7"/>
    <w:rsid w:val="0087694B"/>
    <w:rsid w:val="00880F4D"/>
    <w:rsid w:val="00892745"/>
    <w:rsid w:val="008959E6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44805"/>
    <w:rsid w:val="00947185"/>
    <w:rsid w:val="009518B3"/>
    <w:rsid w:val="00954CB3"/>
    <w:rsid w:val="00955A28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66E23"/>
    <w:rsid w:val="00A7596D"/>
    <w:rsid w:val="00A81037"/>
    <w:rsid w:val="00A840C0"/>
    <w:rsid w:val="00A963DF"/>
    <w:rsid w:val="00AC0C22"/>
    <w:rsid w:val="00AC3896"/>
    <w:rsid w:val="00AD2CF2"/>
    <w:rsid w:val="00AE2D88"/>
    <w:rsid w:val="00AE3B81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63DB"/>
    <w:rsid w:val="00BE6574"/>
    <w:rsid w:val="00BF5F50"/>
    <w:rsid w:val="00C05674"/>
    <w:rsid w:val="00C06484"/>
    <w:rsid w:val="00C07319"/>
    <w:rsid w:val="00C16FD2"/>
    <w:rsid w:val="00C22584"/>
    <w:rsid w:val="00C262C1"/>
    <w:rsid w:val="00C4395E"/>
    <w:rsid w:val="00C46613"/>
    <w:rsid w:val="00C47FFD"/>
    <w:rsid w:val="00C51E92"/>
    <w:rsid w:val="00C57E2C"/>
    <w:rsid w:val="00C608B7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EE603E"/>
    <w:rsid w:val="00F11768"/>
    <w:rsid w:val="00F25522"/>
    <w:rsid w:val="00F25AEA"/>
    <w:rsid w:val="00F26703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E0818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5-SG05-C/en" TargetMode="External"/><Relationship Id="rId18" Type="http://schemas.openxmlformats.org/officeDocument/2006/relationships/hyperlink" Target="https://www.itu.int/md/R15-WP5A-C-0844/en" TargetMode="External"/><Relationship Id="rId26" Type="http://schemas.openxmlformats.org/officeDocument/2006/relationships/hyperlink" Target="https://www.itu.int/md/R15-WP5A-C-0844/en" TargetMode="External"/><Relationship Id="rId39" Type="http://schemas.openxmlformats.org/officeDocument/2006/relationships/hyperlink" Target="https://www.itu.int/md/R15-WP5C-C-053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5A-C-0844/en" TargetMode="External"/><Relationship Id="rId34" Type="http://schemas.openxmlformats.org/officeDocument/2006/relationships/hyperlink" Target="https://www.itu.int/md/R15-WP5B-C-0538/en" TargetMode="External"/><Relationship Id="rId42" Type="http://schemas.openxmlformats.org/officeDocument/2006/relationships/hyperlink" Target="https://www.itu.int/md/R15-WP5C-C-0531/en" TargetMode="External"/><Relationship Id="rId47" Type="http://schemas.openxmlformats.org/officeDocument/2006/relationships/header" Target="header2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.AR-C/en" TargetMode="External"/><Relationship Id="rId17" Type="http://schemas.openxmlformats.org/officeDocument/2006/relationships/hyperlink" Target="https://www.itu.int/md/R15-SG05-C-0090/en" TargetMode="External"/><Relationship Id="rId25" Type="http://schemas.openxmlformats.org/officeDocument/2006/relationships/hyperlink" Target="https://www.itu.int/md/R15-WP5A-C-0844/en" TargetMode="External"/><Relationship Id="rId33" Type="http://schemas.openxmlformats.org/officeDocument/2006/relationships/hyperlink" Target="https://www.itu.int/md/R15-WP5B-C-0538/en" TargetMode="External"/><Relationship Id="rId38" Type="http://schemas.openxmlformats.org/officeDocument/2006/relationships/hyperlink" Target="https://www.itu.int/md/R15-WP5B-C-0538/en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5-WP5A-C-0844/en" TargetMode="External"/><Relationship Id="rId29" Type="http://schemas.openxmlformats.org/officeDocument/2006/relationships/hyperlink" Target="https://www.itu.int/md/R15-WP5B-C-0538/en" TargetMode="External"/><Relationship Id="rId41" Type="http://schemas.openxmlformats.org/officeDocument/2006/relationships/hyperlink" Target="https://www.itu.int/md/R15-WP5C-C-053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24" Type="http://schemas.openxmlformats.org/officeDocument/2006/relationships/hyperlink" Target="https://www.itu.int/md/R15-WP5A-C-0844/en" TargetMode="External"/><Relationship Id="rId32" Type="http://schemas.openxmlformats.org/officeDocument/2006/relationships/hyperlink" Target="https://www.itu.int/md/R15-WP5B-C-0538/en" TargetMode="External"/><Relationship Id="rId37" Type="http://schemas.openxmlformats.org/officeDocument/2006/relationships/hyperlink" Target="https://www.itu.int/md/R15-WP5B-C-0538/en" TargetMode="External"/><Relationship Id="rId40" Type="http://schemas.openxmlformats.org/officeDocument/2006/relationships/hyperlink" Target="https://www.itu.int/md/R15-WP5C-C-0531/en" TargetMode="External"/><Relationship Id="rId45" Type="http://schemas.openxmlformats.org/officeDocument/2006/relationships/hyperlink" Target="https://www.itu.int/md/R15-WP5D-C-1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WP5A-C-0844/en" TargetMode="External"/><Relationship Id="rId28" Type="http://schemas.openxmlformats.org/officeDocument/2006/relationships/hyperlink" Target="https://www.itu.int/md/R15-WP5A-C-0650/en" TargetMode="External"/><Relationship Id="rId36" Type="http://schemas.openxmlformats.org/officeDocument/2006/relationships/hyperlink" Target="https://www.itu.int/md/R15-WP5B-C-0538/en" TargetMode="External"/><Relationship Id="rId49" Type="http://schemas.openxmlformats.org/officeDocument/2006/relationships/header" Target="header3.xml"/><Relationship Id="rId10" Type="http://schemas.openxmlformats.org/officeDocument/2006/relationships/hyperlink" Target="mailto:rsg5@itu.int" TargetMode="External"/><Relationship Id="rId19" Type="http://schemas.openxmlformats.org/officeDocument/2006/relationships/hyperlink" Target="https://www.itu.int/md/R15-WP5A-C-0844/en" TargetMode="External"/><Relationship Id="rId31" Type="http://schemas.openxmlformats.org/officeDocument/2006/relationships/hyperlink" Target="https://www.itu.int/md/R15-WP5B-C-0538/en" TargetMode="External"/><Relationship Id="rId44" Type="http://schemas.openxmlformats.org/officeDocument/2006/relationships/hyperlink" Target="https://www.itu.int/md/R15-WP5C-C-0531/e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5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WP5A-C-0844/en" TargetMode="External"/><Relationship Id="rId27" Type="http://schemas.openxmlformats.org/officeDocument/2006/relationships/hyperlink" Target="https://www.itu.int/dms_pub/itu-r/md/15/wp5a/c/R15-WP5A-C-0650!N15!MSW-E.docx" TargetMode="External"/><Relationship Id="rId30" Type="http://schemas.openxmlformats.org/officeDocument/2006/relationships/hyperlink" Target="https://www.itu.int/md/R15-WP5B-C-0538/en" TargetMode="External"/><Relationship Id="rId35" Type="http://schemas.openxmlformats.org/officeDocument/2006/relationships/hyperlink" Target="https://www.itu.int/md/R15-WP5B-C-0538/en" TargetMode="External"/><Relationship Id="rId43" Type="http://schemas.openxmlformats.org/officeDocument/2006/relationships/hyperlink" Target="https://www.itu.int/md/R15-WP5C-C-0531/en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itu.int/md/R00-SG05-CIR-0078/en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DA15-A98C-48E5-8A6A-85EB879B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2396</Words>
  <Characters>19188</Characters>
  <Application>Microsoft Office Word</Application>
  <DocSecurity>0</DocSecurity>
  <Lines>159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21541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2018-08-17T13:18:00Z</cp:lastPrinted>
  <dcterms:created xsi:type="dcterms:W3CDTF">2018-08-17T13:18:00Z</dcterms:created>
  <dcterms:modified xsi:type="dcterms:W3CDTF">2018-08-17T13:22:00Z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