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53DCE" w:rsidRPr="00D00AD1" w:rsidTr="00306452">
        <w:trPr>
          <w:jc w:val="center"/>
        </w:trPr>
        <w:tc>
          <w:tcPr>
            <w:tcW w:w="9889" w:type="dxa"/>
            <w:gridSpan w:val="3"/>
            <w:shd w:val="clear" w:color="auto" w:fill="auto"/>
          </w:tcPr>
          <w:p w:rsidR="00E53DCE" w:rsidRPr="00D00AD1" w:rsidRDefault="00A96D3A" w:rsidP="00CD1697">
            <w:pPr>
              <w:spacing w:before="0"/>
              <w:jc w:val="left"/>
              <w:rPr>
                <w:rFonts w:cstheme="minorHAnsi"/>
                <w:b/>
                <w:bCs/>
                <w:color w:val="808080"/>
                <w:sz w:val="28"/>
                <w:szCs w:val="28"/>
                <w:lang w:val="es-ES_tradnl"/>
              </w:rPr>
            </w:pPr>
            <w:r w:rsidRPr="00D00AD1">
              <w:rPr>
                <w:rFonts w:cstheme="minorHAnsi"/>
                <w:b/>
                <w:bCs/>
                <w:color w:val="808080"/>
                <w:sz w:val="28"/>
                <w:szCs w:val="28"/>
                <w:lang w:val="es-ES_tradnl"/>
              </w:rPr>
              <w:t>Oficina de Radiocomunicaciones (BR)</w:t>
            </w:r>
          </w:p>
          <w:p w:rsidR="00E53DCE" w:rsidRPr="00D00AD1" w:rsidRDefault="00E53DCE" w:rsidP="00CD1697">
            <w:pPr>
              <w:spacing w:before="0"/>
              <w:jc w:val="left"/>
              <w:rPr>
                <w:rFonts w:cstheme="minorHAnsi"/>
                <w:b/>
                <w:bCs/>
                <w:color w:val="808080"/>
                <w:sz w:val="28"/>
                <w:szCs w:val="28"/>
                <w:lang w:val="es-ES_tradnl"/>
              </w:rPr>
            </w:pPr>
          </w:p>
          <w:p w:rsidR="00E53DCE" w:rsidRPr="00D00AD1" w:rsidRDefault="00E53DCE" w:rsidP="00CD1697">
            <w:pPr>
              <w:spacing w:before="0"/>
              <w:jc w:val="left"/>
              <w:rPr>
                <w:rFonts w:cs="Times New Roman Bold"/>
                <w:b/>
                <w:bCs/>
                <w:color w:val="808080"/>
                <w:sz w:val="28"/>
                <w:szCs w:val="28"/>
                <w:lang w:val="es-ES_tradnl"/>
              </w:rPr>
            </w:pPr>
          </w:p>
        </w:tc>
      </w:tr>
      <w:tr w:rsidR="00E53DCE" w:rsidRPr="00D00AD1" w:rsidTr="00306452">
        <w:trPr>
          <w:jc w:val="center"/>
        </w:trPr>
        <w:tc>
          <w:tcPr>
            <w:tcW w:w="7054" w:type="dxa"/>
            <w:gridSpan w:val="2"/>
            <w:shd w:val="clear" w:color="auto" w:fill="auto"/>
          </w:tcPr>
          <w:p w:rsidR="00E53DCE" w:rsidRPr="00D00AD1" w:rsidRDefault="00A96D3A" w:rsidP="00CD1697">
            <w:pPr>
              <w:spacing w:before="0"/>
              <w:jc w:val="left"/>
              <w:rPr>
                <w:szCs w:val="24"/>
                <w:lang w:val="es-ES_tradnl"/>
              </w:rPr>
            </w:pPr>
            <w:r w:rsidRPr="00D00AD1">
              <w:rPr>
                <w:szCs w:val="24"/>
                <w:lang w:val="es-ES_tradnl"/>
              </w:rPr>
              <w:t>Circular Administrativa</w:t>
            </w:r>
          </w:p>
          <w:p w:rsidR="00E53DCE" w:rsidRPr="00D00AD1" w:rsidRDefault="00E53DCE" w:rsidP="00CD1697">
            <w:pPr>
              <w:spacing w:before="0"/>
              <w:jc w:val="left"/>
              <w:rPr>
                <w:b/>
                <w:bCs/>
                <w:szCs w:val="24"/>
                <w:lang w:val="es-ES_tradnl"/>
              </w:rPr>
            </w:pPr>
            <w:r w:rsidRPr="00D00AD1">
              <w:rPr>
                <w:b/>
                <w:bCs/>
                <w:szCs w:val="24"/>
                <w:lang w:val="es-ES_tradnl"/>
              </w:rPr>
              <w:t>CA</w:t>
            </w:r>
            <w:r w:rsidR="002E6646" w:rsidRPr="00D00AD1">
              <w:rPr>
                <w:b/>
                <w:bCs/>
                <w:szCs w:val="24"/>
                <w:lang w:val="es-ES_tradnl"/>
              </w:rPr>
              <w:t>CE</w:t>
            </w:r>
            <w:r w:rsidRPr="00D00AD1">
              <w:rPr>
                <w:b/>
                <w:bCs/>
                <w:szCs w:val="24"/>
                <w:lang w:val="es-ES_tradnl"/>
              </w:rPr>
              <w:t>/</w:t>
            </w:r>
            <w:r w:rsidR="006A1F66">
              <w:rPr>
                <w:b/>
                <w:bCs/>
                <w:szCs w:val="24"/>
                <w:lang w:val="es-ES_tradnl"/>
              </w:rPr>
              <w:t>864</w:t>
            </w:r>
          </w:p>
        </w:tc>
        <w:tc>
          <w:tcPr>
            <w:tcW w:w="2835" w:type="dxa"/>
            <w:shd w:val="clear" w:color="auto" w:fill="auto"/>
          </w:tcPr>
          <w:p w:rsidR="00E53DCE" w:rsidRPr="00D00AD1" w:rsidRDefault="00F5425B" w:rsidP="00D42EEB">
            <w:pPr>
              <w:spacing w:before="0"/>
              <w:jc w:val="right"/>
              <w:rPr>
                <w:szCs w:val="24"/>
                <w:lang w:val="es-ES_tradnl"/>
              </w:rPr>
            </w:pPr>
            <w:r>
              <w:rPr>
                <w:bCs/>
                <w:szCs w:val="24"/>
                <w:lang w:val="es-ES_tradnl"/>
              </w:rPr>
              <w:t>2</w:t>
            </w:r>
            <w:r w:rsidR="006A1F66">
              <w:rPr>
                <w:bCs/>
                <w:szCs w:val="24"/>
                <w:lang w:val="es-ES_tradnl"/>
              </w:rPr>
              <w:t xml:space="preserve"> </w:t>
            </w:r>
            <w:r w:rsidR="0042321E">
              <w:rPr>
                <w:bCs/>
                <w:szCs w:val="24"/>
                <w:lang w:val="es-ES_tradnl"/>
              </w:rPr>
              <w:t xml:space="preserve">de </w:t>
            </w:r>
            <w:r w:rsidR="00D42EEB">
              <w:rPr>
                <w:bCs/>
                <w:szCs w:val="24"/>
                <w:lang w:val="es-ES_tradnl"/>
              </w:rPr>
              <w:t>julio</w:t>
            </w:r>
            <w:r w:rsidR="006A1F66">
              <w:rPr>
                <w:bCs/>
                <w:szCs w:val="24"/>
                <w:lang w:val="es-ES_tradnl"/>
              </w:rPr>
              <w:t xml:space="preserve"> 2018</w:t>
            </w:r>
          </w:p>
        </w:tc>
      </w:tr>
      <w:tr w:rsidR="00E53DCE" w:rsidRPr="00D00AD1" w:rsidTr="00306452">
        <w:trPr>
          <w:jc w:val="center"/>
        </w:trPr>
        <w:tc>
          <w:tcPr>
            <w:tcW w:w="9889" w:type="dxa"/>
            <w:gridSpan w:val="3"/>
            <w:shd w:val="clear" w:color="auto" w:fill="auto"/>
          </w:tcPr>
          <w:p w:rsidR="00E53DCE" w:rsidRPr="00D00AD1" w:rsidRDefault="00E53DCE" w:rsidP="00CD1697">
            <w:pPr>
              <w:spacing w:before="0"/>
              <w:jc w:val="left"/>
              <w:rPr>
                <w:rFonts w:cs="Arial"/>
                <w:szCs w:val="24"/>
                <w:lang w:val="es-ES_tradnl"/>
              </w:rPr>
            </w:pPr>
          </w:p>
        </w:tc>
      </w:tr>
      <w:tr w:rsidR="00E53DCE" w:rsidRPr="00D00AD1" w:rsidTr="00306452">
        <w:trPr>
          <w:jc w:val="center"/>
        </w:trPr>
        <w:tc>
          <w:tcPr>
            <w:tcW w:w="9889" w:type="dxa"/>
            <w:gridSpan w:val="3"/>
            <w:shd w:val="clear" w:color="auto" w:fill="auto"/>
          </w:tcPr>
          <w:p w:rsidR="00E53DCE" w:rsidRPr="00D00AD1" w:rsidRDefault="00E53DCE" w:rsidP="00CD1697">
            <w:pPr>
              <w:spacing w:before="0"/>
              <w:jc w:val="left"/>
              <w:rPr>
                <w:szCs w:val="24"/>
                <w:lang w:val="es-ES_tradnl"/>
              </w:rPr>
            </w:pPr>
          </w:p>
        </w:tc>
      </w:tr>
      <w:tr w:rsidR="00E53DCE" w:rsidRPr="00D42EEB" w:rsidTr="00306452">
        <w:trPr>
          <w:jc w:val="center"/>
        </w:trPr>
        <w:tc>
          <w:tcPr>
            <w:tcW w:w="9889" w:type="dxa"/>
            <w:gridSpan w:val="3"/>
            <w:shd w:val="clear" w:color="auto" w:fill="auto"/>
          </w:tcPr>
          <w:p w:rsidR="00E53DCE" w:rsidRPr="00D00AD1" w:rsidRDefault="002E6646" w:rsidP="006A1F66">
            <w:pPr>
              <w:spacing w:before="0"/>
              <w:jc w:val="left"/>
              <w:rPr>
                <w:b/>
                <w:bCs/>
                <w:szCs w:val="24"/>
                <w:lang w:val="es-ES_tradnl"/>
              </w:rPr>
            </w:pPr>
            <w:r w:rsidRPr="00D00AD1">
              <w:rPr>
                <w:b/>
                <w:bCs/>
                <w:lang w:val="es-ES_tradnl"/>
              </w:rPr>
              <w:t xml:space="preserve">A las Administraciones de los Estados Miembros de la UIT, a los Miembros del Sector de Radiocomunicaciones, a los Asociados del UIT-R que participan en los trabajos de la </w:t>
            </w:r>
            <w:r w:rsidR="006A1F66">
              <w:rPr>
                <w:b/>
                <w:bCs/>
                <w:lang w:val="es-ES_tradnl"/>
              </w:rPr>
              <w:br/>
            </w:r>
            <w:r w:rsidRPr="00D00AD1">
              <w:rPr>
                <w:b/>
                <w:bCs/>
                <w:lang w:val="es-ES_tradnl"/>
              </w:rPr>
              <w:t xml:space="preserve">Comisión de Estudio </w:t>
            </w:r>
            <w:r w:rsidR="006A1F66">
              <w:rPr>
                <w:b/>
                <w:bCs/>
                <w:lang w:val="es-ES_tradnl"/>
              </w:rPr>
              <w:t>1</w:t>
            </w:r>
            <w:r w:rsidRPr="00D00AD1">
              <w:rPr>
                <w:b/>
                <w:bCs/>
                <w:lang w:val="es-ES_tradnl"/>
              </w:rPr>
              <w:t xml:space="preserve"> de Radiocomunicaciones y a las Instituciones Académicas de la UIT</w:t>
            </w:r>
          </w:p>
        </w:tc>
      </w:tr>
      <w:tr w:rsidR="00E53DCE" w:rsidRPr="00D42EEB" w:rsidTr="00306452">
        <w:trPr>
          <w:jc w:val="center"/>
        </w:trPr>
        <w:tc>
          <w:tcPr>
            <w:tcW w:w="9889" w:type="dxa"/>
            <w:gridSpan w:val="3"/>
            <w:shd w:val="clear" w:color="auto" w:fill="auto"/>
          </w:tcPr>
          <w:p w:rsidR="00E53DCE" w:rsidRPr="00D00AD1" w:rsidRDefault="00E53DCE" w:rsidP="00CD1697">
            <w:pPr>
              <w:spacing w:before="0"/>
              <w:jc w:val="left"/>
              <w:rPr>
                <w:szCs w:val="24"/>
                <w:lang w:val="es-ES_tradnl"/>
              </w:rPr>
            </w:pPr>
          </w:p>
        </w:tc>
      </w:tr>
      <w:tr w:rsidR="00E53DCE" w:rsidRPr="00D42EEB" w:rsidTr="00306452">
        <w:trPr>
          <w:jc w:val="center"/>
        </w:trPr>
        <w:tc>
          <w:tcPr>
            <w:tcW w:w="9889" w:type="dxa"/>
            <w:gridSpan w:val="3"/>
            <w:shd w:val="clear" w:color="auto" w:fill="auto"/>
          </w:tcPr>
          <w:p w:rsidR="00E53DCE" w:rsidRPr="00D00AD1" w:rsidRDefault="00E53DCE" w:rsidP="00CD1697">
            <w:pPr>
              <w:spacing w:before="0"/>
              <w:jc w:val="left"/>
              <w:rPr>
                <w:szCs w:val="24"/>
                <w:lang w:val="es-ES_tradnl"/>
              </w:rPr>
            </w:pPr>
          </w:p>
        </w:tc>
      </w:tr>
      <w:tr w:rsidR="00E53DCE" w:rsidRPr="00D42EEB" w:rsidTr="00306452">
        <w:trPr>
          <w:jc w:val="center"/>
        </w:trPr>
        <w:tc>
          <w:tcPr>
            <w:tcW w:w="1526" w:type="dxa"/>
            <w:shd w:val="clear" w:color="auto" w:fill="auto"/>
          </w:tcPr>
          <w:p w:rsidR="00E53DCE" w:rsidRPr="00D00AD1" w:rsidRDefault="002E6646" w:rsidP="00CD1697">
            <w:pPr>
              <w:tabs>
                <w:tab w:val="clear" w:pos="1588"/>
                <w:tab w:val="left" w:pos="1560"/>
              </w:tabs>
              <w:spacing w:before="0"/>
              <w:jc w:val="left"/>
              <w:rPr>
                <w:szCs w:val="24"/>
                <w:lang w:val="es-ES_tradnl"/>
              </w:rPr>
            </w:pPr>
            <w:r w:rsidRPr="003428EF">
              <w:rPr>
                <w:szCs w:val="24"/>
                <w:lang w:val="es-ES_tradnl"/>
              </w:rPr>
              <w:t>Asunto</w:t>
            </w:r>
            <w:r w:rsidR="00A96D3A" w:rsidRPr="003428EF">
              <w:rPr>
                <w:szCs w:val="24"/>
                <w:lang w:val="es-ES_tradnl"/>
              </w:rPr>
              <w:t>:</w:t>
            </w:r>
          </w:p>
        </w:tc>
        <w:tc>
          <w:tcPr>
            <w:tcW w:w="8363" w:type="dxa"/>
            <w:gridSpan w:val="2"/>
            <w:vMerge w:val="restart"/>
            <w:shd w:val="clear" w:color="auto" w:fill="auto"/>
          </w:tcPr>
          <w:p w:rsidR="00E53DCE" w:rsidRPr="00D00AD1" w:rsidRDefault="002E6646" w:rsidP="006A1F66">
            <w:pPr>
              <w:tabs>
                <w:tab w:val="clear" w:pos="1588"/>
                <w:tab w:val="left" w:pos="1560"/>
              </w:tabs>
              <w:spacing w:before="0"/>
              <w:rPr>
                <w:b/>
                <w:lang w:val="es-ES_tradnl"/>
              </w:rPr>
            </w:pPr>
            <w:r w:rsidRPr="00D00AD1">
              <w:rPr>
                <w:b/>
                <w:lang w:val="es-ES_tradnl"/>
              </w:rPr>
              <w:t xml:space="preserve">Comisión de Estudio </w:t>
            </w:r>
            <w:r w:rsidR="006A1F66">
              <w:rPr>
                <w:b/>
                <w:lang w:val="es-ES_tradnl"/>
              </w:rPr>
              <w:t>1</w:t>
            </w:r>
            <w:r w:rsidRPr="00D00AD1">
              <w:rPr>
                <w:b/>
                <w:lang w:val="es-ES_tradnl"/>
              </w:rPr>
              <w:t xml:space="preserve"> de Radiocomunicaciones</w:t>
            </w:r>
            <w:r w:rsidR="00470826">
              <w:rPr>
                <w:b/>
                <w:lang w:val="es-ES_tradnl"/>
              </w:rPr>
              <w:t xml:space="preserve"> (</w:t>
            </w:r>
            <w:r w:rsidR="006A1F66">
              <w:rPr>
                <w:b/>
                <w:lang w:val="es-ES_tradnl"/>
              </w:rPr>
              <w:t>Gestión del espectro</w:t>
            </w:r>
            <w:r w:rsidR="00470826">
              <w:rPr>
                <w:b/>
                <w:lang w:val="es-ES_tradnl"/>
              </w:rPr>
              <w:t>)</w:t>
            </w:r>
          </w:p>
          <w:p w:rsidR="002E6646" w:rsidRPr="003428EF" w:rsidRDefault="002E6646" w:rsidP="006A1F66">
            <w:pPr>
              <w:spacing w:before="120"/>
              <w:ind w:left="794" w:hanging="794"/>
              <w:jc w:val="left"/>
              <w:rPr>
                <w:b/>
                <w:bCs/>
                <w:lang w:val="es-ES"/>
              </w:rPr>
            </w:pPr>
            <w:r w:rsidRPr="003428EF">
              <w:rPr>
                <w:b/>
                <w:bCs/>
                <w:lang w:val="es-ES"/>
              </w:rPr>
              <w:t>–</w:t>
            </w:r>
            <w:r w:rsidRPr="003428EF">
              <w:rPr>
                <w:b/>
                <w:bCs/>
                <w:lang w:val="es-ES"/>
              </w:rPr>
              <w:tab/>
              <w:t xml:space="preserve">Propuesta de adopción de </w:t>
            </w:r>
            <w:r w:rsidR="006A1F66">
              <w:rPr>
                <w:b/>
                <w:bCs/>
                <w:lang w:val="es-ES"/>
              </w:rPr>
              <w:t>1</w:t>
            </w:r>
            <w:r w:rsidRPr="003428EF">
              <w:rPr>
                <w:b/>
                <w:bCs/>
                <w:lang w:val="es-ES"/>
              </w:rPr>
              <w:t xml:space="preserve"> proyecto</w:t>
            </w:r>
            <w:r w:rsidR="00470826">
              <w:rPr>
                <w:b/>
                <w:bCs/>
                <w:lang w:val="es-ES"/>
              </w:rPr>
              <w:t xml:space="preserve"> de nueva Recomendaci</w:t>
            </w:r>
            <w:r w:rsidR="006A1F66">
              <w:rPr>
                <w:b/>
                <w:bCs/>
                <w:lang w:val="es-ES"/>
              </w:rPr>
              <w:t xml:space="preserve">ón </w:t>
            </w:r>
            <w:r w:rsidR="00552165">
              <w:rPr>
                <w:b/>
                <w:bCs/>
                <w:lang w:val="es-ES"/>
              </w:rPr>
              <w:t>UIT-</w:t>
            </w:r>
            <w:r w:rsidRPr="003428EF">
              <w:rPr>
                <w:b/>
                <w:bCs/>
                <w:lang w:val="es-ES"/>
              </w:rPr>
              <w:t xml:space="preserve">R </w:t>
            </w:r>
            <w:r w:rsidR="006A1F66">
              <w:rPr>
                <w:b/>
                <w:bCs/>
                <w:lang w:val="es-ES"/>
              </w:rPr>
              <w:br/>
            </w:r>
            <w:r w:rsidRPr="003428EF">
              <w:rPr>
                <w:b/>
                <w:bCs/>
                <w:lang w:val="es-ES"/>
              </w:rPr>
              <w:t xml:space="preserve">y </w:t>
            </w:r>
            <w:r w:rsidR="006A1F66">
              <w:rPr>
                <w:b/>
                <w:bCs/>
                <w:lang w:val="es-ES"/>
              </w:rPr>
              <w:t>2</w:t>
            </w:r>
            <w:r w:rsidRPr="003428EF">
              <w:rPr>
                <w:b/>
                <w:bCs/>
                <w:lang w:val="es-ES"/>
              </w:rPr>
              <w:t xml:space="preserve"> proyectos de Recomendaciones UIT-R revisadas y su aprobación simultánea por correspondencia de conformidad con el § A2.6.2.4 de la Resolución UIT</w:t>
            </w:r>
            <w:r w:rsidRPr="003428EF">
              <w:rPr>
                <w:b/>
                <w:bCs/>
                <w:lang w:val="es-ES"/>
              </w:rPr>
              <w:noBreakHyphen/>
              <w:t>R 1</w:t>
            </w:r>
            <w:r w:rsidRPr="003428EF">
              <w:rPr>
                <w:b/>
                <w:bCs/>
                <w:lang w:val="es-ES"/>
              </w:rPr>
              <w:noBreakHyphen/>
              <w:t>7 (Procedimiento para la adopción y aprobación simultánea por correspondencia)</w:t>
            </w:r>
          </w:p>
          <w:p w:rsidR="002E6646" w:rsidRPr="00D00AD1" w:rsidRDefault="002E6646" w:rsidP="006A1F66">
            <w:pPr>
              <w:spacing w:before="120"/>
              <w:jc w:val="left"/>
              <w:rPr>
                <w:b/>
                <w:bCs/>
                <w:szCs w:val="24"/>
                <w:lang w:val="es-ES_tradnl"/>
              </w:rPr>
            </w:pPr>
            <w:r w:rsidRPr="00D00AD1">
              <w:rPr>
                <w:b/>
                <w:bCs/>
                <w:lang w:val="es-ES_tradnl"/>
              </w:rPr>
              <w:t>–</w:t>
            </w:r>
            <w:r w:rsidRPr="00D00AD1">
              <w:rPr>
                <w:b/>
                <w:bCs/>
                <w:lang w:val="es-ES_tradnl"/>
              </w:rPr>
              <w:tab/>
              <w:t xml:space="preserve">Propuesta de supresión de </w:t>
            </w:r>
            <w:r w:rsidR="006A1F66">
              <w:rPr>
                <w:b/>
                <w:bCs/>
                <w:lang w:val="es-ES_tradnl"/>
              </w:rPr>
              <w:t>3</w:t>
            </w:r>
            <w:r w:rsidRPr="00D00AD1">
              <w:rPr>
                <w:b/>
                <w:bCs/>
                <w:lang w:val="es-ES_tradnl"/>
              </w:rPr>
              <w:t xml:space="preserve"> Recomendaciones UIT-R</w:t>
            </w:r>
          </w:p>
        </w:tc>
      </w:tr>
      <w:tr w:rsidR="00E53DCE" w:rsidRPr="00D42EEB" w:rsidTr="00306452">
        <w:trPr>
          <w:jc w:val="center"/>
        </w:trPr>
        <w:tc>
          <w:tcPr>
            <w:tcW w:w="1526" w:type="dxa"/>
            <w:shd w:val="clear" w:color="auto" w:fill="auto"/>
          </w:tcPr>
          <w:p w:rsidR="00E53DCE" w:rsidRPr="00D00AD1" w:rsidRDefault="00E53DCE" w:rsidP="00CD1697">
            <w:pPr>
              <w:tabs>
                <w:tab w:val="clear" w:pos="1588"/>
                <w:tab w:val="left" w:pos="1560"/>
              </w:tabs>
              <w:spacing w:before="0"/>
              <w:jc w:val="left"/>
              <w:rPr>
                <w:b/>
                <w:bCs/>
                <w:szCs w:val="24"/>
                <w:lang w:val="es-ES_tradnl"/>
              </w:rPr>
            </w:pPr>
          </w:p>
        </w:tc>
        <w:tc>
          <w:tcPr>
            <w:tcW w:w="8363" w:type="dxa"/>
            <w:gridSpan w:val="2"/>
            <w:vMerge/>
            <w:shd w:val="clear" w:color="auto" w:fill="auto"/>
          </w:tcPr>
          <w:p w:rsidR="00E53DCE" w:rsidRPr="00D00AD1" w:rsidRDefault="00E53DCE" w:rsidP="00CD1697">
            <w:pPr>
              <w:tabs>
                <w:tab w:val="clear" w:pos="1588"/>
                <w:tab w:val="left" w:pos="1560"/>
              </w:tabs>
              <w:spacing w:before="0"/>
              <w:rPr>
                <w:b/>
                <w:bCs/>
                <w:szCs w:val="24"/>
                <w:lang w:val="es-ES_tradnl"/>
              </w:rPr>
            </w:pPr>
          </w:p>
        </w:tc>
      </w:tr>
      <w:tr w:rsidR="00E53DCE" w:rsidRPr="00D42EEB" w:rsidTr="00306452">
        <w:trPr>
          <w:jc w:val="center"/>
        </w:trPr>
        <w:tc>
          <w:tcPr>
            <w:tcW w:w="1526" w:type="dxa"/>
            <w:shd w:val="clear" w:color="auto" w:fill="auto"/>
          </w:tcPr>
          <w:p w:rsidR="00E53DCE" w:rsidRPr="00D00AD1" w:rsidRDefault="00E53DCE" w:rsidP="00CD1697">
            <w:pPr>
              <w:tabs>
                <w:tab w:val="clear" w:pos="1588"/>
                <w:tab w:val="left" w:pos="1560"/>
              </w:tabs>
              <w:spacing w:before="0"/>
              <w:jc w:val="left"/>
              <w:rPr>
                <w:b/>
                <w:bCs/>
                <w:szCs w:val="24"/>
                <w:lang w:val="es-ES_tradnl"/>
              </w:rPr>
            </w:pPr>
          </w:p>
        </w:tc>
        <w:tc>
          <w:tcPr>
            <w:tcW w:w="8363" w:type="dxa"/>
            <w:gridSpan w:val="2"/>
            <w:vMerge/>
            <w:shd w:val="clear" w:color="auto" w:fill="auto"/>
          </w:tcPr>
          <w:p w:rsidR="00E53DCE" w:rsidRPr="00D00AD1" w:rsidRDefault="00E53DCE" w:rsidP="00CD1697">
            <w:pPr>
              <w:tabs>
                <w:tab w:val="clear" w:pos="1588"/>
                <w:tab w:val="left" w:pos="1560"/>
              </w:tabs>
              <w:spacing w:before="0"/>
              <w:rPr>
                <w:b/>
                <w:bCs/>
                <w:szCs w:val="24"/>
                <w:lang w:val="es-ES_tradnl"/>
              </w:rPr>
            </w:pPr>
          </w:p>
        </w:tc>
      </w:tr>
    </w:tbl>
    <w:p w:rsidR="006A1F66" w:rsidRDefault="006A1F66" w:rsidP="00470826">
      <w:pPr>
        <w:rPr>
          <w:lang w:val="es-ES_tradnl"/>
        </w:rPr>
      </w:pPr>
    </w:p>
    <w:p w:rsidR="00470826" w:rsidRDefault="002E6646" w:rsidP="006A1F66">
      <w:pPr>
        <w:rPr>
          <w:lang w:val="es-ES_tradnl"/>
        </w:rPr>
      </w:pPr>
      <w:r w:rsidRPr="00D00AD1">
        <w:rPr>
          <w:lang w:val="es-ES_tradnl"/>
        </w:rPr>
        <w:t xml:space="preserve">En la reunión de la Comisión de Estudio </w:t>
      </w:r>
      <w:r w:rsidR="006A1F66">
        <w:rPr>
          <w:lang w:val="es-ES_tradnl"/>
        </w:rPr>
        <w:t>1</w:t>
      </w:r>
      <w:r w:rsidRPr="00D00AD1">
        <w:rPr>
          <w:lang w:val="es-ES_tradnl"/>
        </w:rPr>
        <w:t xml:space="preserve"> de</w:t>
      </w:r>
      <w:r w:rsidR="006A1F66">
        <w:rPr>
          <w:lang w:val="es-ES_tradnl"/>
        </w:rPr>
        <w:t xml:space="preserve"> Radiocomunicaciones celebrada </w:t>
      </w:r>
      <w:r w:rsidRPr="00D00AD1">
        <w:rPr>
          <w:lang w:val="es-ES_tradnl"/>
        </w:rPr>
        <w:t xml:space="preserve">el </w:t>
      </w:r>
      <w:r w:rsidR="006A1F66">
        <w:rPr>
          <w:lang w:val="es-ES_tradnl"/>
        </w:rPr>
        <w:t>13</w:t>
      </w:r>
      <w:r w:rsidRPr="00D00AD1">
        <w:rPr>
          <w:lang w:val="es-ES_tradnl"/>
        </w:rPr>
        <w:t xml:space="preserve"> de </w:t>
      </w:r>
      <w:r w:rsidR="006A1F66">
        <w:rPr>
          <w:lang w:val="es-ES_tradnl"/>
        </w:rPr>
        <w:t>junio</w:t>
      </w:r>
      <w:r w:rsidRPr="00D00AD1">
        <w:rPr>
          <w:lang w:val="es-ES_tradnl"/>
        </w:rPr>
        <w:t xml:space="preserve"> de 201</w:t>
      </w:r>
      <w:r w:rsidR="006A1F66">
        <w:rPr>
          <w:lang w:val="es-ES_tradnl"/>
        </w:rPr>
        <w:t>8</w:t>
      </w:r>
      <w:r w:rsidRPr="00D00AD1">
        <w:rPr>
          <w:lang w:val="es-ES_tradnl"/>
        </w:rPr>
        <w:t xml:space="preserve">, la Comisión de Estudio decidió solicitar la adopción de </w:t>
      </w:r>
      <w:r w:rsidR="006A1F66">
        <w:rPr>
          <w:lang w:val="es-ES_tradnl"/>
        </w:rPr>
        <w:t>1</w:t>
      </w:r>
      <w:r w:rsidRPr="00D00AD1">
        <w:rPr>
          <w:lang w:val="es-ES_tradnl"/>
        </w:rPr>
        <w:t xml:space="preserve"> proyecto de nueva</w:t>
      </w:r>
      <w:r w:rsidR="006A1F66">
        <w:rPr>
          <w:lang w:val="es-ES_tradnl"/>
        </w:rPr>
        <w:t xml:space="preserve"> Recomendación</w:t>
      </w:r>
      <w:r w:rsidRPr="00D00AD1">
        <w:rPr>
          <w:lang w:val="es-ES_tradnl"/>
        </w:rPr>
        <w:t xml:space="preserve"> UIT-R y de </w:t>
      </w:r>
      <w:r w:rsidR="006A1F66">
        <w:rPr>
          <w:lang w:val="es-ES_tradnl"/>
        </w:rPr>
        <w:t>2</w:t>
      </w:r>
      <w:r w:rsidRPr="00D00AD1">
        <w:rPr>
          <w:lang w:val="es-ES_tradnl"/>
        </w:rPr>
        <w:t xml:space="preserve"> proyectos de Recomendaciones UIT-R revisadas por correspondencia (§ A2.6.2 de la Resolución UIT</w:t>
      </w:r>
      <w:r w:rsidRPr="00D00AD1">
        <w:rPr>
          <w:lang w:val="es-ES_tradnl"/>
        </w:rPr>
        <w:noBreakHyphen/>
        <w:t>R 1</w:t>
      </w:r>
      <w:r w:rsidRPr="00D00AD1">
        <w:rPr>
          <w:lang w:val="es-ES_tradnl"/>
        </w:rPr>
        <w:noBreakHyphen/>
        <w:t>7) y además decidió aplicar el procedimiento de adopción y aprobación simultáneas por correspondencia (PAAS</w:t>
      </w:r>
      <w:r w:rsidR="00470826">
        <w:rPr>
          <w:lang w:val="es-ES_tradnl"/>
        </w:rPr>
        <w:t xml:space="preserve">, </w:t>
      </w:r>
      <w:r w:rsidRPr="00D00AD1">
        <w:rPr>
          <w:lang w:val="es-ES_tradnl"/>
        </w:rPr>
        <w:t>§ A2.6.2.4 de la Resolución UIT</w:t>
      </w:r>
      <w:r w:rsidRPr="00D00AD1">
        <w:rPr>
          <w:lang w:val="es-ES_tradnl"/>
        </w:rPr>
        <w:noBreakHyphen/>
        <w:t>R 1</w:t>
      </w:r>
      <w:r w:rsidRPr="00D00AD1">
        <w:rPr>
          <w:lang w:val="es-ES_tradnl"/>
        </w:rPr>
        <w:noBreakHyphen/>
        <w:t xml:space="preserve">7). Los títulos y resúmenes de los proyectos de Recomendaciones aparecen en el Anexo </w:t>
      </w:r>
      <w:r w:rsidR="006A1F66">
        <w:rPr>
          <w:lang w:val="es-ES_tradnl"/>
        </w:rPr>
        <w:t>1</w:t>
      </w:r>
      <w:r w:rsidRPr="00D00AD1">
        <w:rPr>
          <w:lang w:val="es-ES_tradnl"/>
        </w:rPr>
        <w:t>. Todo Estado Miembro que objete la adopción de un proyecto de Recomendación debe informar al Director y al Presidente de la Comisión de Estudio de los motivos de dicha objeción.</w:t>
      </w:r>
      <w:r w:rsidR="001D522A">
        <w:rPr>
          <w:lang w:val="es-ES_tradnl"/>
        </w:rPr>
        <w:t xml:space="preserve"> </w:t>
      </w:r>
    </w:p>
    <w:p w:rsidR="002E6646" w:rsidRPr="00D00AD1" w:rsidRDefault="00CD1697" w:rsidP="00D42EEB">
      <w:pPr>
        <w:rPr>
          <w:lang w:val="es-ES_tradnl"/>
        </w:rPr>
      </w:pPr>
      <w:r w:rsidRPr="00CD1697">
        <w:rPr>
          <w:lang w:val="es-ES_tradnl"/>
        </w:rPr>
        <w:t>El periodo de consideración se extenderá durante 2 meses finalizando el</w:t>
      </w:r>
      <w:r>
        <w:rPr>
          <w:lang w:val="es-ES_tradnl"/>
        </w:rPr>
        <w:t xml:space="preserve"> </w:t>
      </w:r>
      <w:r w:rsidR="00D42EEB">
        <w:rPr>
          <w:u w:val="single"/>
          <w:lang w:val="es-ES_tradnl"/>
        </w:rPr>
        <w:t>3 de septiembre</w:t>
      </w:r>
      <w:r w:rsidR="006A1F66">
        <w:rPr>
          <w:u w:val="single"/>
          <w:lang w:val="es-ES_tradnl"/>
        </w:rPr>
        <w:t xml:space="preserve"> </w:t>
      </w:r>
      <w:proofErr w:type="spellStart"/>
      <w:r w:rsidR="006A1F66">
        <w:rPr>
          <w:u w:val="single"/>
          <w:lang w:val="es-ES_tradnl"/>
        </w:rPr>
        <w:t>de</w:t>
      </w:r>
      <w:proofErr w:type="spellEnd"/>
      <w:r w:rsidR="006A1F66">
        <w:rPr>
          <w:u w:val="single"/>
          <w:lang w:val="es-ES_tradnl"/>
        </w:rPr>
        <w:t xml:space="preserve"> 2018</w:t>
      </w:r>
      <w:r>
        <w:rPr>
          <w:lang w:val="es-ES_tradnl"/>
        </w:rPr>
        <w:t xml:space="preserve">. </w:t>
      </w:r>
      <w:r w:rsidR="006A1F66">
        <w:rPr>
          <w:lang w:val="es-ES_tradnl"/>
        </w:rPr>
        <w:t>Si </w:t>
      </w:r>
      <w:r w:rsidRPr="00CD1697">
        <w:rPr>
          <w:lang w:val="es-ES_tradnl"/>
        </w:rPr>
        <w:t>durante este periodo no se reciben objeciones de los Estados Miembros, se considerará</w:t>
      </w:r>
      <w:r>
        <w:rPr>
          <w:lang w:val="es-ES_tradnl"/>
        </w:rPr>
        <w:t>n</w:t>
      </w:r>
      <w:r w:rsidRPr="00CD1697">
        <w:rPr>
          <w:lang w:val="es-ES_tradnl"/>
        </w:rPr>
        <w:t xml:space="preserve"> </w:t>
      </w:r>
      <w:r w:rsidR="006A1F66">
        <w:rPr>
          <w:lang w:val="es-ES_tradnl"/>
        </w:rPr>
        <w:t>adoptado</w:t>
      </w:r>
      <w:r>
        <w:rPr>
          <w:lang w:val="es-ES_tradnl"/>
        </w:rPr>
        <w:t>s</w:t>
      </w:r>
      <w:r w:rsidRPr="00CD1697">
        <w:rPr>
          <w:lang w:val="es-ES_tradnl"/>
        </w:rPr>
        <w:t xml:space="preserve"> los proyectos de Recomendación por la Comisión de Estudio </w:t>
      </w:r>
      <w:r w:rsidR="006A1F66">
        <w:rPr>
          <w:lang w:val="es-ES_tradnl"/>
        </w:rPr>
        <w:t>1</w:t>
      </w:r>
      <w:r w:rsidRPr="00CD1697">
        <w:rPr>
          <w:lang w:val="es-ES_tradnl"/>
        </w:rPr>
        <w:t xml:space="preserve">. Además, </w:t>
      </w:r>
      <w:r>
        <w:rPr>
          <w:lang w:val="es-ES_tradnl"/>
        </w:rPr>
        <w:t xml:space="preserve">dado que </w:t>
      </w:r>
      <w:r w:rsidRPr="00CD1697">
        <w:rPr>
          <w:lang w:val="es-ES_tradnl"/>
        </w:rPr>
        <w:t xml:space="preserve">se ha seguido el </w:t>
      </w:r>
      <w:r>
        <w:rPr>
          <w:lang w:val="es-ES_tradnl"/>
        </w:rPr>
        <w:t xml:space="preserve">procedimiento de </w:t>
      </w:r>
      <w:r w:rsidRPr="00CD1697">
        <w:rPr>
          <w:lang w:val="es-ES_tradnl"/>
        </w:rPr>
        <w:t>PAAS, los proyectos de Recomendación también se considerarán aprobados.</w:t>
      </w:r>
    </w:p>
    <w:p w:rsidR="002E6646" w:rsidRPr="00D00AD1" w:rsidRDefault="002E6646" w:rsidP="006A1F66">
      <w:pPr>
        <w:rPr>
          <w:lang w:val="es-ES_tradnl"/>
        </w:rPr>
      </w:pPr>
      <w:r w:rsidRPr="00D00AD1">
        <w:rPr>
          <w:lang w:val="es-ES_tradnl"/>
        </w:rPr>
        <w:t xml:space="preserve">Además, la Comisión de Estudio propuso la supresión de </w:t>
      </w:r>
      <w:r w:rsidR="006A1F66">
        <w:rPr>
          <w:lang w:val="es-ES_tradnl"/>
        </w:rPr>
        <w:t>3</w:t>
      </w:r>
      <w:r w:rsidRPr="00D00AD1">
        <w:rPr>
          <w:lang w:val="es-ES_tradnl"/>
        </w:rPr>
        <w:t xml:space="preserve"> Recomendaci</w:t>
      </w:r>
      <w:r w:rsidR="006A1F66">
        <w:rPr>
          <w:lang w:val="es-ES_tradnl"/>
        </w:rPr>
        <w:t>o</w:t>
      </w:r>
      <w:r w:rsidRPr="00D00AD1">
        <w:rPr>
          <w:lang w:val="es-ES_tradnl"/>
        </w:rPr>
        <w:t>nes que se enumeran en el Anexo 2. Todo Estado Miembro que objete la supresión de un</w:t>
      </w:r>
      <w:r w:rsidR="0012191D">
        <w:rPr>
          <w:lang w:val="es-ES_tradnl"/>
        </w:rPr>
        <w:t>a</w:t>
      </w:r>
      <w:r w:rsidRPr="00D00AD1">
        <w:rPr>
          <w:lang w:val="es-ES_tradnl"/>
        </w:rPr>
        <w:t xml:space="preserve"> Recomendación debe informar al Director y al Presidente de la Comisión de Estudio de los motivos de dicha objeción.</w:t>
      </w:r>
    </w:p>
    <w:p w:rsidR="00CD1697" w:rsidRDefault="00CD1697" w:rsidP="00D42EEB">
      <w:pPr>
        <w:rPr>
          <w:lang w:val="es-ES_tradnl"/>
        </w:rPr>
      </w:pPr>
      <w:r w:rsidRPr="00CD1697">
        <w:rPr>
          <w:lang w:val="es-ES_tradnl"/>
        </w:rPr>
        <w:t xml:space="preserve">El periodo de consideración se extenderá durante 2 meses finalizando el </w:t>
      </w:r>
      <w:r w:rsidR="00D42EEB">
        <w:rPr>
          <w:u w:val="single"/>
          <w:lang w:val="es-ES_tradnl"/>
        </w:rPr>
        <w:t xml:space="preserve">3 de septiembre </w:t>
      </w:r>
      <w:bookmarkStart w:id="0" w:name="_GoBack"/>
      <w:bookmarkEnd w:id="0"/>
      <w:r w:rsidR="006A1F66">
        <w:rPr>
          <w:u w:val="single"/>
          <w:lang w:val="es-ES_tradnl"/>
        </w:rPr>
        <w:t>de 2018</w:t>
      </w:r>
      <w:r w:rsidR="006A1F66">
        <w:rPr>
          <w:lang w:val="es-ES_tradnl"/>
        </w:rPr>
        <w:t>. Si </w:t>
      </w:r>
      <w:r w:rsidRPr="00CD1697">
        <w:rPr>
          <w:lang w:val="es-ES_tradnl"/>
        </w:rPr>
        <w:t>durante este periodo no se reciben objeciones de los Estados Miembros a la</w:t>
      </w:r>
      <w:r w:rsidR="004B6204">
        <w:rPr>
          <w:lang w:val="es-ES_tradnl"/>
        </w:rPr>
        <w:t>s</w:t>
      </w:r>
      <w:r w:rsidRPr="00CD1697">
        <w:rPr>
          <w:lang w:val="es-ES_tradnl"/>
        </w:rPr>
        <w:t xml:space="preserve"> propuesta</w:t>
      </w:r>
      <w:r w:rsidR="004B6204">
        <w:rPr>
          <w:lang w:val="es-ES_tradnl"/>
        </w:rPr>
        <w:t>s</w:t>
      </w:r>
      <w:r w:rsidRPr="00CD1697">
        <w:rPr>
          <w:lang w:val="es-ES_tradnl"/>
        </w:rPr>
        <w:t xml:space="preserve"> de supresión, se considerará que la</w:t>
      </w:r>
      <w:r w:rsidR="004B6204">
        <w:rPr>
          <w:lang w:val="es-ES_tradnl"/>
        </w:rPr>
        <w:t>s</w:t>
      </w:r>
      <w:r w:rsidRPr="00CD1697">
        <w:rPr>
          <w:lang w:val="es-ES_tradnl"/>
        </w:rPr>
        <w:t xml:space="preserve"> Recomendaci</w:t>
      </w:r>
      <w:r w:rsidR="006A1F66">
        <w:rPr>
          <w:lang w:val="es-ES_tradnl"/>
        </w:rPr>
        <w:t>ones</w:t>
      </w:r>
      <w:r w:rsidRPr="00CD1697">
        <w:rPr>
          <w:lang w:val="es-ES_tradnl"/>
        </w:rPr>
        <w:t xml:space="preserve"> queda</w:t>
      </w:r>
      <w:r w:rsidR="004B6204">
        <w:rPr>
          <w:lang w:val="es-ES_tradnl"/>
        </w:rPr>
        <w:t>n</w:t>
      </w:r>
      <w:r w:rsidRPr="00CD1697">
        <w:rPr>
          <w:lang w:val="es-ES_tradnl"/>
        </w:rPr>
        <w:t xml:space="preserve"> suprimida</w:t>
      </w:r>
      <w:r w:rsidR="006A1F66">
        <w:rPr>
          <w:lang w:val="es-ES_tradnl"/>
        </w:rPr>
        <w:t>s</w:t>
      </w:r>
      <w:r w:rsidRPr="00CD1697">
        <w:rPr>
          <w:lang w:val="es-ES_tradnl"/>
        </w:rPr>
        <w:t xml:space="preserve">. </w:t>
      </w:r>
    </w:p>
    <w:p w:rsidR="002E6646" w:rsidRPr="00D00AD1" w:rsidRDefault="002E6646" w:rsidP="006A1F66">
      <w:pPr>
        <w:rPr>
          <w:lang w:val="es-ES_tradnl"/>
        </w:rPr>
      </w:pPr>
      <w:r w:rsidRPr="00D00AD1">
        <w:rPr>
          <w:lang w:val="es-ES_tradnl"/>
        </w:rPr>
        <w:t xml:space="preserve">Tras la fecha límite mencionada, los resultados </w:t>
      </w:r>
      <w:r w:rsidR="00D45A40">
        <w:rPr>
          <w:lang w:val="es-ES_tradnl"/>
        </w:rPr>
        <w:t xml:space="preserve">de </w:t>
      </w:r>
      <w:r w:rsidR="004B6204">
        <w:rPr>
          <w:lang w:val="es-ES_tradnl"/>
        </w:rPr>
        <w:t>los procedimientos arriba citados</w:t>
      </w:r>
      <w:r w:rsidRPr="00D00AD1">
        <w:rPr>
          <w:lang w:val="es-ES_tradnl"/>
        </w:rPr>
        <w:t xml:space="preserve"> se comunicarán mediante Circular Administrativa y se publicarán las Recomendaci</w:t>
      </w:r>
      <w:r w:rsidR="006A1F66">
        <w:rPr>
          <w:lang w:val="es-ES_tradnl"/>
        </w:rPr>
        <w:t>ones</w:t>
      </w:r>
      <w:r w:rsidRPr="00D00AD1">
        <w:rPr>
          <w:lang w:val="es-ES_tradnl"/>
        </w:rPr>
        <w:t xml:space="preserve"> aprobada</w:t>
      </w:r>
      <w:r w:rsidR="006A1F66">
        <w:rPr>
          <w:lang w:val="es-ES_tradnl"/>
        </w:rPr>
        <w:t>s</w:t>
      </w:r>
      <w:r w:rsidRPr="00D00AD1">
        <w:rPr>
          <w:lang w:val="es-ES_tradnl"/>
        </w:rPr>
        <w:t xml:space="preserve"> tan pronto como sea posible (véase </w:t>
      </w:r>
      <w:r w:rsidR="009F1A2F">
        <w:fldChar w:fldCharType="begin"/>
      </w:r>
      <w:r w:rsidR="009F1A2F" w:rsidRPr="000273C1">
        <w:rPr>
          <w:lang w:val="es-ES_tradnl"/>
          <w:rPrChange w:id="1" w:author="^_^" w:date="2017-05-03T12:34:00Z">
            <w:rPr/>
          </w:rPrChange>
        </w:rPr>
        <w:instrText xml:space="preserve"> HYPERLINK "http://www.itu.int/pub/R-REC" </w:instrText>
      </w:r>
      <w:r w:rsidR="009F1A2F">
        <w:fldChar w:fldCharType="separate"/>
      </w:r>
      <w:r w:rsidRPr="00D00AD1">
        <w:rPr>
          <w:color w:val="0000FF"/>
          <w:u w:val="single"/>
          <w:lang w:val="es-ES_tradnl"/>
        </w:rPr>
        <w:t>http://www.itu.int/pub/R-REC</w:t>
      </w:r>
      <w:r w:rsidR="009F1A2F">
        <w:rPr>
          <w:color w:val="0000FF"/>
          <w:u w:val="single"/>
          <w:lang w:val="es-ES_tradnl"/>
        </w:rPr>
        <w:fldChar w:fldCharType="end"/>
      </w:r>
      <w:r w:rsidRPr="00D00AD1">
        <w:rPr>
          <w:lang w:val="es-ES_tradnl"/>
        </w:rPr>
        <w:t>).</w:t>
      </w:r>
    </w:p>
    <w:p w:rsidR="006A124F" w:rsidRDefault="002E6646" w:rsidP="006A1F66">
      <w:pPr>
        <w:keepLines/>
        <w:rPr>
          <w:lang w:val="es-ES_tradnl"/>
        </w:rPr>
      </w:pPr>
      <w:r w:rsidRPr="00D00AD1">
        <w:rPr>
          <w:lang w:val="es-ES_tradnl"/>
        </w:rPr>
        <w:lastRenderedPageBreak/>
        <w:t>Se solicita a toda organización miembro de la UIT que tenga conocimiento de una patente, de su propiedad o de propiedad ajena, que cubra total o parcialmente elementos de</w:t>
      </w:r>
      <w:r w:rsidR="006A1F66">
        <w:rPr>
          <w:lang w:val="es-ES_tradnl"/>
        </w:rPr>
        <w:t xml:space="preserve"> </w:t>
      </w:r>
      <w:r w:rsidRPr="00D00AD1">
        <w:rPr>
          <w:lang w:val="es-ES_tradnl"/>
        </w:rPr>
        <w:t>l</w:t>
      </w:r>
      <w:r w:rsidR="006A1F66">
        <w:rPr>
          <w:lang w:val="es-ES_tradnl"/>
        </w:rPr>
        <w:t>os</w:t>
      </w:r>
      <w:r w:rsidRPr="00D00AD1">
        <w:rPr>
          <w:lang w:val="es-ES_tradnl"/>
        </w:rPr>
        <w:t xml:space="preserve"> proyectos de Recomendaciones mencionados en esta carta, que comunique dicha información a la Secretaría tan pronto como sea posible. La Política común en materia de patentes para UIT-T/UIT-R/ISO/CEI puede consultarse en</w:t>
      </w:r>
      <w:r w:rsidR="006A124F">
        <w:rPr>
          <w:lang w:val="es-ES_tradnl"/>
        </w:rPr>
        <w:t xml:space="preserve"> </w:t>
      </w:r>
      <w:r w:rsidR="009F1A2F">
        <w:fldChar w:fldCharType="begin"/>
      </w:r>
      <w:r w:rsidR="009F1A2F" w:rsidRPr="000273C1">
        <w:rPr>
          <w:lang w:val="es-ES_tradnl"/>
          <w:rPrChange w:id="2" w:author="^_^" w:date="2017-05-03T12:34:00Z">
            <w:rPr/>
          </w:rPrChange>
        </w:rPr>
        <w:instrText xml:space="preserve"> HYPERLINK "http://www.itu.int/en/ITU-T/ipr/Pages/policy.aspx" </w:instrText>
      </w:r>
      <w:r w:rsidR="009F1A2F">
        <w:fldChar w:fldCharType="separate"/>
      </w:r>
      <w:r w:rsidR="006A124F" w:rsidRPr="006A124F">
        <w:rPr>
          <w:rStyle w:val="Hyperlink"/>
          <w:lang w:val="es-ES_tradnl"/>
        </w:rPr>
        <w:t>http://www.itu.int/en/ITU-T/ipr/Pages/policy.aspx</w:t>
      </w:r>
      <w:r w:rsidR="009F1A2F">
        <w:rPr>
          <w:rStyle w:val="Hyperlink"/>
          <w:lang w:val="es-ES_tradnl"/>
        </w:rPr>
        <w:fldChar w:fldCharType="end"/>
      </w:r>
      <w:r w:rsidR="006A124F">
        <w:rPr>
          <w:lang w:val="es-ES_tradnl"/>
        </w:rPr>
        <w:t>.</w:t>
      </w:r>
    </w:p>
    <w:p w:rsidR="002E6646" w:rsidRPr="0062522E" w:rsidRDefault="002E6646" w:rsidP="009F1A2F">
      <w:pPr>
        <w:spacing w:before="1440" w:line="240" w:lineRule="auto"/>
        <w:jc w:val="left"/>
        <w:rPr>
          <w:szCs w:val="24"/>
          <w:lang w:val="es-ES_tradnl"/>
        </w:rPr>
      </w:pPr>
      <w:r w:rsidRPr="0012191D">
        <w:rPr>
          <w:szCs w:val="24"/>
          <w:lang w:val="es-ES_tradnl"/>
        </w:rPr>
        <w:t>François Rancy</w:t>
      </w:r>
      <w:r w:rsidR="0062522E" w:rsidRPr="0012191D">
        <w:rPr>
          <w:szCs w:val="24"/>
          <w:lang w:val="es-ES_tradnl"/>
        </w:rPr>
        <w:br/>
      </w:r>
      <w:r w:rsidRPr="0062522E">
        <w:rPr>
          <w:szCs w:val="24"/>
          <w:lang w:val="es-ES_tradnl"/>
        </w:rPr>
        <w:t>Director</w:t>
      </w:r>
    </w:p>
    <w:p w:rsidR="002E6646" w:rsidRPr="00D00AD1" w:rsidRDefault="002E6646" w:rsidP="004676DC">
      <w:pPr>
        <w:spacing w:before="960"/>
        <w:rPr>
          <w:lang w:val="es-ES_tradnl"/>
        </w:rPr>
      </w:pPr>
      <w:r w:rsidRPr="00D00AD1">
        <w:rPr>
          <w:b/>
          <w:bCs/>
          <w:lang w:val="es-ES_tradnl"/>
        </w:rPr>
        <w:t>Anexo 1:</w:t>
      </w:r>
      <w:r w:rsidRPr="00D00AD1">
        <w:rPr>
          <w:lang w:val="es-ES_tradnl"/>
        </w:rPr>
        <w:t xml:space="preserve"> </w:t>
      </w:r>
      <w:r w:rsidR="001F1D56">
        <w:rPr>
          <w:lang w:val="es-ES_tradnl"/>
        </w:rPr>
        <w:tab/>
      </w:r>
      <w:r w:rsidRPr="00D00AD1">
        <w:rPr>
          <w:lang w:val="es-ES_tradnl"/>
        </w:rPr>
        <w:t xml:space="preserve">Títulos y </w:t>
      </w:r>
      <w:r w:rsidR="006A1F66" w:rsidRPr="00D00AD1">
        <w:rPr>
          <w:lang w:val="es-ES_tradnl"/>
        </w:rPr>
        <w:t>res</w:t>
      </w:r>
      <w:r w:rsidR="006A1F66">
        <w:rPr>
          <w:lang w:val="es-ES_tradnl"/>
        </w:rPr>
        <w:t>úmen</w:t>
      </w:r>
      <w:r w:rsidR="006A1F66" w:rsidRPr="00D00AD1">
        <w:rPr>
          <w:lang w:val="es-ES_tradnl"/>
        </w:rPr>
        <w:t>es</w:t>
      </w:r>
      <w:r w:rsidRPr="00D00AD1">
        <w:rPr>
          <w:lang w:val="es-ES_tradnl"/>
        </w:rPr>
        <w:t xml:space="preserve"> de los proyectos de Recomendación</w:t>
      </w:r>
    </w:p>
    <w:p w:rsidR="002E6646" w:rsidRDefault="002E6646" w:rsidP="006A1F66">
      <w:pPr>
        <w:rPr>
          <w:lang w:val="es-ES_tradnl"/>
        </w:rPr>
      </w:pPr>
      <w:r w:rsidRPr="00D00AD1">
        <w:rPr>
          <w:b/>
          <w:bCs/>
          <w:lang w:val="es-ES_tradnl"/>
        </w:rPr>
        <w:t>Anexo 2:</w:t>
      </w:r>
      <w:r w:rsidRPr="00D00AD1">
        <w:rPr>
          <w:lang w:val="es-ES_tradnl"/>
        </w:rPr>
        <w:t xml:space="preserve"> </w:t>
      </w:r>
      <w:r w:rsidR="001F1D56">
        <w:rPr>
          <w:lang w:val="es-ES_tradnl"/>
        </w:rPr>
        <w:tab/>
      </w:r>
      <w:r w:rsidRPr="00D00AD1">
        <w:rPr>
          <w:lang w:val="es-ES_tradnl"/>
        </w:rPr>
        <w:t>Recomendaci</w:t>
      </w:r>
      <w:r w:rsidR="006A1F66">
        <w:rPr>
          <w:lang w:val="es-ES_tradnl"/>
        </w:rPr>
        <w:t>o</w:t>
      </w:r>
      <w:r w:rsidRPr="00D00AD1">
        <w:rPr>
          <w:lang w:val="es-ES_tradnl"/>
        </w:rPr>
        <w:t>nes cuya supresión se propone</w:t>
      </w:r>
    </w:p>
    <w:p w:rsidR="002E6646" w:rsidRPr="00D00AD1" w:rsidRDefault="006A1F66" w:rsidP="006A1F66">
      <w:pPr>
        <w:spacing w:before="1080"/>
        <w:rPr>
          <w:lang w:val="es-ES_tradnl"/>
        </w:rPr>
      </w:pPr>
      <w:r>
        <w:rPr>
          <w:b/>
          <w:bCs/>
          <w:lang w:val="es-ES_tradnl"/>
        </w:rPr>
        <w:t>Documento</w:t>
      </w:r>
      <w:r w:rsidR="002E6646" w:rsidRPr="00D00AD1">
        <w:rPr>
          <w:b/>
          <w:bCs/>
          <w:lang w:val="es-ES_tradnl"/>
        </w:rPr>
        <w:t>s:</w:t>
      </w:r>
      <w:r w:rsidR="002E6646" w:rsidRPr="00D00AD1">
        <w:rPr>
          <w:lang w:val="es-ES_tradnl"/>
        </w:rPr>
        <w:t xml:space="preserve"> </w:t>
      </w:r>
      <w:r w:rsidR="001F1D56">
        <w:rPr>
          <w:lang w:val="es-ES_tradnl"/>
        </w:rPr>
        <w:tab/>
      </w:r>
      <w:r w:rsidR="002E6646" w:rsidRPr="00D00AD1">
        <w:rPr>
          <w:lang w:val="es-ES_tradnl"/>
        </w:rPr>
        <w:t>Documento</w:t>
      </w:r>
      <w:r>
        <w:rPr>
          <w:lang w:val="es-ES_tradnl"/>
        </w:rPr>
        <w:t>s</w:t>
      </w:r>
      <w:r w:rsidR="002E6646" w:rsidRPr="00D00AD1">
        <w:rPr>
          <w:lang w:val="es-ES_tradnl"/>
        </w:rPr>
        <w:t xml:space="preserve"> </w:t>
      </w:r>
      <w:r>
        <w:rPr>
          <w:lang w:val="es-ES_tradnl"/>
        </w:rPr>
        <w:t>1</w:t>
      </w:r>
      <w:r w:rsidRPr="006A1F66">
        <w:rPr>
          <w:szCs w:val="24"/>
          <w:lang w:val="es-ES_tradnl"/>
        </w:rPr>
        <w:t>/129(Rev.1), 1/143(Rev.1), 1/148(Rev.1)</w:t>
      </w:r>
      <w:r w:rsidR="002E6646" w:rsidRPr="00D00AD1">
        <w:rPr>
          <w:lang w:val="es-ES_tradnl"/>
        </w:rPr>
        <w:t xml:space="preserve"> </w:t>
      </w:r>
    </w:p>
    <w:p w:rsidR="002E6646" w:rsidRDefault="002E6646" w:rsidP="006A1F66">
      <w:pPr>
        <w:jc w:val="left"/>
        <w:rPr>
          <w:lang w:val="es-ES_tradnl"/>
        </w:rPr>
      </w:pPr>
      <w:r w:rsidRPr="00D00AD1">
        <w:rPr>
          <w:lang w:val="es-ES_tradnl"/>
        </w:rPr>
        <w:t>Dichos documentos están disponibles en formato electrónico en la dirección:</w:t>
      </w:r>
      <w:r w:rsidR="006A1F66">
        <w:rPr>
          <w:lang w:val="es-ES_tradnl"/>
        </w:rPr>
        <w:t xml:space="preserve"> </w:t>
      </w:r>
      <w:r w:rsidR="006A1F66">
        <w:rPr>
          <w:lang w:val="es-ES_tradnl"/>
        </w:rPr>
        <w:br/>
      </w:r>
      <w:hyperlink r:id="rId8" w:history="1">
        <w:r w:rsidR="006A1F66">
          <w:rPr>
            <w:rStyle w:val="Hyperlink"/>
            <w:szCs w:val="24"/>
            <w:lang w:val="es-ES_tradnl"/>
          </w:rPr>
          <w:t>https://www.itu.int/md/R15-sg01-C/es</w:t>
        </w:r>
      </w:hyperlink>
    </w:p>
    <w:p w:rsidR="002E6646" w:rsidRPr="00D00AD1" w:rsidRDefault="002E6646" w:rsidP="006A1F66">
      <w:pPr>
        <w:tabs>
          <w:tab w:val="left" w:pos="284"/>
          <w:tab w:val="left" w:pos="568"/>
        </w:tabs>
        <w:spacing w:before="3000" w:after="40"/>
        <w:rPr>
          <w:b/>
          <w:bCs/>
          <w:sz w:val="18"/>
          <w:szCs w:val="18"/>
          <w:lang w:val="es-ES_tradnl"/>
        </w:rPr>
      </w:pPr>
      <w:r w:rsidRPr="00D00AD1">
        <w:rPr>
          <w:b/>
          <w:bCs/>
          <w:sz w:val="18"/>
          <w:szCs w:val="18"/>
          <w:lang w:val="es-ES_tradnl"/>
        </w:rPr>
        <w:t>Distribución:</w:t>
      </w:r>
    </w:p>
    <w:p w:rsidR="002E6646" w:rsidRPr="00D00AD1" w:rsidRDefault="002E6646" w:rsidP="006A1F66">
      <w:pPr>
        <w:tabs>
          <w:tab w:val="left" w:pos="284"/>
        </w:tabs>
        <w:spacing w:before="0" w:line="240" w:lineRule="auto"/>
        <w:ind w:left="284" w:hanging="284"/>
        <w:rPr>
          <w:sz w:val="18"/>
          <w:szCs w:val="18"/>
          <w:lang w:val="es-ES_tradnl"/>
        </w:rPr>
      </w:pPr>
      <w:r w:rsidRPr="00D00AD1">
        <w:rPr>
          <w:sz w:val="18"/>
          <w:szCs w:val="18"/>
          <w:lang w:val="es-ES_tradnl"/>
        </w:rPr>
        <w:t>–</w:t>
      </w:r>
      <w:r w:rsidRPr="00D00AD1">
        <w:rPr>
          <w:sz w:val="18"/>
          <w:szCs w:val="18"/>
          <w:lang w:val="es-ES_tradnl"/>
        </w:rPr>
        <w:tab/>
        <w:t xml:space="preserve">Administraciones de los Estados </w:t>
      </w:r>
      <w:r w:rsidR="00421D59">
        <w:rPr>
          <w:sz w:val="18"/>
          <w:szCs w:val="18"/>
          <w:lang w:val="es-ES_tradnl"/>
        </w:rPr>
        <w:t xml:space="preserve">Miembros de la UIT y </w:t>
      </w:r>
      <w:r w:rsidRPr="00D00AD1">
        <w:rPr>
          <w:sz w:val="18"/>
          <w:szCs w:val="18"/>
          <w:lang w:val="es-ES_tradnl"/>
        </w:rPr>
        <w:t xml:space="preserve">Miembros del Sector de Radiocomunicaciones que participan en los trabajos de la Comisión de Estudio </w:t>
      </w:r>
      <w:r w:rsidR="006A1F66">
        <w:rPr>
          <w:sz w:val="18"/>
          <w:szCs w:val="18"/>
          <w:lang w:val="es-ES_tradnl"/>
        </w:rPr>
        <w:t>1</w:t>
      </w:r>
      <w:r w:rsidRPr="00D00AD1">
        <w:rPr>
          <w:sz w:val="18"/>
          <w:szCs w:val="18"/>
          <w:lang w:val="es-ES_tradnl"/>
        </w:rPr>
        <w:t xml:space="preserve"> de Radiocomunicaciones</w:t>
      </w:r>
    </w:p>
    <w:p w:rsidR="002E6646" w:rsidRPr="00D00AD1" w:rsidRDefault="002E6646" w:rsidP="006A1F66">
      <w:pPr>
        <w:tabs>
          <w:tab w:val="left" w:pos="284"/>
        </w:tabs>
        <w:spacing w:before="0" w:line="240" w:lineRule="auto"/>
        <w:ind w:left="284" w:hanging="284"/>
        <w:rPr>
          <w:sz w:val="18"/>
          <w:szCs w:val="18"/>
          <w:lang w:val="es-ES_tradnl"/>
        </w:rPr>
      </w:pPr>
      <w:r w:rsidRPr="00D00AD1">
        <w:rPr>
          <w:sz w:val="18"/>
          <w:szCs w:val="18"/>
          <w:lang w:val="es-ES_tradnl"/>
        </w:rPr>
        <w:t>–</w:t>
      </w:r>
      <w:r w:rsidRPr="00D00AD1">
        <w:rPr>
          <w:sz w:val="18"/>
          <w:szCs w:val="18"/>
          <w:lang w:val="es-ES_tradnl"/>
        </w:rPr>
        <w:tab/>
        <w:t xml:space="preserve">Asociados del UIT-R que participan en los trabajos de la Comisión de Estudio </w:t>
      </w:r>
      <w:r w:rsidR="006A1F66">
        <w:rPr>
          <w:sz w:val="18"/>
          <w:szCs w:val="18"/>
          <w:lang w:val="es-ES_tradnl"/>
        </w:rPr>
        <w:t>1</w:t>
      </w:r>
      <w:r w:rsidRPr="00D00AD1">
        <w:rPr>
          <w:sz w:val="18"/>
          <w:szCs w:val="18"/>
          <w:lang w:val="es-ES_tradnl"/>
        </w:rPr>
        <w:t xml:space="preserve"> de Radiocomunicaciones</w:t>
      </w:r>
    </w:p>
    <w:p w:rsidR="002E6646" w:rsidRPr="00D00AD1" w:rsidRDefault="002E6646" w:rsidP="002E6646">
      <w:pPr>
        <w:tabs>
          <w:tab w:val="left" w:pos="284"/>
        </w:tabs>
        <w:spacing w:before="0" w:line="240" w:lineRule="auto"/>
        <w:ind w:left="284" w:hanging="284"/>
        <w:rPr>
          <w:sz w:val="18"/>
          <w:szCs w:val="18"/>
          <w:lang w:val="es-ES_tradnl"/>
        </w:rPr>
      </w:pPr>
      <w:r w:rsidRPr="00D00AD1">
        <w:rPr>
          <w:sz w:val="18"/>
          <w:szCs w:val="18"/>
          <w:lang w:val="es-ES_tradnl"/>
        </w:rPr>
        <w:t>–</w:t>
      </w:r>
      <w:r w:rsidRPr="00D00AD1">
        <w:rPr>
          <w:sz w:val="18"/>
          <w:szCs w:val="18"/>
          <w:lang w:val="es-ES_tradnl"/>
        </w:rPr>
        <w:tab/>
        <w:t>Instituciones Académicas de la UIT</w:t>
      </w:r>
    </w:p>
    <w:p w:rsidR="002E6646" w:rsidRPr="00D00AD1" w:rsidRDefault="002E6646" w:rsidP="004B6204">
      <w:pPr>
        <w:tabs>
          <w:tab w:val="left" w:pos="284"/>
        </w:tabs>
        <w:spacing w:before="0" w:line="240" w:lineRule="auto"/>
        <w:ind w:left="284" w:hanging="284"/>
        <w:rPr>
          <w:sz w:val="18"/>
          <w:szCs w:val="18"/>
          <w:lang w:val="es-ES_tradnl"/>
        </w:rPr>
      </w:pPr>
      <w:r w:rsidRPr="00D00AD1">
        <w:rPr>
          <w:sz w:val="18"/>
          <w:szCs w:val="18"/>
          <w:lang w:val="es-ES_tradnl"/>
        </w:rPr>
        <w:t>–</w:t>
      </w:r>
      <w:r w:rsidRPr="00D00AD1">
        <w:rPr>
          <w:sz w:val="18"/>
          <w:szCs w:val="18"/>
          <w:lang w:val="es-ES_tradnl"/>
        </w:rPr>
        <w:tab/>
        <w:t xml:space="preserve">Presidentes y Vicepresidentes de las Comisiones de Estudio de Radiocomunicaciones </w:t>
      </w:r>
    </w:p>
    <w:p w:rsidR="002E6646" w:rsidRPr="00D00AD1" w:rsidRDefault="002E6646" w:rsidP="002E6646">
      <w:pPr>
        <w:tabs>
          <w:tab w:val="left" w:pos="284"/>
        </w:tabs>
        <w:spacing w:before="0" w:line="240" w:lineRule="auto"/>
        <w:ind w:left="284" w:hanging="284"/>
        <w:rPr>
          <w:sz w:val="18"/>
          <w:szCs w:val="18"/>
          <w:lang w:val="es-ES_tradnl"/>
        </w:rPr>
      </w:pPr>
      <w:r w:rsidRPr="00D00AD1">
        <w:rPr>
          <w:sz w:val="18"/>
          <w:szCs w:val="18"/>
          <w:lang w:val="es-ES_tradnl"/>
        </w:rPr>
        <w:t>–</w:t>
      </w:r>
      <w:r w:rsidRPr="00D00AD1">
        <w:rPr>
          <w:sz w:val="18"/>
          <w:szCs w:val="18"/>
          <w:lang w:val="es-ES_tradnl"/>
        </w:rPr>
        <w:tab/>
        <w:t>Presidente y Vicepresidentes de la Reunión Preparatoria de la Conferencia</w:t>
      </w:r>
    </w:p>
    <w:p w:rsidR="002E6646" w:rsidRPr="00D00AD1" w:rsidRDefault="002E6646" w:rsidP="002E6646">
      <w:pPr>
        <w:tabs>
          <w:tab w:val="left" w:pos="284"/>
        </w:tabs>
        <w:spacing w:before="0" w:line="240" w:lineRule="auto"/>
        <w:ind w:left="284" w:hanging="284"/>
        <w:rPr>
          <w:sz w:val="18"/>
          <w:szCs w:val="18"/>
          <w:lang w:val="es-ES_tradnl"/>
        </w:rPr>
      </w:pPr>
      <w:r w:rsidRPr="00D00AD1">
        <w:rPr>
          <w:sz w:val="18"/>
          <w:szCs w:val="18"/>
          <w:lang w:val="es-ES_tradnl"/>
        </w:rPr>
        <w:t>–</w:t>
      </w:r>
      <w:r w:rsidRPr="00D00AD1">
        <w:rPr>
          <w:sz w:val="18"/>
          <w:szCs w:val="18"/>
          <w:lang w:val="es-ES_tradnl"/>
        </w:rPr>
        <w:tab/>
        <w:t>Miembros de la Junta del Reglamento de Radiocomunicaciones</w:t>
      </w:r>
    </w:p>
    <w:p w:rsidR="006A1F66" w:rsidRDefault="002E6646" w:rsidP="009F1A2F">
      <w:pPr>
        <w:tabs>
          <w:tab w:val="left" w:pos="284"/>
        </w:tabs>
        <w:spacing w:before="0" w:line="240" w:lineRule="auto"/>
        <w:ind w:left="284" w:hanging="284"/>
        <w:rPr>
          <w:sz w:val="18"/>
          <w:szCs w:val="18"/>
          <w:lang w:val="es-ES_tradnl"/>
        </w:rPr>
      </w:pPr>
      <w:r w:rsidRPr="00D00AD1">
        <w:rPr>
          <w:sz w:val="18"/>
          <w:szCs w:val="18"/>
          <w:lang w:val="es-ES_tradnl"/>
        </w:rPr>
        <w:t>–</w:t>
      </w:r>
      <w:r w:rsidRPr="00D00AD1">
        <w:rPr>
          <w:sz w:val="18"/>
          <w:szCs w:val="18"/>
          <w:lang w:val="es-ES_tradnl"/>
        </w:rPr>
        <w:tab/>
        <w:t>Secretario General de la UIT, Director de la Oficina de Normalización de las Telecomunicaciones, Director de la Oficina de Desarrollo de Telecomunicaciones</w:t>
      </w:r>
    </w:p>
    <w:p w:rsidR="0051672E" w:rsidRPr="00D00AD1" w:rsidRDefault="00623AE3" w:rsidP="009F1A2F">
      <w:pPr>
        <w:tabs>
          <w:tab w:val="left" w:pos="284"/>
        </w:tabs>
        <w:spacing w:before="0" w:line="240" w:lineRule="auto"/>
        <w:ind w:left="284" w:hanging="284"/>
        <w:rPr>
          <w:sz w:val="18"/>
          <w:szCs w:val="18"/>
          <w:lang w:val="es-ES_tradnl"/>
        </w:rPr>
      </w:pPr>
      <w:r>
        <w:rPr>
          <w:sz w:val="18"/>
          <w:szCs w:val="18"/>
          <w:lang w:val="es-ES_tradnl"/>
        </w:rPr>
        <w:br w:type="page"/>
      </w:r>
    </w:p>
    <w:p w:rsidR="002E6646" w:rsidRPr="00246179" w:rsidRDefault="002E6646" w:rsidP="006A1F66">
      <w:pPr>
        <w:pStyle w:val="AnnexNotitle0"/>
        <w:rPr>
          <w:rFonts w:asciiTheme="minorHAnsi" w:hAnsiTheme="minorHAnsi"/>
        </w:rPr>
      </w:pPr>
      <w:r w:rsidRPr="00246179">
        <w:rPr>
          <w:rFonts w:asciiTheme="minorHAnsi" w:hAnsiTheme="minorHAnsi"/>
        </w:rPr>
        <w:lastRenderedPageBreak/>
        <w:t>Anexo 1</w:t>
      </w:r>
      <w:r w:rsidR="00623AE3" w:rsidRPr="00246179">
        <w:rPr>
          <w:rFonts w:asciiTheme="minorHAnsi" w:hAnsiTheme="minorHAnsi"/>
        </w:rPr>
        <w:br/>
      </w:r>
      <w:r w:rsidR="00623AE3" w:rsidRPr="00246179">
        <w:rPr>
          <w:rFonts w:asciiTheme="minorHAnsi" w:hAnsiTheme="minorHAnsi"/>
        </w:rPr>
        <w:br/>
      </w:r>
      <w:r w:rsidR="001E212A" w:rsidRPr="00246179">
        <w:rPr>
          <w:rFonts w:asciiTheme="minorHAnsi" w:hAnsiTheme="minorHAnsi"/>
        </w:rPr>
        <w:t>Título</w:t>
      </w:r>
      <w:r w:rsidR="006A1F66">
        <w:rPr>
          <w:rFonts w:asciiTheme="minorHAnsi" w:hAnsiTheme="minorHAnsi"/>
        </w:rPr>
        <w:t>s y resú</w:t>
      </w:r>
      <w:r w:rsidRPr="00246179">
        <w:rPr>
          <w:rFonts w:asciiTheme="minorHAnsi" w:hAnsiTheme="minorHAnsi"/>
        </w:rPr>
        <w:t>menes de los proyectos de Recomendación</w:t>
      </w:r>
    </w:p>
    <w:p w:rsidR="002E6646" w:rsidRPr="00D00AD1" w:rsidRDefault="002E6646" w:rsidP="00CD1697">
      <w:pPr>
        <w:rPr>
          <w:lang w:val="es-ES_tradnl"/>
        </w:rPr>
      </w:pPr>
    </w:p>
    <w:p w:rsidR="00DE53A3" w:rsidRPr="00A84592" w:rsidRDefault="00DE53A3" w:rsidP="00DE53A3">
      <w:pPr>
        <w:keepNext/>
        <w:keepLines/>
        <w:tabs>
          <w:tab w:val="right" w:pos="9639"/>
        </w:tabs>
        <w:spacing w:before="480"/>
        <w:rPr>
          <w:u w:val="single"/>
          <w:lang w:val="es-ES_tradnl"/>
        </w:rPr>
      </w:pPr>
      <w:r w:rsidRPr="00A84592">
        <w:rPr>
          <w:u w:val="single"/>
          <w:lang w:val="es-ES_tradnl"/>
        </w:rPr>
        <w:t>Proyecto de nueva Recomendación UIT-R SM</w:t>
      </w:r>
      <w:proofErr w:type="gramStart"/>
      <w:r w:rsidRPr="00A84592">
        <w:rPr>
          <w:u w:val="single"/>
          <w:lang w:val="es-ES_tradnl"/>
        </w:rPr>
        <w:t>.[</w:t>
      </w:r>
      <w:proofErr w:type="gramEnd"/>
      <w:r w:rsidRPr="00A84592">
        <w:rPr>
          <w:u w:val="single"/>
          <w:lang w:val="es-ES_tradnl"/>
        </w:rPr>
        <w:t>STORAGE OF I/Q DATA]</w:t>
      </w:r>
      <w:r w:rsidRPr="00A84592">
        <w:rPr>
          <w:lang w:val="es-ES_tradnl"/>
        </w:rPr>
        <w:tab/>
        <w:t>Doc. 1/148(Rev.1)</w:t>
      </w:r>
    </w:p>
    <w:p w:rsidR="00DE53A3" w:rsidRPr="004B3FBB" w:rsidRDefault="00DE53A3" w:rsidP="00DE53A3">
      <w:pPr>
        <w:pStyle w:val="Rectitle"/>
        <w:rPr>
          <w:lang w:val="es-ES"/>
        </w:rPr>
      </w:pPr>
      <w:r w:rsidRPr="004B3FBB">
        <w:rPr>
          <w:lang w:val="es-ES"/>
        </w:rPr>
        <w:t>Definición de formato de datos para el intercambio de datos I/Q almacenados para la co</w:t>
      </w:r>
      <w:r>
        <w:rPr>
          <w:lang w:val="es-ES"/>
        </w:rPr>
        <w:t>mprobación técnica del espectro</w:t>
      </w:r>
    </w:p>
    <w:p w:rsidR="00DE53A3" w:rsidRPr="004B3FBB" w:rsidRDefault="00DE53A3" w:rsidP="00DE53A3">
      <w:pPr>
        <w:pStyle w:val="Normalaftertitle"/>
        <w:rPr>
          <w:lang w:val="es-ES"/>
        </w:rPr>
      </w:pPr>
      <w:r w:rsidRPr="004B3FBB">
        <w:rPr>
          <w:lang w:val="es-ES"/>
        </w:rPr>
        <w:t>En esta Recomendación se define el formato de archivo para el intercambio de archivos de datos de componentes en fase y en cuadratura (I/Q).</w:t>
      </w:r>
    </w:p>
    <w:p w:rsidR="00DE53A3" w:rsidRPr="004B3FBB" w:rsidRDefault="00DE53A3" w:rsidP="00DE53A3">
      <w:pPr>
        <w:rPr>
          <w:lang w:val="es-ES"/>
        </w:rPr>
      </w:pPr>
      <w:r w:rsidRPr="004B3FBB">
        <w:rPr>
          <w:lang w:val="es-ES"/>
        </w:rPr>
        <w:t>Los archivos de datos I/Q contienen un registro digitalizado de una señal de radiofrecuencia. Una estructura de archivo armonizada ayuda a las administraciones en el contexto de s</w:t>
      </w:r>
      <w:r>
        <w:rPr>
          <w:lang w:val="es-ES"/>
        </w:rPr>
        <w:t>us grupos de trabajo conjuntos.</w:t>
      </w:r>
    </w:p>
    <w:p w:rsidR="00DE53A3" w:rsidRPr="004B3FBB" w:rsidRDefault="00DE53A3" w:rsidP="00DE53A3">
      <w:pPr>
        <w:rPr>
          <w:lang w:val="es-ES"/>
        </w:rPr>
      </w:pPr>
      <w:r w:rsidRPr="004B3FBB">
        <w:rPr>
          <w:lang w:val="es-ES"/>
        </w:rPr>
        <w:t xml:space="preserve">Hasta ahora, se utilizan muchos formatos de datos patentados. No existe ningún procedimiento común para intercambiar datos sin acuerdos previos al comienzo de las labores. Un formato de archivo independiente del dispositivo que se describe aquí recoge la información esencial necesaria para describir la señal almacenada </w:t>
      </w:r>
      <w:r>
        <w:rPr>
          <w:lang w:val="es-ES"/>
        </w:rPr>
        <w:t xml:space="preserve">que </w:t>
      </w:r>
      <w:r w:rsidRPr="004B3FBB">
        <w:rPr>
          <w:lang w:val="es-ES"/>
        </w:rPr>
        <w:t>sirve de soporte al intercambio y la uti</w:t>
      </w:r>
      <w:r>
        <w:rPr>
          <w:lang w:val="es-ES"/>
        </w:rPr>
        <w:t>lidad de los datos de ese tipo.</w:t>
      </w:r>
    </w:p>
    <w:p w:rsidR="00DE53A3" w:rsidRPr="00A84592" w:rsidRDefault="00DE53A3" w:rsidP="00DE53A3">
      <w:pPr>
        <w:keepNext/>
        <w:keepLines/>
        <w:tabs>
          <w:tab w:val="right" w:pos="9639"/>
        </w:tabs>
        <w:spacing w:before="480"/>
        <w:rPr>
          <w:u w:val="single"/>
          <w:lang w:val="es-ES_tradnl"/>
        </w:rPr>
      </w:pPr>
      <w:r w:rsidRPr="00A84592">
        <w:rPr>
          <w:u w:val="single"/>
          <w:lang w:val="es-ES_tradnl"/>
        </w:rPr>
        <w:t>Proyecto de revisión de la Recomendación UIT-R SM.1051-3</w:t>
      </w:r>
      <w:r w:rsidRPr="00A84592">
        <w:rPr>
          <w:lang w:val="es-ES_tradnl"/>
        </w:rPr>
        <w:tab/>
        <w:t>Doc. 1/129(Rev.1)</w:t>
      </w:r>
    </w:p>
    <w:p w:rsidR="00DE53A3" w:rsidRPr="00A84592" w:rsidRDefault="00DE53A3" w:rsidP="00DE53A3">
      <w:pPr>
        <w:pStyle w:val="Rectitle"/>
        <w:rPr>
          <w:lang w:val="es-ES"/>
        </w:rPr>
      </w:pPr>
      <w:r w:rsidRPr="00A84592">
        <w:rPr>
          <w:lang w:val="es-ES"/>
        </w:rPr>
        <w:t xml:space="preserve">Prioridad de identificación y supresión de interferencia perjudicial </w:t>
      </w:r>
      <w:r>
        <w:rPr>
          <w:lang w:val="es-ES"/>
        </w:rPr>
        <w:br/>
      </w:r>
      <w:r w:rsidRPr="00A84592">
        <w:rPr>
          <w:lang w:val="es-ES"/>
        </w:rPr>
        <w:t>en la banda 406-406,1 MHz</w:t>
      </w:r>
    </w:p>
    <w:p w:rsidR="00DE53A3" w:rsidRPr="004B3FBB" w:rsidRDefault="00DE53A3" w:rsidP="00DE53A3">
      <w:pPr>
        <w:pStyle w:val="Normalaftertitle"/>
        <w:rPr>
          <w:lang w:val="es-ES"/>
        </w:rPr>
      </w:pPr>
      <w:r w:rsidRPr="004B3FBB">
        <w:rPr>
          <w:lang w:val="es-ES"/>
        </w:rPr>
        <w:t xml:space="preserve">El objeto de la revisión es facilitar elementos adicionales para cumplir con las disposiciones de la Resolución </w:t>
      </w:r>
      <w:r w:rsidRPr="004B3FBB">
        <w:rPr>
          <w:b/>
          <w:bCs/>
          <w:lang w:val="es-ES"/>
        </w:rPr>
        <w:t>205 (Rev.CMR-15)</w:t>
      </w:r>
      <w:r w:rsidRPr="004B3FBB">
        <w:rPr>
          <w:lang w:val="es-ES"/>
        </w:rPr>
        <w:t xml:space="preserve"> relativas a la comprobación técnica de la banda de frecuencias 405,9</w:t>
      </w:r>
      <w:r>
        <w:rPr>
          <w:lang w:val="es-ES"/>
        </w:rPr>
        <w:noBreakHyphen/>
      </w:r>
      <w:r w:rsidRPr="004B3FBB">
        <w:rPr>
          <w:lang w:val="es-ES"/>
        </w:rPr>
        <w:t>406,</w:t>
      </w:r>
      <w:r>
        <w:rPr>
          <w:lang w:val="es-ES"/>
        </w:rPr>
        <w:t>2 MHz.</w:t>
      </w:r>
    </w:p>
    <w:p w:rsidR="00DE53A3" w:rsidRPr="00A84592" w:rsidRDefault="00DE53A3" w:rsidP="00DE53A3">
      <w:pPr>
        <w:keepNext/>
        <w:keepLines/>
        <w:tabs>
          <w:tab w:val="right" w:pos="9639"/>
        </w:tabs>
        <w:spacing w:before="480"/>
        <w:rPr>
          <w:u w:val="single"/>
          <w:lang w:val="es-ES_tradnl"/>
        </w:rPr>
      </w:pPr>
      <w:r w:rsidRPr="00A84592">
        <w:rPr>
          <w:u w:val="single"/>
          <w:lang w:val="es-ES_tradnl"/>
        </w:rPr>
        <w:t>Proyecto de revisión de la Recomendación UIT-R SM.1896</w:t>
      </w:r>
      <w:r w:rsidRPr="00A84592">
        <w:rPr>
          <w:lang w:val="es-ES_tradnl"/>
        </w:rPr>
        <w:tab/>
        <w:t>Doc. 1/143(Rev.1)</w:t>
      </w:r>
    </w:p>
    <w:p w:rsidR="00DE53A3" w:rsidRPr="00A84592" w:rsidRDefault="00DE53A3" w:rsidP="00DE53A3">
      <w:pPr>
        <w:pStyle w:val="Rectitle"/>
        <w:rPr>
          <w:lang w:val="es-ES"/>
        </w:rPr>
      </w:pPr>
      <w:r w:rsidRPr="00A84592">
        <w:rPr>
          <w:lang w:val="es-ES"/>
        </w:rPr>
        <w:t xml:space="preserve">Gamas de frecuencia para la armonización mundial o regional </w:t>
      </w:r>
      <w:r>
        <w:rPr>
          <w:lang w:val="es-ES"/>
        </w:rPr>
        <w:br/>
      </w:r>
      <w:r w:rsidRPr="00A84592">
        <w:rPr>
          <w:lang w:val="es-ES"/>
        </w:rPr>
        <w:t>de los dispositivos de corto alcance</w:t>
      </w:r>
    </w:p>
    <w:p w:rsidR="00DE53A3" w:rsidRPr="004B3FBB" w:rsidRDefault="00DE53A3" w:rsidP="00DE53A3">
      <w:pPr>
        <w:pStyle w:val="Normalaftertitle"/>
        <w:rPr>
          <w:bCs/>
          <w:lang w:val="es-ES"/>
        </w:rPr>
      </w:pPr>
      <w:r w:rsidRPr="004B3FBB">
        <w:rPr>
          <w:lang w:val="es-ES"/>
        </w:rPr>
        <w:t xml:space="preserve">Esta revisión se realiza para incluir gamas de frecuencias destinadas a la aplicación de banda </w:t>
      </w:r>
      <w:proofErr w:type="spellStart"/>
      <w:r w:rsidRPr="004B3FBB">
        <w:rPr>
          <w:lang w:val="es-ES"/>
        </w:rPr>
        <w:t>ultraancha</w:t>
      </w:r>
      <w:proofErr w:type="spellEnd"/>
      <w:r w:rsidRPr="004B3FBB">
        <w:rPr>
          <w:lang w:val="es-ES"/>
        </w:rPr>
        <w:t xml:space="preserve"> (UWB) para la comunicación, el rastreo de la ubicación y la </w:t>
      </w:r>
      <w:proofErr w:type="spellStart"/>
      <w:r w:rsidRPr="004B3FBB">
        <w:rPr>
          <w:lang w:val="es-ES"/>
        </w:rPr>
        <w:t>radiodeterminación</w:t>
      </w:r>
      <w:proofErr w:type="spellEnd"/>
      <w:r w:rsidRPr="004B3FBB">
        <w:rPr>
          <w:lang w:val="es-ES"/>
        </w:rPr>
        <w:t xml:space="preserve"> en la Recomendación UIT</w:t>
      </w:r>
      <w:r w:rsidRPr="004B3FBB">
        <w:rPr>
          <w:bCs/>
          <w:lang w:val="es-ES"/>
        </w:rPr>
        <w:t>-R SM.1896.</w:t>
      </w:r>
    </w:p>
    <w:p w:rsidR="00DE53A3" w:rsidRPr="00DE53A3" w:rsidRDefault="00DE53A3" w:rsidP="00DE53A3">
      <w:pPr>
        <w:pStyle w:val="Reasons"/>
        <w:rPr>
          <w:lang w:val="es-ES_tradnl"/>
        </w:rPr>
      </w:pPr>
    </w:p>
    <w:p w:rsidR="006A1F66" w:rsidRDefault="006A1F66">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imes New Roman"/>
          <w:b/>
          <w:sz w:val="28"/>
          <w:szCs w:val="20"/>
          <w:lang w:val="es-ES_tradnl"/>
        </w:rPr>
      </w:pPr>
      <w:r w:rsidRPr="006A1F66">
        <w:rPr>
          <w:rFonts w:asciiTheme="minorHAnsi" w:hAnsiTheme="minorHAnsi"/>
          <w:lang w:val="es-ES_tradnl"/>
        </w:rPr>
        <w:br w:type="page"/>
      </w:r>
    </w:p>
    <w:p w:rsidR="002E6646" w:rsidRPr="00246179" w:rsidRDefault="002E6646" w:rsidP="00623AE3">
      <w:pPr>
        <w:pStyle w:val="AnnexNotitle0"/>
        <w:rPr>
          <w:rFonts w:asciiTheme="minorHAnsi" w:hAnsiTheme="minorHAnsi"/>
        </w:rPr>
      </w:pPr>
      <w:r w:rsidRPr="00246179">
        <w:rPr>
          <w:rFonts w:asciiTheme="minorHAnsi" w:hAnsiTheme="minorHAnsi"/>
        </w:rPr>
        <w:lastRenderedPageBreak/>
        <w:t>Anexo 2</w:t>
      </w:r>
    </w:p>
    <w:p w:rsidR="002E6646" w:rsidRPr="00246179" w:rsidRDefault="002E6646" w:rsidP="006A1F66">
      <w:pPr>
        <w:spacing w:before="360"/>
        <w:jc w:val="center"/>
        <w:rPr>
          <w:rFonts w:asciiTheme="minorHAnsi" w:hAnsiTheme="minorHAnsi"/>
          <w:lang w:val="es-ES_tradnl"/>
        </w:rPr>
      </w:pPr>
      <w:r w:rsidRPr="00246179">
        <w:rPr>
          <w:rFonts w:asciiTheme="minorHAnsi" w:hAnsiTheme="minorHAnsi"/>
          <w:lang w:val="es-ES_tradnl"/>
        </w:rPr>
        <w:t xml:space="preserve">(Origen: Documentos </w:t>
      </w:r>
      <w:hyperlink r:id="rId9" w:history="1">
        <w:r w:rsidR="006A1F66" w:rsidRPr="006A1F66">
          <w:rPr>
            <w:rStyle w:val="Hyperlink"/>
            <w:rFonts w:asciiTheme="minorHAnsi" w:hAnsiTheme="minorHAnsi" w:cstheme="minorHAnsi"/>
            <w:szCs w:val="24"/>
            <w:lang w:val="es-ES_tradnl"/>
          </w:rPr>
          <w:t>1/144</w:t>
        </w:r>
      </w:hyperlink>
      <w:r w:rsidR="006A1F66" w:rsidRPr="006A1F66">
        <w:rPr>
          <w:rFonts w:asciiTheme="minorHAnsi" w:hAnsiTheme="minorHAnsi" w:cstheme="minorHAnsi"/>
          <w:szCs w:val="24"/>
          <w:lang w:val="es-ES_tradnl"/>
        </w:rPr>
        <w:t xml:space="preserve"> </w:t>
      </w:r>
      <w:r w:rsidR="006A1F66">
        <w:rPr>
          <w:rFonts w:asciiTheme="minorHAnsi" w:hAnsiTheme="minorHAnsi" w:cstheme="minorHAnsi"/>
          <w:szCs w:val="24"/>
          <w:lang w:val="es-ES_tradnl"/>
        </w:rPr>
        <w:t>y</w:t>
      </w:r>
      <w:r w:rsidR="006A1F66" w:rsidRPr="006A1F66">
        <w:rPr>
          <w:rFonts w:asciiTheme="minorHAnsi" w:hAnsiTheme="minorHAnsi" w:cstheme="minorHAnsi"/>
          <w:szCs w:val="24"/>
          <w:lang w:val="es-ES_tradnl"/>
        </w:rPr>
        <w:t xml:space="preserve"> </w:t>
      </w:r>
      <w:hyperlink r:id="rId10" w:history="1">
        <w:r w:rsidR="006A1F66" w:rsidRPr="006A1F66">
          <w:rPr>
            <w:rStyle w:val="Hyperlink"/>
            <w:rFonts w:asciiTheme="minorHAnsi" w:hAnsiTheme="minorHAnsi" w:cstheme="minorHAnsi"/>
            <w:szCs w:val="24"/>
            <w:lang w:val="es-ES_tradnl"/>
          </w:rPr>
          <w:t>1/134(Rev.1)</w:t>
        </w:r>
      </w:hyperlink>
      <w:r w:rsidRPr="00246179">
        <w:rPr>
          <w:rFonts w:asciiTheme="minorHAnsi" w:hAnsiTheme="minorHAnsi"/>
          <w:lang w:val="es-ES_tradnl"/>
        </w:rPr>
        <w:t>)</w:t>
      </w:r>
    </w:p>
    <w:p w:rsidR="002E6646" w:rsidRDefault="006A1F66" w:rsidP="006A1F66">
      <w:pPr>
        <w:pStyle w:val="Rectitle"/>
        <w:spacing w:after="240"/>
        <w:rPr>
          <w:rFonts w:asciiTheme="minorHAnsi" w:hAnsiTheme="minorHAnsi"/>
          <w:lang w:val="es-ES_tradnl"/>
        </w:rPr>
      </w:pPr>
      <w:r>
        <w:rPr>
          <w:rFonts w:asciiTheme="minorHAnsi" w:hAnsiTheme="minorHAnsi"/>
          <w:lang w:val="es-ES_tradnl"/>
        </w:rPr>
        <w:t>Recomendacio</w:t>
      </w:r>
      <w:r w:rsidR="002E6646" w:rsidRPr="00246179">
        <w:rPr>
          <w:rFonts w:asciiTheme="minorHAnsi" w:hAnsiTheme="minorHAnsi"/>
          <w:lang w:val="es-ES_tradnl"/>
        </w:rPr>
        <w:t xml:space="preserve">nes </w:t>
      </w:r>
      <w:r w:rsidR="007D5338">
        <w:rPr>
          <w:rFonts w:asciiTheme="minorHAnsi" w:hAnsiTheme="minorHAnsi"/>
          <w:lang w:val="es-ES_tradnl"/>
        </w:rPr>
        <w:t xml:space="preserve">UIT-R </w:t>
      </w:r>
      <w:r w:rsidR="002E6646" w:rsidRPr="00246179">
        <w:rPr>
          <w:rFonts w:asciiTheme="minorHAnsi" w:hAnsiTheme="minorHAnsi"/>
          <w:lang w:val="es-ES_tradnl"/>
        </w:rPr>
        <w:t xml:space="preserve">cuya supresión </w:t>
      </w:r>
      <w:r w:rsidR="001E212A" w:rsidRPr="00246179">
        <w:rPr>
          <w:rFonts w:asciiTheme="minorHAnsi" w:hAnsiTheme="minorHAnsi"/>
          <w:lang w:val="es-ES_tradnl"/>
        </w:rPr>
        <w:t>s</w:t>
      </w:r>
      <w:r w:rsidR="002E6646" w:rsidRPr="00246179">
        <w:rPr>
          <w:rFonts w:asciiTheme="minorHAnsi" w:hAnsiTheme="minorHAnsi"/>
          <w:lang w:val="es-ES_tradnl"/>
        </w:rPr>
        <w:t>e propone</w:t>
      </w:r>
    </w:p>
    <w:p w:rsidR="006A1F66" w:rsidRPr="006A1F66" w:rsidRDefault="006A1F66" w:rsidP="006A1F66">
      <w:pPr>
        <w:rPr>
          <w:lang w:val="es-ES_tradnl"/>
        </w:rPr>
      </w:pPr>
    </w:p>
    <w:tbl>
      <w:tblPr>
        <w:tblW w:w="944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4A0" w:firstRow="1" w:lastRow="0" w:firstColumn="1" w:lastColumn="0" w:noHBand="0" w:noVBand="1"/>
      </w:tblPr>
      <w:tblGrid>
        <w:gridCol w:w="1745"/>
        <w:gridCol w:w="7698"/>
      </w:tblGrid>
      <w:tr w:rsidR="001D522A" w:rsidRPr="00246179" w:rsidTr="00BF0F0F">
        <w:trPr>
          <w:cantSplit/>
          <w:tblHeader/>
          <w:jc w:val="center"/>
        </w:trPr>
        <w:tc>
          <w:tcPr>
            <w:tcW w:w="1745" w:type="dxa"/>
            <w:tcBorders>
              <w:top w:val="single" w:sz="6" w:space="0" w:color="auto"/>
              <w:left w:val="single" w:sz="6" w:space="0" w:color="auto"/>
              <w:bottom w:val="single" w:sz="6" w:space="0" w:color="auto"/>
              <w:right w:val="single" w:sz="6" w:space="0" w:color="auto"/>
            </w:tcBorders>
            <w:vAlign w:val="center"/>
            <w:hideMark/>
          </w:tcPr>
          <w:p w:rsidR="001D522A" w:rsidRPr="00246179" w:rsidRDefault="001D522A" w:rsidP="00BF0F0F">
            <w:pPr>
              <w:pStyle w:val="Tablehead"/>
              <w:rPr>
                <w:rFonts w:asciiTheme="minorHAnsi" w:hAnsiTheme="minorHAnsi" w:cstheme="majorBidi"/>
              </w:rPr>
            </w:pPr>
            <w:r w:rsidRPr="00246179">
              <w:rPr>
                <w:rFonts w:asciiTheme="minorHAnsi" w:hAnsiTheme="minorHAnsi" w:cstheme="majorBidi"/>
              </w:rPr>
              <w:t>Recomendación</w:t>
            </w:r>
            <w:r w:rsidRPr="00246179">
              <w:rPr>
                <w:rFonts w:asciiTheme="minorHAnsi" w:hAnsiTheme="minorHAnsi" w:cstheme="majorBidi"/>
              </w:rPr>
              <w:br/>
              <w:t>UIT-R</w:t>
            </w:r>
          </w:p>
        </w:tc>
        <w:tc>
          <w:tcPr>
            <w:tcW w:w="7698" w:type="dxa"/>
            <w:tcBorders>
              <w:top w:val="single" w:sz="6" w:space="0" w:color="auto"/>
              <w:left w:val="single" w:sz="6" w:space="0" w:color="auto"/>
              <w:bottom w:val="single" w:sz="6" w:space="0" w:color="auto"/>
              <w:right w:val="single" w:sz="6" w:space="0" w:color="auto"/>
            </w:tcBorders>
            <w:vAlign w:val="center"/>
            <w:hideMark/>
          </w:tcPr>
          <w:p w:rsidR="001D522A" w:rsidRPr="00246179" w:rsidRDefault="001D522A" w:rsidP="00BF0F0F">
            <w:pPr>
              <w:pStyle w:val="Tablehead"/>
              <w:rPr>
                <w:rFonts w:asciiTheme="minorHAnsi" w:hAnsiTheme="minorHAnsi" w:cstheme="majorBidi"/>
              </w:rPr>
            </w:pPr>
            <w:r w:rsidRPr="00246179">
              <w:rPr>
                <w:rFonts w:asciiTheme="minorHAnsi" w:hAnsiTheme="minorHAnsi" w:cstheme="majorBidi"/>
              </w:rPr>
              <w:t>Título</w:t>
            </w:r>
          </w:p>
        </w:tc>
      </w:tr>
      <w:tr w:rsidR="006A1F66" w:rsidRPr="00D42EEB" w:rsidTr="00BF0F0F">
        <w:trPr>
          <w:cantSplit/>
          <w:jc w:val="center"/>
        </w:trPr>
        <w:tc>
          <w:tcPr>
            <w:tcW w:w="17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A1F66" w:rsidRPr="00FB67F3" w:rsidRDefault="006A1F66" w:rsidP="006A1F66">
            <w:pPr>
              <w:pStyle w:val="Tabletext"/>
              <w:spacing w:before="60" w:after="60"/>
              <w:jc w:val="center"/>
              <w:rPr>
                <w:rFonts w:asciiTheme="minorHAnsi" w:hAnsiTheme="minorHAnsi" w:cstheme="majorBidi"/>
                <w:szCs w:val="20"/>
                <w:lang w:eastAsia="ja-JP"/>
              </w:rPr>
            </w:pPr>
            <w:r w:rsidRPr="00FB67F3">
              <w:rPr>
                <w:szCs w:val="20"/>
              </w:rPr>
              <w:t>SM.1598</w:t>
            </w:r>
          </w:p>
        </w:tc>
        <w:tc>
          <w:tcPr>
            <w:tcW w:w="7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A1F66" w:rsidRPr="006A1F66" w:rsidRDefault="006A1F66" w:rsidP="006A1F66">
            <w:pPr>
              <w:pStyle w:val="Tabletext"/>
              <w:rPr>
                <w:rFonts w:asciiTheme="minorHAnsi" w:hAnsiTheme="minorHAnsi" w:cstheme="majorBidi"/>
                <w:lang w:val="es-ES_tradnl" w:eastAsia="ja-JP"/>
              </w:rPr>
            </w:pPr>
            <w:r w:rsidRPr="006A1F66">
              <w:rPr>
                <w:lang w:val="es-ES_tradnl"/>
              </w:rPr>
              <w:t>Métodos de radiogoniometría y localización de señales de acceso múltiple por división en tiempo y acceso múltiple por división de código</w:t>
            </w:r>
          </w:p>
        </w:tc>
      </w:tr>
      <w:tr w:rsidR="006A1F66" w:rsidRPr="00D42EEB" w:rsidTr="00BF0F0F">
        <w:trPr>
          <w:cantSplit/>
          <w:jc w:val="center"/>
        </w:trPr>
        <w:tc>
          <w:tcPr>
            <w:tcW w:w="17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A1F66" w:rsidRPr="00FB67F3" w:rsidRDefault="006A1F66" w:rsidP="006A1F66">
            <w:pPr>
              <w:pStyle w:val="Tabletext"/>
              <w:spacing w:before="60" w:after="60"/>
              <w:jc w:val="center"/>
              <w:rPr>
                <w:rFonts w:asciiTheme="minorHAnsi" w:hAnsiTheme="minorHAnsi"/>
                <w:szCs w:val="20"/>
                <w:lang w:eastAsia="ja-JP"/>
              </w:rPr>
            </w:pPr>
            <w:r w:rsidRPr="00FB67F3">
              <w:rPr>
                <w:szCs w:val="20"/>
              </w:rPr>
              <w:t>SM.1794</w:t>
            </w:r>
          </w:p>
        </w:tc>
        <w:tc>
          <w:tcPr>
            <w:tcW w:w="7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A1F66" w:rsidRPr="006A1F66" w:rsidRDefault="006A1F66" w:rsidP="006A1F66">
            <w:pPr>
              <w:pStyle w:val="Tabletext"/>
              <w:rPr>
                <w:rFonts w:asciiTheme="minorHAnsi" w:hAnsiTheme="minorHAnsi"/>
                <w:lang w:val="es-ES_tradnl" w:eastAsia="ja-JP"/>
              </w:rPr>
            </w:pPr>
            <w:r w:rsidRPr="006A1F66">
              <w:rPr>
                <w:lang w:val="es-ES_tradnl"/>
              </w:rPr>
              <w:t>Sistemas de comprobación técnica del espectro de gran anchura de banda instantánea</w:t>
            </w:r>
          </w:p>
        </w:tc>
      </w:tr>
      <w:tr w:rsidR="006A1F66" w:rsidRPr="00D42EEB" w:rsidTr="00BF0F0F">
        <w:trPr>
          <w:cantSplit/>
          <w:jc w:val="center"/>
        </w:trPr>
        <w:tc>
          <w:tcPr>
            <w:tcW w:w="17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A1F66" w:rsidRPr="00FB67F3" w:rsidRDefault="006A1F66" w:rsidP="006A1F66">
            <w:pPr>
              <w:pStyle w:val="Tabletext"/>
              <w:spacing w:before="60" w:after="60"/>
              <w:jc w:val="center"/>
              <w:rPr>
                <w:szCs w:val="20"/>
              </w:rPr>
            </w:pPr>
            <w:r w:rsidRPr="00FB67F3">
              <w:rPr>
                <w:szCs w:val="20"/>
              </w:rPr>
              <w:t>SM.1604</w:t>
            </w:r>
          </w:p>
        </w:tc>
        <w:tc>
          <w:tcPr>
            <w:tcW w:w="7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A1F66" w:rsidRPr="006A1F66" w:rsidRDefault="006A1F66" w:rsidP="006A1F66">
            <w:pPr>
              <w:pStyle w:val="Tabletext"/>
              <w:rPr>
                <w:rFonts w:asciiTheme="minorHAnsi" w:hAnsiTheme="minorHAnsi"/>
                <w:lang w:val="es-ES_tradnl" w:eastAsia="ja-JP"/>
              </w:rPr>
            </w:pPr>
            <w:r w:rsidRPr="006A1F66">
              <w:rPr>
                <w:lang w:val="es-ES_tradnl"/>
              </w:rPr>
              <w:t>Directrices para un sistema perfeccionado de gestión del espectro destinado a los países en desarrollo</w:t>
            </w:r>
          </w:p>
        </w:tc>
      </w:tr>
    </w:tbl>
    <w:p w:rsidR="00623AE3" w:rsidRPr="00246179" w:rsidRDefault="00623AE3" w:rsidP="00CD1697">
      <w:pPr>
        <w:pStyle w:val="Reasons"/>
        <w:rPr>
          <w:rFonts w:asciiTheme="minorHAnsi" w:hAnsiTheme="minorHAnsi"/>
          <w:lang w:val="es-ES_tradnl"/>
        </w:rPr>
      </w:pPr>
    </w:p>
    <w:p w:rsidR="00623AE3" w:rsidRPr="006A124F" w:rsidRDefault="00623AE3" w:rsidP="00CD1697">
      <w:pPr>
        <w:pStyle w:val="Reasons"/>
        <w:rPr>
          <w:lang w:val="es-ES_tradnl"/>
        </w:rPr>
      </w:pPr>
    </w:p>
    <w:p w:rsidR="00623AE3" w:rsidRDefault="00623AE3">
      <w:pPr>
        <w:jc w:val="center"/>
      </w:pPr>
      <w:r>
        <w:t>______________</w:t>
      </w:r>
    </w:p>
    <w:sectPr w:rsidR="00623AE3" w:rsidSect="00031E64">
      <w:headerReference w:type="even" r:id="rId11"/>
      <w:headerReference w:type="default" r:id="rId12"/>
      <w:headerReference w:type="first" r:id="rId13"/>
      <w:footerReference w:type="first" r:id="rId14"/>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1697" w:rsidRDefault="00CD1697">
      <w:r>
        <w:separator/>
      </w:r>
    </w:p>
  </w:endnote>
  <w:endnote w:type="continuationSeparator" w:id="0">
    <w:p w:rsidR="00CD1697" w:rsidRDefault="00CD16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524F" w:rsidRPr="0056695E" w:rsidRDefault="0046524F" w:rsidP="0046524F">
    <w:pPr>
      <w:pStyle w:val="FirstFooter"/>
      <w:spacing w:line="240" w:lineRule="auto"/>
      <w:ind w:left="-397" w:right="-397"/>
      <w:jc w:val="center"/>
      <w:rPr>
        <w:sz w:val="18"/>
        <w:szCs w:val="18"/>
        <w:lang w:val="es-ES_tradnl"/>
      </w:rPr>
    </w:pPr>
    <w:r w:rsidRPr="0056695E">
      <w:rPr>
        <w:sz w:val="18"/>
        <w:szCs w:val="18"/>
        <w:lang w:val="es-ES_tradnl"/>
      </w:rPr>
      <w:t>Unión Internacional de Telecomunicaciones • Place des Nations • CH</w:t>
    </w:r>
    <w:r w:rsidRPr="0056695E">
      <w:rPr>
        <w:sz w:val="18"/>
        <w:szCs w:val="18"/>
        <w:lang w:val="es-ES_tradnl"/>
      </w:rPr>
      <w:noBreakHyphen/>
      <w:t>1211 Ginebra 20 • Suiza</w:t>
    </w:r>
    <w:r w:rsidRPr="0056695E">
      <w:rPr>
        <w:sz w:val="18"/>
        <w:szCs w:val="18"/>
        <w:lang w:val="es-ES_tradnl"/>
      </w:rPr>
      <w:br/>
      <w:t>Tel</w:t>
    </w:r>
    <w:r w:rsidR="00FD2A32">
      <w:rPr>
        <w:sz w:val="18"/>
        <w:szCs w:val="18"/>
        <w:lang w:val="es-ES_tradnl"/>
      </w:rPr>
      <w:t>.</w:t>
    </w:r>
    <w:r w:rsidRPr="0056695E">
      <w:rPr>
        <w:sz w:val="18"/>
        <w:szCs w:val="18"/>
        <w:lang w:val="es-ES_tradnl"/>
      </w:rPr>
      <w:t xml:space="preserve">: +41 22 730 5111 • Fax: +41 22 733 7256 • Correo-e: </w:t>
    </w:r>
    <w:r w:rsidR="009F1A2F">
      <w:fldChar w:fldCharType="begin"/>
    </w:r>
    <w:r w:rsidR="009F1A2F" w:rsidRPr="000273C1">
      <w:rPr>
        <w:lang w:val="es-ES_tradnl"/>
        <w:rPrChange w:id="3" w:author="^_^" w:date="2017-05-03T12:34:00Z">
          <w:rPr/>
        </w:rPrChange>
      </w:rPr>
      <w:instrText xml:space="preserve"> HYPERLINK "mailto:itumail@itu.int" </w:instrText>
    </w:r>
    <w:r w:rsidR="009F1A2F">
      <w:fldChar w:fldCharType="separate"/>
    </w:r>
    <w:r w:rsidRPr="0056695E">
      <w:rPr>
        <w:rStyle w:val="Hyperlink"/>
        <w:sz w:val="18"/>
        <w:szCs w:val="18"/>
        <w:lang w:val="es-ES_tradnl"/>
      </w:rPr>
      <w:t>itumail@itu.int</w:t>
    </w:r>
    <w:r w:rsidR="009F1A2F">
      <w:rPr>
        <w:rStyle w:val="Hyperlink"/>
        <w:sz w:val="18"/>
        <w:szCs w:val="18"/>
        <w:lang w:val="es-ES_tradnl"/>
      </w:rPr>
      <w:fldChar w:fldCharType="end"/>
    </w:r>
    <w:r w:rsidRPr="0056695E">
      <w:rPr>
        <w:sz w:val="18"/>
        <w:szCs w:val="18"/>
        <w:lang w:val="es-ES_tradnl"/>
      </w:rPr>
      <w:t xml:space="preserve"> • </w:t>
    </w:r>
    <w:r w:rsidR="009F1A2F">
      <w:fldChar w:fldCharType="begin"/>
    </w:r>
    <w:r w:rsidR="009F1A2F" w:rsidRPr="000273C1">
      <w:rPr>
        <w:lang w:val="es-ES_tradnl"/>
        <w:rPrChange w:id="4" w:author="^_^" w:date="2017-05-03T12:34:00Z">
          <w:rPr/>
        </w:rPrChange>
      </w:rPr>
      <w:instrText xml:space="preserve"> HYPERLINK "http://www.itu.int/en/pages/default.aspx" </w:instrText>
    </w:r>
    <w:r w:rsidR="009F1A2F">
      <w:fldChar w:fldCharType="separate"/>
    </w:r>
    <w:r w:rsidRPr="0056695E">
      <w:rPr>
        <w:rStyle w:val="Hyperlink"/>
        <w:sz w:val="18"/>
        <w:szCs w:val="18"/>
        <w:lang w:val="es-ES_tradnl"/>
      </w:rPr>
      <w:t>www.itu.int</w:t>
    </w:r>
    <w:r w:rsidR="009F1A2F">
      <w:rPr>
        <w:rStyle w:val="Hyperlink"/>
        <w:sz w:val="18"/>
        <w:szCs w:val="18"/>
        <w:lang w:val="es-ES_tradnl"/>
      </w:rPr>
      <w:fldChar w:fldCharType="end"/>
    </w:r>
    <w:r w:rsidRPr="0056695E">
      <w:rPr>
        <w:sz w:val="18"/>
        <w:szCs w:val="18"/>
        <w:lang w:val="es-ES_tradnl"/>
      </w:rPr>
      <w:t xml:space="preserve"> </w:t>
    </w:r>
    <w:r w:rsidR="00FD2A32" w:rsidRPr="00285EC0">
      <w:rPr>
        <w:sz w:val="18"/>
        <w:szCs w:val="18"/>
        <w:lang w:val="es-ES_tradnl"/>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1697" w:rsidRDefault="00CD1697">
      <w:r>
        <w:t>____________________</w:t>
      </w:r>
    </w:p>
  </w:footnote>
  <w:footnote w:type="continuationSeparator" w:id="0">
    <w:p w:rsidR="00CD1697" w:rsidRDefault="00CD16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1697" w:rsidRPr="00D239B4" w:rsidRDefault="00CD1697" w:rsidP="00246179">
    <w:pPr>
      <w:pStyle w:val="Header"/>
      <w:jc w:val="center"/>
      <w:rPr>
        <w:sz w:val="18"/>
        <w:szCs w:val="16"/>
      </w:rPr>
    </w:pPr>
    <w:r>
      <w:rPr>
        <w:sz w:val="18"/>
        <w:szCs w:val="16"/>
      </w:rPr>
      <w:t xml:space="preserve">- </w:t>
    </w:r>
    <w:r w:rsidRPr="00D239B4">
      <w:rPr>
        <w:rStyle w:val="PageNumber"/>
        <w:sz w:val="18"/>
        <w:szCs w:val="16"/>
      </w:rPr>
      <w:fldChar w:fldCharType="begin"/>
    </w:r>
    <w:r w:rsidRPr="00D239B4">
      <w:rPr>
        <w:rStyle w:val="PageNumber"/>
        <w:sz w:val="18"/>
        <w:szCs w:val="16"/>
      </w:rPr>
      <w:instrText xml:space="preserve"> PAGE </w:instrText>
    </w:r>
    <w:r w:rsidRPr="00D239B4">
      <w:rPr>
        <w:rStyle w:val="PageNumber"/>
        <w:sz w:val="18"/>
        <w:szCs w:val="16"/>
      </w:rPr>
      <w:fldChar w:fldCharType="separate"/>
    </w:r>
    <w:r w:rsidR="00D42EEB">
      <w:rPr>
        <w:rStyle w:val="PageNumber"/>
        <w:noProof/>
        <w:sz w:val="18"/>
        <w:szCs w:val="16"/>
      </w:rPr>
      <w:t>2</w:t>
    </w:r>
    <w:r w:rsidRPr="00D239B4">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1697" w:rsidRPr="00B13AA0" w:rsidRDefault="00CD1697" w:rsidP="00B13AA0">
    <w:pPr>
      <w:pStyle w:val="Header"/>
      <w:jc w:val="center"/>
      <w:rPr>
        <w:sz w:val="18"/>
        <w:szCs w:val="16"/>
      </w:rPr>
    </w:pPr>
    <w:r>
      <w:rPr>
        <w:sz w:val="18"/>
        <w:szCs w:val="16"/>
      </w:rPr>
      <w:t xml:space="preserve">- </w:t>
    </w:r>
    <w:r w:rsidRPr="00D239B4">
      <w:rPr>
        <w:rStyle w:val="PageNumber"/>
        <w:sz w:val="18"/>
        <w:szCs w:val="16"/>
      </w:rPr>
      <w:fldChar w:fldCharType="begin"/>
    </w:r>
    <w:r w:rsidRPr="00D239B4">
      <w:rPr>
        <w:rStyle w:val="PageNumber"/>
        <w:sz w:val="18"/>
        <w:szCs w:val="16"/>
      </w:rPr>
      <w:instrText xml:space="preserve"> PAGE </w:instrText>
    </w:r>
    <w:r w:rsidRPr="00D239B4">
      <w:rPr>
        <w:rStyle w:val="PageNumber"/>
        <w:sz w:val="18"/>
        <w:szCs w:val="16"/>
      </w:rPr>
      <w:fldChar w:fldCharType="separate"/>
    </w:r>
    <w:r w:rsidR="00D42EEB">
      <w:rPr>
        <w:rStyle w:val="PageNumber"/>
        <w:noProof/>
        <w:sz w:val="18"/>
        <w:szCs w:val="16"/>
      </w:rPr>
      <w:t>3</w:t>
    </w:r>
    <w:r w:rsidRPr="00D239B4">
      <w:rPr>
        <w:rStyle w:val="PageNumber"/>
        <w:sz w:val="18"/>
        <w:szCs w:val="16"/>
      </w:rPr>
      <w:fldChar w:fldCharType="end"/>
    </w:r>
    <w:r>
      <w:rPr>
        <w:rStyle w:val="PageNumber"/>
        <w:sz w:val="18"/>
        <w:szCs w:val="16"/>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1697" w:rsidRPr="00C96C71" w:rsidRDefault="00FD2A32" w:rsidP="00FD2A32">
    <w:pPr>
      <w:pStyle w:val="Header"/>
      <w:spacing w:line="360" w:lineRule="auto"/>
      <w:jc w:val="center"/>
    </w:pPr>
    <w:r>
      <w:rPr>
        <w:b/>
        <w:bCs/>
        <w:noProof/>
        <w:lang w:eastAsia="zh-CN"/>
      </w:rPr>
      <w:drawing>
        <wp:inline distT="0" distB="0" distL="0" distR="0" wp14:anchorId="369E5FF3" wp14:editId="74D3B162">
          <wp:extent cx="638175" cy="723900"/>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_^">
    <w15:presenceInfo w15:providerId="None" w15:userId="^_^"/>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2E6646"/>
    <w:rsid w:val="00006A31"/>
    <w:rsid w:val="00006C82"/>
    <w:rsid w:val="00010E30"/>
    <w:rsid w:val="00015C76"/>
    <w:rsid w:val="00026CF8"/>
    <w:rsid w:val="000273C1"/>
    <w:rsid w:val="00030BD7"/>
    <w:rsid w:val="00031E64"/>
    <w:rsid w:val="00034340"/>
    <w:rsid w:val="00035CB3"/>
    <w:rsid w:val="00045A8D"/>
    <w:rsid w:val="0005167A"/>
    <w:rsid w:val="00054E5D"/>
    <w:rsid w:val="00070258"/>
    <w:rsid w:val="0007323C"/>
    <w:rsid w:val="00084F79"/>
    <w:rsid w:val="00086D03"/>
    <w:rsid w:val="000A096A"/>
    <w:rsid w:val="000A375E"/>
    <w:rsid w:val="000A7051"/>
    <w:rsid w:val="000B0AF6"/>
    <w:rsid w:val="000B0E9B"/>
    <w:rsid w:val="000B2CAE"/>
    <w:rsid w:val="000C03C7"/>
    <w:rsid w:val="000C2AD0"/>
    <w:rsid w:val="000D3F3B"/>
    <w:rsid w:val="000E3DEE"/>
    <w:rsid w:val="000E4BCD"/>
    <w:rsid w:val="00100B72"/>
    <w:rsid w:val="00101F7D"/>
    <w:rsid w:val="00103C76"/>
    <w:rsid w:val="0011265F"/>
    <w:rsid w:val="00117282"/>
    <w:rsid w:val="00117389"/>
    <w:rsid w:val="0012191D"/>
    <w:rsid w:val="00121C2D"/>
    <w:rsid w:val="00134404"/>
    <w:rsid w:val="00144DFB"/>
    <w:rsid w:val="00187CA3"/>
    <w:rsid w:val="00196710"/>
    <w:rsid w:val="00196770"/>
    <w:rsid w:val="00197324"/>
    <w:rsid w:val="001B351B"/>
    <w:rsid w:val="001B42C9"/>
    <w:rsid w:val="001C06DB"/>
    <w:rsid w:val="001C6971"/>
    <w:rsid w:val="001D2785"/>
    <w:rsid w:val="001D522A"/>
    <w:rsid w:val="001D7070"/>
    <w:rsid w:val="001E212A"/>
    <w:rsid w:val="001F18E3"/>
    <w:rsid w:val="001F1D56"/>
    <w:rsid w:val="001F2170"/>
    <w:rsid w:val="001F3948"/>
    <w:rsid w:val="001F5A49"/>
    <w:rsid w:val="00201097"/>
    <w:rsid w:val="00201B6E"/>
    <w:rsid w:val="0020610F"/>
    <w:rsid w:val="002302B3"/>
    <w:rsid w:val="00230C66"/>
    <w:rsid w:val="00235A29"/>
    <w:rsid w:val="00241526"/>
    <w:rsid w:val="002443A2"/>
    <w:rsid w:val="00246179"/>
    <w:rsid w:val="00266E74"/>
    <w:rsid w:val="0028193E"/>
    <w:rsid w:val="00283C3B"/>
    <w:rsid w:val="00285EC0"/>
    <w:rsid w:val="002861E6"/>
    <w:rsid w:val="00287D18"/>
    <w:rsid w:val="002A2618"/>
    <w:rsid w:val="002A5DD7"/>
    <w:rsid w:val="002B0CAC"/>
    <w:rsid w:val="002C09A3"/>
    <w:rsid w:val="002D5A15"/>
    <w:rsid w:val="002D5BDD"/>
    <w:rsid w:val="002E3D27"/>
    <w:rsid w:val="002E6646"/>
    <w:rsid w:val="002F0890"/>
    <w:rsid w:val="002F2531"/>
    <w:rsid w:val="002F4967"/>
    <w:rsid w:val="00306452"/>
    <w:rsid w:val="00316935"/>
    <w:rsid w:val="003266ED"/>
    <w:rsid w:val="00326C68"/>
    <w:rsid w:val="0033029C"/>
    <w:rsid w:val="003370B8"/>
    <w:rsid w:val="003428EF"/>
    <w:rsid w:val="00345D38"/>
    <w:rsid w:val="00352097"/>
    <w:rsid w:val="003666FF"/>
    <w:rsid w:val="0037309C"/>
    <w:rsid w:val="00380A6E"/>
    <w:rsid w:val="003836D4"/>
    <w:rsid w:val="003974CD"/>
    <w:rsid w:val="003A1F49"/>
    <w:rsid w:val="003A55ED"/>
    <w:rsid w:val="003A5D52"/>
    <w:rsid w:val="003B2BDA"/>
    <w:rsid w:val="003B55EC"/>
    <w:rsid w:val="003C2EA7"/>
    <w:rsid w:val="003C4471"/>
    <w:rsid w:val="003C7D41"/>
    <w:rsid w:val="003D4A69"/>
    <w:rsid w:val="003E504F"/>
    <w:rsid w:val="003E78D6"/>
    <w:rsid w:val="00400573"/>
    <w:rsid w:val="004007A3"/>
    <w:rsid w:val="00406D71"/>
    <w:rsid w:val="00421D59"/>
    <w:rsid w:val="0042321E"/>
    <w:rsid w:val="004326DB"/>
    <w:rsid w:val="0043682E"/>
    <w:rsid w:val="00441EBD"/>
    <w:rsid w:val="00447ECB"/>
    <w:rsid w:val="00453CB9"/>
    <w:rsid w:val="004623F7"/>
    <w:rsid w:val="0046524F"/>
    <w:rsid w:val="004676DC"/>
    <w:rsid w:val="00470826"/>
    <w:rsid w:val="00480F51"/>
    <w:rsid w:val="00481124"/>
    <w:rsid w:val="004815EB"/>
    <w:rsid w:val="00487569"/>
    <w:rsid w:val="00496864"/>
    <w:rsid w:val="00496920"/>
    <w:rsid w:val="004A4496"/>
    <w:rsid w:val="004A5F47"/>
    <w:rsid w:val="004B11AB"/>
    <w:rsid w:val="004B6204"/>
    <w:rsid w:val="004B7C9A"/>
    <w:rsid w:val="004C6779"/>
    <w:rsid w:val="004D733B"/>
    <w:rsid w:val="004E0DC4"/>
    <w:rsid w:val="004E0FB5"/>
    <w:rsid w:val="004E43BB"/>
    <w:rsid w:val="004E460D"/>
    <w:rsid w:val="004E772A"/>
    <w:rsid w:val="004F178E"/>
    <w:rsid w:val="004F4543"/>
    <w:rsid w:val="004F57BB"/>
    <w:rsid w:val="00505309"/>
    <w:rsid w:val="0050789B"/>
    <w:rsid w:val="0051672E"/>
    <w:rsid w:val="005224A1"/>
    <w:rsid w:val="00534372"/>
    <w:rsid w:val="00543DF8"/>
    <w:rsid w:val="00546101"/>
    <w:rsid w:val="00552165"/>
    <w:rsid w:val="00553DD7"/>
    <w:rsid w:val="005638CF"/>
    <w:rsid w:val="005654B1"/>
    <w:rsid w:val="0056741E"/>
    <w:rsid w:val="0057325A"/>
    <w:rsid w:val="0057469A"/>
    <w:rsid w:val="00580814"/>
    <w:rsid w:val="00583A0B"/>
    <w:rsid w:val="005A03A3"/>
    <w:rsid w:val="005A2B92"/>
    <w:rsid w:val="005A3F66"/>
    <w:rsid w:val="005A79E9"/>
    <w:rsid w:val="005B214C"/>
    <w:rsid w:val="005B4CDA"/>
    <w:rsid w:val="005C2C35"/>
    <w:rsid w:val="005D3669"/>
    <w:rsid w:val="005E5EB3"/>
    <w:rsid w:val="005F3CB6"/>
    <w:rsid w:val="005F657C"/>
    <w:rsid w:val="00602D53"/>
    <w:rsid w:val="006047E5"/>
    <w:rsid w:val="00623AE3"/>
    <w:rsid w:val="0062522E"/>
    <w:rsid w:val="006259E9"/>
    <w:rsid w:val="0062700F"/>
    <w:rsid w:val="0064371D"/>
    <w:rsid w:val="00650543"/>
    <w:rsid w:val="00650B2A"/>
    <w:rsid w:val="00651777"/>
    <w:rsid w:val="006550F8"/>
    <w:rsid w:val="006829F3"/>
    <w:rsid w:val="006A124F"/>
    <w:rsid w:val="006A1F66"/>
    <w:rsid w:val="006A518B"/>
    <w:rsid w:val="006B0590"/>
    <w:rsid w:val="006B49DA"/>
    <w:rsid w:val="006C53F8"/>
    <w:rsid w:val="006C7CDE"/>
    <w:rsid w:val="007234B1"/>
    <w:rsid w:val="00723D08"/>
    <w:rsid w:val="00725FDA"/>
    <w:rsid w:val="00727816"/>
    <w:rsid w:val="00730B9A"/>
    <w:rsid w:val="007329A2"/>
    <w:rsid w:val="0073399A"/>
    <w:rsid w:val="00750CFA"/>
    <w:rsid w:val="007553DA"/>
    <w:rsid w:val="00775DB8"/>
    <w:rsid w:val="00782354"/>
    <w:rsid w:val="007921A7"/>
    <w:rsid w:val="007B3DB1"/>
    <w:rsid w:val="007D183E"/>
    <w:rsid w:val="007D43D0"/>
    <w:rsid w:val="007D5338"/>
    <w:rsid w:val="007E1833"/>
    <w:rsid w:val="007E3F13"/>
    <w:rsid w:val="007F751A"/>
    <w:rsid w:val="00800012"/>
    <w:rsid w:val="0080261F"/>
    <w:rsid w:val="00805A02"/>
    <w:rsid w:val="00806160"/>
    <w:rsid w:val="008143A4"/>
    <w:rsid w:val="0081513E"/>
    <w:rsid w:val="00854131"/>
    <w:rsid w:val="0085652D"/>
    <w:rsid w:val="0087694B"/>
    <w:rsid w:val="00880F4D"/>
    <w:rsid w:val="008B35A3"/>
    <w:rsid w:val="008B37E1"/>
    <w:rsid w:val="008B45F8"/>
    <w:rsid w:val="008C2E74"/>
    <w:rsid w:val="008D5409"/>
    <w:rsid w:val="008E006D"/>
    <w:rsid w:val="008E38B4"/>
    <w:rsid w:val="008F4F21"/>
    <w:rsid w:val="00904D4A"/>
    <w:rsid w:val="00906BC5"/>
    <w:rsid w:val="009076D7"/>
    <w:rsid w:val="00912DAB"/>
    <w:rsid w:val="009151BA"/>
    <w:rsid w:val="00925023"/>
    <w:rsid w:val="009277BC"/>
    <w:rsid w:val="00927D57"/>
    <w:rsid w:val="00927E24"/>
    <w:rsid w:val="00931A51"/>
    <w:rsid w:val="00947185"/>
    <w:rsid w:val="009518B3"/>
    <w:rsid w:val="00963D9D"/>
    <w:rsid w:val="0098013E"/>
    <w:rsid w:val="00981B54"/>
    <w:rsid w:val="009842C3"/>
    <w:rsid w:val="009A009A"/>
    <w:rsid w:val="009A6BB6"/>
    <w:rsid w:val="009B3F43"/>
    <w:rsid w:val="009B5CFA"/>
    <w:rsid w:val="009C161F"/>
    <w:rsid w:val="009C56B4"/>
    <w:rsid w:val="009D51A2"/>
    <w:rsid w:val="009E04A8"/>
    <w:rsid w:val="009E4595"/>
    <w:rsid w:val="009E4AEC"/>
    <w:rsid w:val="009E5BD8"/>
    <w:rsid w:val="009E681E"/>
    <w:rsid w:val="009F1A2F"/>
    <w:rsid w:val="00A119E6"/>
    <w:rsid w:val="00A20FBC"/>
    <w:rsid w:val="00A243E2"/>
    <w:rsid w:val="00A31370"/>
    <w:rsid w:val="00A34D6F"/>
    <w:rsid w:val="00A41F91"/>
    <w:rsid w:val="00A63355"/>
    <w:rsid w:val="00A7596D"/>
    <w:rsid w:val="00A80EFE"/>
    <w:rsid w:val="00A963DF"/>
    <w:rsid w:val="00A96D3A"/>
    <w:rsid w:val="00AC0C22"/>
    <w:rsid w:val="00AC3896"/>
    <w:rsid w:val="00AD2CF2"/>
    <w:rsid w:val="00AE2D88"/>
    <w:rsid w:val="00AE6F6F"/>
    <w:rsid w:val="00AF3325"/>
    <w:rsid w:val="00AF34D9"/>
    <w:rsid w:val="00AF5B37"/>
    <w:rsid w:val="00AF70DA"/>
    <w:rsid w:val="00B019D3"/>
    <w:rsid w:val="00B13AA0"/>
    <w:rsid w:val="00B34CF9"/>
    <w:rsid w:val="00B37559"/>
    <w:rsid w:val="00B4054B"/>
    <w:rsid w:val="00B52E07"/>
    <w:rsid w:val="00B579B0"/>
    <w:rsid w:val="00B57D11"/>
    <w:rsid w:val="00B649D7"/>
    <w:rsid w:val="00B81C2F"/>
    <w:rsid w:val="00B90743"/>
    <w:rsid w:val="00B90C45"/>
    <w:rsid w:val="00B933BE"/>
    <w:rsid w:val="00BD6738"/>
    <w:rsid w:val="00BD7E5E"/>
    <w:rsid w:val="00BE63DB"/>
    <w:rsid w:val="00BE6574"/>
    <w:rsid w:val="00C07319"/>
    <w:rsid w:val="00C16FD2"/>
    <w:rsid w:val="00C25A19"/>
    <w:rsid w:val="00C32AAA"/>
    <w:rsid w:val="00C4395E"/>
    <w:rsid w:val="00C47FFD"/>
    <w:rsid w:val="00C51E92"/>
    <w:rsid w:val="00C57E2C"/>
    <w:rsid w:val="00C608B7"/>
    <w:rsid w:val="00C66F24"/>
    <w:rsid w:val="00C76D7F"/>
    <w:rsid w:val="00C813AA"/>
    <w:rsid w:val="00C9291E"/>
    <w:rsid w:val="00C96C71"/>
    <w:rsid w:val="00CA3F44"/>
    <w:rsid w:val="00CA4E58"/>
    <w:rsid w:val="00CB3771"/>
    <w:rsid w:val="00CB44BF"/>
    <w:rsid w:val="00CB5153"/>
    <w:rsid w:val="00CD1697"/>
    <w:rsid w:val="00CE076A"/>
    <w:rsid w:val="00CE463D"/>
    <w:rsid w:val="00D00AD1"/>
    <w:rsid w:val="00D10BA0"/>
    <w:rsid w:val="00D21694"/>
    <w:rsid w:val="00D239B4"/>
    <w:rsid w:val="00D24EB5"/>
    <w:rsid w:val="00D35AB9"/>
    <w:rsid w:val="00D41571"/>
    <w:rsid w:val="00D416A0"/>
    <w:rsid w:val="00D42EEB"/>
    <w:rsid w:val="00D45A40"/>
    <w:rsid w:val="00D47672"/>
    <w:rsid w:val="00D5123C"/>
    <w:rsid w:val="00D51756"/>
    <w:rsid w:val="00D55560"/>
    <w:rsid w:val="00D61C5A"/>
    <w:rsid w:val="00D63BFF"/>
    <w:rsid w:val="00D6790C"/>
    <w:rsid w:val="00D73277"/>
    <w:rsid w:val="00D76586"/>
    <w:rsid w:val="00D82657"/>
    <w:rsid w:val="00D87E20"/>
    <w:rsid w:val="00D97EF5"/>
    <w:rsid w:val="00DA06EA"/>
    <w:rsid w:val="00DA4037"/>
    <w:rsid w:val="00DE53A3"/>
    <w:rsid w:val="00DE66A5"/>
    <w:rsid w:val="00DF2B50"/>
    <w:rsid w:val="00DF4DE1"/>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B2358"/>
    <w:rsid w:val="00EB3EB8"/>
    <w:rsid w:val="00EC00EF"/>
    <w:rsid w:val="00EC02FE"/>
    <w:rsid w:val="00EC4A96"/>
    <w:rsid w:val="00EE03A0"/>
    <w:rsid w:val="00EE738A"/>
    <w:rsid w:val="00F424BF"/>
    <w:rsid w:val="00F44FC3"/>
    <w:rsid w:val="00F46107"/>
    <w:rsid w:val="00F468C5"/>
    <w:rsid w:val="00F52F39"/>
    <w:rsid w:val="00F5425B"/>
    <w:rsid w:val="00F6184F"/>
    <w:rsid w:val="00F8310E"/>
    <w:rsid w:val="00F914DD"/>
    <w:rsid w:val="00FA2358"/>
    <w:rsid w:val="00FB2592"/>
    <w:rsid w:val="00FB2810"/>
    <w:rsid w:val="00FB7A2C"/>
    <w:rsid w:val="00FC2947"/>
    <w:rsid w:val="00FD2A32"/>
    <w:rsid w:val="00FE0818"/>
    <w:rsid w:val="00FE37E7"/>
    <w:rsid w:val="00FE4822"/>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5:docId w15:val="{FE6CDA31-6BCA-4389-841C-782C80852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5F4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FigureLegend0">
    <w:name w:val="Figure_Legend"/>
    <w:basedOn w:val="Normal"/>
    <w:rsid w:val="00A96D3A"/>
    <w:pPr>
      <w:keepNext/>
      <w:keepLines/>
      <w:tabs>
        <w:tab w:val="clear" w:pos="794"/>
        <w:tab w:val="clear" w:pos="1191"/>
        <w:tab w:val="clear" w:pos="1588"/>
        <w:tab w:val="clear" w:pos="1985"/>
      </w:tabs>
      <w:spacing w:before="20" w:after="20" w:line="240" w:lineRule="auto"/>
      <w:jc w:val="left"/>
    </w:pPr>
    <w:rPr>
      <w:rFonts w:ascii="Times New Roman" w:hAnsi="Times New Roman" w:cs="Times New Roman"/>
      <w:sz w:val="18"/>
      <w:szCs w:val="20"/>
      <w:lang w:val="es-ES_tradnl"/>
    </w:rPr>
  </w:style>
  <w:style w:type="table" w:styleId="TableGrid">
    <w:name w:val="Table Grid"/>
    <w:basedOn w:val="TableNormal"/>
    <w:rsid w:val="009E4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title0">
    <w:name w:val="Annex_No &amp; title"/>
    <w:basedOn w:val="Normal"/>
    <w:next w:val="Normalaftertitle"/>
    <w:rsid w:val="002E6646"/>
    <w:pPr>
      <w:keepNext/>
      <w:keepLines/>
      <w:spacing w:before="480" w:line="240" w:lineRule="auto"/>
      <w:jc w:val="center"/>
    </w:pPr>
    <w:rPr>
      <w:rFonts w:ascii="Times New Roman" w:hAnsi="Times New Roman" w:cs="Times New Roman"/>
      <w:b/>
      <w:sz w:val="28"/>
      <w:szCs w:val="20"/>
      <w:lang w:val="es-ES_tradnl"/>
    </w:rPr>
  </w:style>
  <w:style w:type="paragraph" w:customStyle="1" w:styleId="Reasons">
    <w:name w:val="Reasons"/>
    <w:basedOn w:val="Normal"/>
    <w:qFormat/>
    <w:rsid w:val="0051672E"/>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customStyle="1" w:styleId="HeaderChar">
    <w:name w:val="Header Char"/>
    <w:basedOn w:val="DefaultParagraphFont"/>
    <w:link w:val="Header"/>
    <w:rsid w:val="00B13AA0"/>
    <w:rPr>
      <w:sz w:val="24"/>
      <w:szCs w:val="22"/>
      <w:lang w:val="en-US" w:eastAsia="en-US"/>
    </w:rPr>
  </w:style>
  <w:style w:type="character" w:styleId="FollowedHyperlink">
    <w:name w:val="FollowedHyperlink"/>
    <w:basedOn w:val="DefaultParagraphFont"/>
    <w:semiHidden/>
    <w:unhideWhenUsed/>
    <w:rsid w:val="006A124F"/>
    <w:rPr>
      <w:color w:val="800080" w:themeColor="followedHyperlink"/>
      <w:u w:val="single"/>
    </w:rPr>
  </w:style>
  <w:style w:type="character" w:customStyle="1" w:styleId="TabletextChar">
    <w:name w:val="Table_text Char"/>
    <w:link w:val="Tabletext"/>
    <w:uiPriority w:val="99"/>
    <w:locked/>
    <w:rsid w:val="001D522A"/>
    <w:rPr>
      <w:szCs w:val="22"/>
      <w:lang w:val="en-US" w:eastAsia="en-US"/>
    </w:rPr>
  </w:style>
  <w:style w:type="character" w:customStyle="1" w:styleId="TableheadChar">
    <w:name w:val="Table_head Char"/>
    <w:basedOn w:val="DefaultParagraphFont"/>
    <w:link w:val="Tablehead"/>
    <w:uiPriority w:val="99"/>
    <w:locked/>
    <w:rsid w:val="001D522A"/>
    <w:rPr>
      <w:b/>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R15-sg01-C/e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itu.int/md/R15-SG01-C-0134/en" TargetMode="External"/><Relationship Id="rId4" Type="http://schemas.openxmlformats.org/officeDocument/2006/relationships/settings" Target="settings.xml"/><Relationship Id="rId9" Type="http://schemas.openxmlformats.org/officeDocument/2006/relationships/hyperlink" Target="https://www.itu.int/md/R15-SG01-C-0144/en"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ndozas\AppData\Roaming\Microsoft\Templates\POOL%20S%20-%20ITU\PS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59513E-6D21-4A87-973A-E6A447CF7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PS_BRcirc.dotx</Template>
  <TotalTime>25</TotalTime>
  <Pages>4</Pages>
  <Words>937</Words>
  <Characters>5771</Characters>
  <Application>Microsoft Office Word</Application>
  <DocSecurity>0</DocSecurity>
  <Lines>48</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6695</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Spanish</dc:creator>
  <cp:lastModifiedBy>Fernandez Jimenez, Virginia</cp:lastModifiedBy>
  <cp:revision>7</cp:revision>
  <cp:lastPrinted>2018-06-29T13:13:00Z</cp:lastPrinted>
  <dcterms:created xsi:type="dcterms:W3CDTF">2018-06-15T09:26:00Z</dcterms:created>
  <dcterms:modified xsi:type="dcterms:W3CDTF">2018-06-29T13:14:00Z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