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601258">
              <w:rPr>
                <w:b/>
                <w:bCs/>
                <w:szCs w:val="24"/>
                <w:lang w:val="fr-CH"/>
              </w:rPr>
              <w:t>858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601258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 de febrero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325C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601258">
              <w:rPr>
                <w:b/>
                <w:lang w:val="es-ES"/>
              </w:rPr>
              <w:t>5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C325C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325C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325C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601258">
              <w:rPr>
                <w:b/>
                <w:bCs/>
                <w:lang w:val="es-ES"/>
              </w:rPr>
              <w:t>5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601258">
              <w:rPr>
                <w:b/>
                <w:bCs/>
                <w:lang w:val="es-ES"/>
              </w:rPr>
              <w:t>Servicios terrenales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E53DCE" w:rsidRPr="00C1082E" w:rsidRDefault="00C1082E" w:rsidP="00A1542A">
            <w:pPr>
              <w:ind w:left="794" w:hanging="794"/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601258">
              <w:rPr>
                <w:b/>
                <w:bCs/>
                <w:lang w:val="es-ES"/>
              </w:rPr>
              <w:t>3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601258">
              <w:rPr>
                <w:b/>
                <w:bCs/>
                <w:lang w:val="es-ES"/>
              </w:rPr>
              <w:t>o</w:t>
            </w:r>
            <w:r w:rsidRPr="00C1082E">
              <w:rPr>
                <w:b/>
                <w:bCs/>
                <w:lang w:val="es-ES"/>
              </w:rPr>
              <w:t xml:space="preserve">nes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Pr="00C1082E">
              <w:rPr>
                <w:b/>
                <w:bCs/>
                <w:lang w:val="es-ES"/>
              </w:rPr>
              <w:t>nuevas</w:t>
            </w:r>
            <w:r w:rsidR="00C325C7">
              <w:rPr>
                <w:b/>
                <w:bCs/>
                <w:lang w:val="es-ES"/>
              </w:rPr>
              <w:t xml:space="preserve"> </w:t>
            </w:r>
            <w:r w:rsidRPr="00C1082E">
              <w:rPr>
                <w:b/>
                <w:bCs/>
                <w:lang w:val="es-ES"/>
              </w:rPr>
              <w:t xml:space="preserve">y </w:t>
            </w:r>
            <w:r w:rsidR="00601258">
              <w:rPr>
                <w:b/>
                <w:bCs/>
                <w:lang w:val="es-ES"/>
              </w:rPr>
              <w:t>9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601258">
              <w:rPr>
                <w:b/>
                <w:bCs/>
                <w:lang w:val="es-ES"/>
              </w:rPr>
              <w:t>o</w:t>
            </w:r>
            <w:r w:rsidRPr="00C1082E">
              <w:rPr>
                <w:b/>
                <w:bCs/>
                <w:lang w:val="es-ES"/>
              </w:rPr>
              <w:t xml:space="preserve">nes </w:t>
            </w:r>
            <w:r w:rsidR="007F5C60">
              <w:rPr>
                <w:b/>
                <w:bCs/>
                <w:lang w:val="es-ES"/>
              </w:rPr>
              <w:t>UIT</w:t>
            </w:r>
            <w:r w:rsidR="00C325C7">
              <w:rPr>
                <w:b/>
                <w:bCs/>
                <w:lang w:val="es-ES"/>
              </w:rPr>
              <w:noBreakHyphen/>
            </w:r>
            <w:r w:rsidR="007F5C60">
              <w:rPr>
                <w:b/>
                <w:bCs/>
                <w:lang w:val="es-ES"/>
              </w:rPr>
              <w:t xml:space="preserve">R </w:t>
            </w:r>
            <w:r w:rsidRPr="00C1082E">
              <w:rPr>
                <w:b/>
                <w:bCs/>
                <w:lang w:val="es-ES"/>
              </w:rPr>
              <w:t>revisadas</w:t>
            </w:r>
            <w:r w:rsidR="00C325C7">
              <w:rPr>
                <w:b/>
                <w:bCs/>
                <w:lang w:val="es-ES"/>
              </w:rPr>
              <w:t xml:space="preserve"> </w:t>
            </w:r>
            <w:r w:rsidRPr="00C1082E">
              <w:rPr>
                <w:b/>
                <w:bCs/>
                <w:lang w:val="es-ES"/>
              </w:rPr>
              <w:t>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</w:tc>
      </w:tr>
      <w:tr w:rsidR="00E53DCE" w:rsidRPr="00C325C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325C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325C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601258">
        <w:rPr>
          <w:lang w:val="es-ES"/>
        </w:rPr>
        <w:t>845</w:t>
      </w:r>
      <w:r w:rsidR="00601258" w:rsidRPr="00456F71">
        <w:rPr>
          <w:lang w:val="es-ES"/>
        </w:rPr>
        <w:t xml:space="preserve"> </w:t>
      </w:r>
      <w:r w:rsidRPr="00456F71">
        <w:rPr>
          <w:lang w:val="es-ES"/>
        </w:rPr>
        <w:t xml:space="preserve">de </w:t>
      </w:r>
      <w:r w:rsidR="00601258">
        <w:rPr>
          <w:lang w:val="es-ES"/>
        </w:rPr>
        <w:t>30</w:t>
      </w:r>
      <w:r w:rsidRPr="00456F71">
        <w:rPr>
          <w:lang w:val="es-ES"/>
        </w:rPr>
        <w:t xml:space="preserve"> de </w:t>
      </w:r>
      <w:r w:rsidR="00601258">
        <w:rPr>
          <w:lang w:val="es-ES"/>
        </w:rPr>
        <w:t>noviembre</w:t>
      </w:r>
      <w:r w:rsidRPr="00456F71">
        <w:rPr>
          <w:lang w:val="es-ES"/>
        </w:rPr>
        <w:t xml:space="preserve"> de 201</w:t>
      </w:r>
      <w:r w:rsidR="00601258">
        <w:rPr>
          <w:lang w:val="es-ES"/>
        </w:rPr>
        <w:t>7</w:t>
      </w:r>
      <w:r w:rsidRPr="00456F71">
        <w:rPr>
          <w:lang w:val="es-ES"/>
        </w:rPr>
        <w:t>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601258">
        <w:rPr>
          <w:lang w:val="es-ES"/>
        </w:rPr>
        <w:t>3</w:t>
      </w:r>
      <w:r w:rsidRPr="00456F71">
        <w:rPr>
          <w:lang w:val="es-ES"/>
        </w:rPr>
        <w:t xml:space="preserve"> proyectos de nueva Recomendación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 xml:space="preserve"> y </w:t>
      </w:r>
      <w:r w:rsidR="00601258">
        <w:rPr>
          <w:lang w:val="es-ES"/>
        </w:rPr>
        <w:t>9</w:t>
      </w:r>
      <w:r w:rsidRPr="00456F71">
        <w:rPr>
          <w:lang w:val="es-ES"/>
        </w:rPr>
        <w:t xml:space="preserve"> proyectos de Recomendación </w:t>
      </w:r>
      <w:r w:rsidR="00502364">
        <w:rPr>
          <w:lang w:val="es-ES"/>
        </w:rPr>
        <w:t xml:space="preserve">UIT-R </w:t>
      </w:r>
      <w:r w:rsidRPr="00456F71">
        <w:rPr>
          <w:lang w:val="es-ES"/>
        </w:rPr>
        <w:t>revisada.</w:t>
      </w:r>
    </w:p>
    <w:p w:rsidR="00C1082E" w:rsidRPr="00456F71" w:rsidRDefault="00C1082E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601258">
        <w:rPr>
          <w:lang w:val="es-ES"/>
        </w:rPr>
        <w:t>30</w:t>
      </w:r>
      <w:r w:rsidR="00601258" w:rsidRPr="00456F71">
        <w:rPr>
          <w:lang w:val="es-ES"/>
        </w:rPr>
        <w:t> </w:t>
      </w:r>
      <w:r w:rsidRPr="00456F71">
        <w:rPr>
          <w:lang w:val="es-ES"/>
        </w:rPr>
        <w:t>de </w:t>
      </w:r>
      <w:r w:rsidR="00601258">
        <w:rPr>
          <w:lang w:val="es-ES"/>
        </w:rPr>
        <w:t>enero</w:t>
      </w:r>
      <w:r w:rsidRPr="00456F71">
        <w:rPr>
          <w:lang w:val="es-ES"/>
        </w:rPr>
        <w:t xml:space="preserve"> de 201</w:t>
      </w:r>
      <w:r w:rsidR="00601258">
        <w:rPr>
          <w:lang w:val="es-ES"/>
        </w:rPr>
        <w:t>8</w:t>
      </w:r>
      <w:r w:rsidRPr="00456F71">
        <w:rPr>
          <w:lang w:val="es-ES"/>
        </w:rPr>
        <w:t>.</w:t>
      </w:r>
    </w:p>
    <w:p w:rsidR="00C1082E" w:rsidRPr="00456F71" w:rsidRDefault="00C1082E" w:rsidP="00C325C7">
      <w:pPr>
        <w:rPr>
          <w:lang w:val="es-ES"/>
        </w:rPr>
      </w:pPr>
      <w:r w:rsidRPr="00456F71">
        <w:rPr>
          <w:lang w:val="es-ES"/>
        </w:rPr>
        <w:t>Las Recomendaci</w:t>
      </w:r>
      <w:r w:rsidR="00601258">
        <w:rPr>
          <w:lang w:val="es-ES"/>
        </w:rPr>
        <w:t>o</w:t>
      </w:r>
      <w:r w:rsidRPr="00456F71">
        <w:rPr>
          <w:lang w:val="es-ES"/>
        </w:rPr>
        <w:t xml:space="preserve">nes aprobadas serán publicadas por la UIT, y en el Anexo a la presente Circular figuran sus títulos, con </w:t>
      </w:r>
      <w:r w:rsidR="00683C97">
        <w:rPr>
          <w:lang w:val="es-ES"/>
        </w:rPr>
        <w:t>los</w:t>
      </w:r>
      <w:r w:rsidRPr="00456F71">
        <w:rPr>
          <w:lang w:val="es-ES"/>
        </w:rPr>
        <w:t xml:space="preserve"> números asignados.</w:t>
      </w:r>
    </w:p>
    <w:p w:rsidR="00C1082E" w:rsidRPr="00456F71" w:rsidRDefault="00C1082E" w:rsidP="00683C97">
      <w:pPr>
        <w:tabs>
          <w:tab w:val="left" w:pos="4820"/>
        </w:tabs>
        <w:spacing w:before="1080"/>
        <w:rPr>
          <w:bCs/>
          <w:lang w:val="es-ES"/>
        </w:rPr>
      </w:pPr>
      <w:r w:rsidRPr="00456F71">
        <w:rPr>
          <w:bCs/>
          <w:lang w:val="es-ES"/>
        </w:rPr>
        <w:t>François Rancy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C325C7">
      <w:pPr>
        <w:tabs>
          <w:tab w:val="left" w:pos="4820"/>
        </w:tabs>
        <w:spacing w:before="120"/>
        <w:rPr>
          <w:bCs/>
          <w:lang w:val="es-ES"/>
        </w:rPr>
      </w:pPr>
      <w:r w:rsidRPr="00456F71">
        <w:rPr>
          <w:b/>
          <w:lang w:val="es-ES"/>
        </w:rPr>
        <w:t>Anexo</w:t>
      </w:r>
      <w:r w:rsidRPr="00683C97">
        <w:rPr>
          <w:b/>
          <w:lang w:val="es-ES"/>
        </w:rPr>
        <w:t>:</w:t>
      </w:r>
      <w:r w:rsidR="00C325C7" w:rsidRPr="00C1082E">
        <w:rPr>
          <w:b/>
          <w:bCs/>
          <w:lang w:val="es-ES"/>
        </w:rPr>
        <w:tab/>
      </w:r>
      <w:r w:rsidR="00601258">
        <w:rPr>
          <w:bCs/>
          <w:lang w:val="es-ES"/>
        </w:rPr>
        <w:t>1</w:t>
      </w:r>
    </w:p>
    <w:p w:rsidR="00C1082E" w:rsidRPr="00456F71" w:rsidRDefault="00C1082E" w:rsidP="00C1082E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601258">
        <w:rPr>
          <w:rFonts w:asciiTheme="minorHAnsi" w:hAnsiTheme="minorHAnsi" w:cstheme="minorHAnsi"/>
          <w:sz w:val="18"/>
          <w:szCs w:val="18"/>
          <w:lang w:val="es-ES_tradnl"/>
        </w:rPr>
        <w:t>5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601258">
        <w:rPr>
          <w:rFonts w:asciiTheme="minorHAnsi" w:hAnsiTheme="minorHAnsi" w:cstheme="minorHAnsi"/>
          <w:sz w:val="18"/>
          <w:szCs w:val="18"/>
          <w:lang w:val="es-ES_tradnl"/>
        </w:rPr>
        <w:t>5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EF72BE" w:rsidRDefault="00C1082E" w:rsidP="003B07B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601258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601258" w:rsidRDefault="006012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br w:type="page"/>
      </w:r>
    </w:p>
    <w:p w:rsidR="00C1082E" w:rsidRPr="00C325C7" w:rsidRDefault="00C1082E">
      <w:pPr>
        <w:pStyle w:val="AnnexNotitle0"/>
        <w:rPr>
          <w:rFonts w:asciiTheme="minorHAnsi" w:hAnsiTheme="minorHAnsi"/>
          <w:lang w:val="es-ES"/>
        </w:rPr>
      </w:pPr>
      <w:r w:rsidRPr="00C325C7">
        <w:rPr>
          <w:rFonts w:asciiTheme="minorHAnsi" w:hAnsiTheme="minorHAnsi"/>
          <w:lang w:val="es-ES"/>
        </w:rPr>
        <w:lastRenderedPageBreak/>
        <w:t>Anexo</w:t>
      </w:r>
      <w:r w:rsidRPr="00C325C7">
        <w:rPr>
          <w:rFonts w:asciiTheme="minorHAnsi" w:hAnsiTheme="minorHAnsi"/>
          <w:lang w:val="es-ES"/>
        </w:rPr>
        <w:br/>
      </w:r>
      <w:r w:rsidRPr="00C325C7">
        <w:rPr>
          <w:rFonts w:asciiTheme="minorHAnsi" w:hAnsiTheme="minorHAnsi"/>
          <w:lang w:val="es-ES"/>
        </w:rPr>
        <w:br/>
        <w:t>Títulos de las Recomendaci</w:t>
      </w:r>
      <w:r w:rsidR="00601258">
        <w:rPr>
          <w:rFonts w:asciiTheme="minorHAnsi" w:hAnsiTheme="minorHAnsi"/>
          <w:lang w:val="es-ES"/>
        </w:rPr>
        <w:t>o</w:t>
      </w:r>
      <w:r w:rsidRPr="00C325C7">
        <w:rPr>
          <w:rFonts w:asciiTheme="minorHAnsi" w:hAnsiTheme="minorHAnsi"/>
          <w:lang w:val="es-ES"/>
        </w:rPr>
        <w:t xml:space="preserve">nes </w:t>
      </w:r>
      <w:r w:rsidR="007F5C60">
        <w:rPr>
          <w:rFonts w:asciiTheme="minorHAnsi" w:hAnsiTheme="minorHAnsi"/>
          <w:lang w:val="es-ES"/>
        </w:rPr>
        <w:t xml:space="preserve">UIT-R </w:t>
      </w:r>
      <w:r w:rsidRPr="00C325C7">
        <w:rPr>
          <w:rFonts w:asciiTheme="minorHAnsi" w:hAnsiTheme="minorHAnsi"/>
          <w:lang w:val="es-ES"/>
        </w:rPr>
        <w:t>aprobadas</w:t>
      </w:r>
    </w:p>
    <w:p w:rsidR="00601258" w:rsidRDefault="00C1082E" w:rsidP="0060125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after="160" w:line="259" w:lineRule="auto"/>
        <w:textAlignment w:val="auto"/>
        <w:rPr>
          <w:rFonts w:asciiTheme="minorHAnsi" w:hAnsiTheme="minorHAnsi" w:cstheme="minorHAnsi"/>
          <w:szCs w:val="24"/>
          <w:lang w:val="es-ES_tradnl"/>
        </w:rPr>
      </w:pPr>
      <w:r w:rsidRPr="002847C0">
        <w:rPr>
          <w:rFonts w:eastAsia="SimSun"/>
          <w:szCs w:val="24"/>
          <w:u w:val="single"/>
          <w:lang w:val="es-ES" w:eastAsia="zh-CN"/>
        </w:rPr>
        <w:t xml:space="preserve">Recomendación ITU-R </w:t>
      </w:r>
      <w:r w:rsidR="00601258" w:rsidRPr="00601258">
        <w:rPr>
          <w:rFonts w:asciiTheme="minorHAnsi" w:hAnsiTheme="minorHAnsi" w:cstheme="minorHAnsi"/>
          <w:u w:val="single"/>
          <w:lang w:val="es-ES_tradnl"/>
        </w:rPr>
        <w:t>F.2113-0</w:t>
      </w:r>
      <w:r w:rsidRPr="002847C0">
        <w:rPr>
          <w:rFonts w:eastAsia="SimSun"/>
          <w:szCs w:val="24"/>
          <w:lang w:val="es-ES" w:eastAsia="zh-CN"/>
        </w:rPr>
        <w:tab/>
      </w:r>
      <w:r w:rsidR="00601258" w:rsidRPr="00601258">
        <w:rPr>
          <w:rFonts w:asciiTheme="minorHAnsi" w:hAnsiTheme="minorHAnsi" w:cstheme="minorHAnsi"/>
          <w:lang w:val="es-ES_tradnl"/>
        </w:rPr>
        <w:t xml:space="preserve">Doc. </w:t>
      </w:r>
      <w:r w:rsidR="00601258" w:rsidRPr="00601258">
        <w:rPr>
          <w:rFonts w:asciiTheme="minorHAnsi" w:hAnsiTheme="minorHAnsi" w:cstheme="minorHAnsi"/>
          <w:szCs w:val="24"/>
          <w:lang w:val="es-ES_tradnl"/>
        </w:rPr>
        <w:t>5/79</w:t>
      </w:r>
    </w:p>
    <w:p w:rsidR="00601258" w:rsidRPr="00834600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>Objetivos de característica de error y de disponibilidad para los sistemas de radioenlaces digitales reales punto a punto basados en paquetes</w:t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</w:t>
      </w:r>
      <w:r w:rsidRPr="00834600">
        <w:rPr>
          <w:szCs w:val="24"/>
          <w:u w:val="single"/>
          <w:lang w:val="es-ES_tradnl"/>
        </w:rPr>
        <w:t xml:space="preserve"> M.</w:t>
      </w:r>
      <w:r>
        <w:rPr>
          <w:szCs w:val="24"/>
          <w:u w:val="single"/>
          <w:lang w:val="es-ES_tradnl"/>
        </w:rPr>
        <w:t>2114-0</w:t>
      </w:r>
      <w:r w:rsidRPr="00834600">
        <w:rPr>
          <w:rFonts w:asciiTheme="minorHAnsi" w:hAnsiTheme="minorHAnsi"/>
          <w:szCs w:val="24"/>
          <w:lang w:val="es-ES_tradnl"/>
        </w:rPr>
        <w:tab/>
        <w:t>Doc. 5/83</w:t>
      </w:r>
    </w:p>
    <w:p w:rsidR="00601258" w:rsidRPr="00834600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>Características técnicas y criterios de protección de los sistemas del servicio móvil aeronáutico en la banda de frecuencias 22,5-23,6 GHz y 25,25-27,5 GHz</w:t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</w:t>
      </w:r>
      <w:r w:rsidRPr="00834600">
        <w:rPr>
          <w:szCs w:val="24"/>
          <w:u w:val="single"/>
          <w:lang w:val="es-ES_tradnl"/>
        </w:rPr>
        <w:t xml:space="preserve"> M.</w:t>
      </w:r>
      <w:r>
        <w:rPr>
          <w:szCs w:val="24"/>
          <w:u w:val="single"/>
          <w:lang w:val="es-ES_tradnl"/>
        </w:rPr>
        <w:t>2115-0</w:t>
      </w:r>
      <w:r w:rsidRPr="00834600">
        <w:rPr>
          <w:rFonts w:asciiTheme="minorHAnsi" w:hAnsiTheme="minorHAnsi"/>
          <w:szCs w:val="24"/>
          <w:lang w:val="es-ES_tradnl"/>
        </w:rPr>
        <w:tab/>
        <w:t>Doc. 5/84</w:t>
      </w:r>
    </w:p>
    <w:p w:rsidR="00601258" w:rsidRPr="00834600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 xml:space="preserve">Características técnicas y criterios de protección de los sistemas del </w:t>
      </w:r>
      <w:r w:rsidRPr="00834600">
        <w:rPr>
          <w:rFonts w:eastAsia="Times New Roman Bold"/>
          <w:lang w:val="es-ES_tradnl" w:eastAsia="zh-CN"/>
        </w:rPr>
        <w:br/>
        <w:t>servicio móvil aeronáutico en la gama de frecuencias 45,5-47 GHz</w:t>
      </w:r>
    </w:p>
    <w:p w:rsidR="00601258" w:rsidRPr="00834600" w:rsidRDefault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</w:t>
      </w:r>
      <w:r w:rsidRPr="00834600">
        <w:rPr>
          <w:szCs w:val="24"/>
          <w:u w:val="single"/>
          <w:lang w:val="es-ES_tradnl"/>
        </w:rPr>
        <w:t xml:space="preserve"> M.2012-</w:t>
      </w:r>
      <w:r w:rsidR="00EB49A6">
        <w:rPr>
          <w:szCs w:val="24"/>
          <w:u w:val="single"/>
          <w:lang w:val="es-ES_tradnl"/>
        </w:rPr>
        <w:t>3</w:t>
      </w:r>
      <w:r w:rsidRPr="00834600">
        <w:rPr>
          <w:szCs w:val="24"/>
          <w:lang w:val="es-ES_tradnl"/>
        </w:rPr>
        <w:tab/>
        <w:t>Doc.</w:t>
      </w:r>
      <w:r w:rsidRPr="00834600">
        <w:rPr>
          <w:rFonts w:asciiTheme="minorHAnsi" w:hAnsiTheme="minorHAnsi"/>
          <w:szCs w:val="24"/>
          <w:lang w:val="es-ES_tradnl"/>
        </w:rPr>
        <w:t xml:space="preserve"> 5/62</w:t>
      </w:r>
    </w:p>
    <w:p w:rsidR="00601258" w:rsidRPr="00834600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>Especificaciones detalladas de las interfaces radioeléctricas terrenales de las telecomunicaciones móviles internacionales-avanzadas (IMT-Avanzadas)</w:t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</w:t>
      </w:r>
      <w:r w:rsidRPr="00834600">
        <w:rPr>
          <w:szCs w:val="24"/>
          <w:u w:val="single"/>
          <w:lang w:val="es-ES_tradnl"/>
        </w:rPr>
        <w:t xml:space="preserve"> M.2003-</w:t>
      </w:r>
      <w:r w:rsidR="00EB49A6">
        <w:rPr>
          <w:szCs w:val="24"/>
          <w:u w:val="single"/>
          <w:lang w:val="es-ES_tradnl"/>
        </w:rPr>
        <w:t>2</w:t>
      </w:r>
      <w:r w:rsidRPr="00834600">
        <w:rPr>
          <w:szCs w:val="24"/>
          <w:lang w:val="es-ES_tradnl"/>
        </w:rPr>
        <w:tab/>
        <w:t>Doc.</w:t>
      </w:r>
      <w:r w:rsidRPr="00834600">
        <w:rPr>
          <w:rFonts w:asciiTheme="minorHAnsi" w:hAnsiTheme="minorHAnsi"/>
          <w:szCs w:val="24"/>
          <w:lang w:val="es-ES_tradnl"/>
        </w:rPr>
        <w:t xml:space="preserve"> 5/67</w:t>
      </w:r>
    </w:p>
    <w:p w:rsidR="00601258" w:rsidRPr="00834600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>Sistemas inalámbricos de múltiples gigabits en frecuencias en torno a 60 GHz</w:t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</w:t>
      </w:r>
      <w:r w:rsidRPr="00834600">
        <w:rPr>
          <w:szCs w:val="24"/>
          <w:u w:val="single"/>
          <w:lang w:val="es-ES_tradnl"/>
        </w:rPr>
        <w:t xml:space="preserve"> M.2057-</w:t>
      </w:r>
      <w:r w:rsidR="00EB49A6">
        <w:rPr>
          <w:szCs w:val="24"/>
          <w:u w:val="single"/>
          <w:lang w:val="es-ES_tradnl"/>
        </w:rPr>
        <w:t>1</w:t>
      </w:r>
      <w:r w:rsidRPr="00834600">
        <w:rPr>
          <w:szCs w:val="24"/>
          <w:lang w:val="es-ES_tradnl"/>
        </w:rPr>
        <w:tab/>
        <w:t>Doc.</w:t>
      </w:r>
      <w:r w:rsidRPr="00834600">
        <w:rPr>
          <w:rFonts w:asciiTheme="minorHAnsi" w:hAnsiTheme="minorHAnsi"/>
          <w:szCs w:val="24"/>
          <w:lang w:val="es-ES_tradnl"/>
        </w:rPr>
        <w:t xml:space="preserve"> 5/68(Rev.1)</w:t>
      </w:r>
    </w:p>
    <w:p w:rsidR="00601258" w:rsidRPr="00834600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>Características de los sistemas de radares para automóviles que funcionan en la banda de frecuencias 76</w:t>
      </w:r>
      <w:r w:rsidRPr="00834600">
        <w:rPr>
          <w:rFonts w:eastAsia="Times New Roman Bold"/>
          <w:lang w:val="es-ES_tradnl" w:eastAsia="zh-CN"/>
        </w:rPr>
        <w:noBreakHyphen/>
        <w:t xml:space="preserve">81 GHz para las aplicaciones </w:t>
      </w:r>
      <w:r w:rsidRPr="00834600">
        <w:rPr>
          <w:rFonts w:eastAsia="Times New Roman Bold"/>
          <w:lang w:val="es-ES_tradnl" w:eastAsia="zh-CN"/>
        </w:rPr>
        <w:br/>
        <w:t>de los sistemas de transporte inteligente</w:t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/>
          <w:szCs w:val="24"/>
          <w:u w:val="single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 M.1640-</w:t>
      </w:r>
      <w:r w:rsidR="00EB49A6">
        <w:rPr>
          <w:rFonts w:asciiTheme="minorHAnsi" w:hAnsiTheme="minorHAnsi"/>
          <w:szCs w:val="24"/>
          <w:u w:val="single"/>
          <w:lang w:val="es-ES_tradnl"/>
        </w:rPr>
        <w:t>1</w:t>
      </w:r>
      <w:r w:rsidRPr="00834600">
        <w:rPr>
          <w:rFonts w:asciiTheme="minorHAnsi" w:hAnsiTheme="minorHAnsi"/>
          <w:szCs w:val="24"/>
          <w:lang w:val="es-ES_tradnl"/>
        </w:rPr>
        <w:tab/>
        <w:t>Doc. 5/69</w:t>
      </w:r>
    </w:p>
    <w:p w:rsidR="00EB49A6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 xml:space="preserve">Características y criterios de protección para estudios de compartición </w:t>
      </w:r>
      <w:r w:rsidRPr="00834600">
        <w:rPr>
          <w:rFonts w:eastAsia="Times New Roman Bold"/>
          <w:lang w:val="es-ES_tradnl" w:eastAsia="zh-CN"/>
        </w:rPr>
        <w:br/>
        <w:t xml:space="preserve">de radares que funcionan en el servicio de radiodeterminación </w:t>
      </w:r>
      <w:r w:rsidRPr="00834600">
        <w:rPr>
          <w:rFonts w:eastAsia="Times New Roman Bold"/>
          <w:lang w:val="es-ES_tradnl" w:eastAsia="zh-CN"/>
        </w:rPr>
        <w:br/>
        <w:t>en la banda de frecuencias 33,4-36 GHz</w:t>
      </w:r>
    </w:p>
    <w:p w:rsidR="00EB49A6" w:rsidRDefault="00EB49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Times New Roman Bold"/>
          <w:b/>
          <w:sz w:val="28"/>
          <w:lang w:val="es-ES_tradnl" w:eastAsia="zh-CN"/>
        </w:rPr>
      </w:pPr>
      <w:r>
        <w:rPr>
          <w:rFonts w:eastAsia="Times New Roman Bold"/>
          <w:lang w:val="es-ES_tradnl" w:eastAsia="zh-CN"/>
        </w:rPr>
        <w:br w:type="page"/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lastRenderedPageBreak/>
        <w:t>Recomendación UIT-R</w:t>
      </w:r>
      <w:r w:rsidRPr="00834600">
        <w:rPr>
          <w:szCs w:val="24"/>
          <w:u w:val="single"/>
          <w:lang w:val="es-ES_tradnl"/>
        </w:rPr>
        <w:t xml:space="preserve"> M.1465-</w:t>
      </w:r>
      <w:r w:rsidR="00EB49A6">
        <w:rPr>
          <w:szCs w:val="24"/>
          <w:u w:val="single"/>
          <w:lang w:val="es-ES_tradnl"/>
        </w:rPr>
        <w:t>3</w:t>
      </w:r>
      <w:r w:rsidRPr="00834600">
        <w:rPr>
          <w:szCs w:val="24"/>
          <w:lang w:val="es-ES_tradnl"/>
        </w:rPr>
        <w:tab/>
        <w:t>Doc.</w:t>
      </w:r>
      <w:r w:rsidRPr="00834600">
        <w:rPr>
          <w:rFonts w:asciiTheme="minorHAnsi" w:hAnsiTheme="minorHAnsi"/>
          <w:szCs w:val="24"/>
          <w:lang w:val="es-ES_tradnl"/>
        </w:rPr>
        <w:t xml:space="preserve"> 5/70(Rev.1)</w:t>
      </w:r>
    </w:p>
    <w:p w:rsidR="00601258" w:rsidRPr="00834600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>Características y criterios de protección de los radares que funcionan en el servicio de radiodeterminación en la gama de frecuencias 3 100-3 700 MHz</w:t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</w:t>
      </w:r>
      <w:r w:rsidRPr="00834600">
        <w:rPr>
          <w:szCs w:val="24"/>
          <w:u w:val="single"/>
          <w:lang w:val="es-ES_tradnl"/>
        </w:rPr>
        <w:t xml:space="preserve"> M.1509-</w:t>
      </w:r>
      <w:r w:rsidR="00EB49A6">
        <w:rPr>
          <w:szCs w:val="24"/>
          <w:u w:val="single"/>
          <w:lang w:val="es-ES_tradnl"/>
        </w:rPr>
        <w:t>4</w:t>
      </w:r>
      <w:r w:rsidRPr="00834600">
        <w:rPr>
          <w:szCs w:val="24"/>
          <w:lang w:val="es-ES_tradnl"/>
        </w:rPr>
        <w:tab/>
        <w:t>Doc.</w:t>
      </w:r>
      <w:r w:rsidRPr="00834600">
        <w:rPr>
          <w:rFonts w:asciiTheme="minorHAnsi" w:hAnsiTheme="minorHAnsi"/>
          <w:szCs w:val="24"/>
          <w:lang w:val="es-ES_tradnl"/>
        </w:rPr>
        <w:t xml:space="preserve"> 5/75</w:t>
      </w:r>
    </w:p>
    <w:p w:rsidR="00601258" w:rsidRPr="00834600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>Requisitos técnicos y de explotación que facilitan la compartición</w:t>
      </w:r>
      <w:r w:rsidRPr="00834600">
        <w:rPr>
          <w:rFonts w:eastAsia="Times New Roman Bold"/>
          <w:lang w:val="es-ES_tradnl" w:eastAsia="zh-CN"/>
        </w:rPr>
        <w:br/>
        <w:t xml:space="preserve">entre los sistemas punto a multipunto del servicio fijo y </w:t>
      </w:r>
      <w:r w:rsidRPr="00834600">
        <w:rPr>
          <w:rFonts w:eastAsia="Times New Roman Bold"/>
          <w:lang w:val="es-ES_tradnl" w:eastAsia="zh-CN"/>
        </w:rPr>
        <w:br/>
        <w:t>el servicio entre satélites en la banda 25,25-27,5 GHz</w:t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</w:t>
      </w:r>
      <w:r w:rsidRPr="00834600">
        <w:rPr>
          <w:szCs w:val="24"/>
          <w:u w:val="single"/>
          <w:lang w:val="es-ES_tradnl"/>
        </w:rPr>
        <w:t xml:space="preserve"> F.699-</w:t>
      </w:r>
      <w:r w:rsidR="00EB49A6">
        <w:rPr>
          <w:szCs w:val="24"/>
          <w:u w:val="single"/>
          <w:lang w:val="es-ES_tradnl"/>
        </w:rPr>
        <w:t>8</w:t>
      </w:r>
      <w:r w:rsidRPr="00834600">
        <w:rPr>
          <w:szCs w:val="24"/>
          <w:lang w:val="es-ES_tradnl"/>
        </w:rPr>
        <w:tab/>
        <w:t>Doc.</w:t>
      </w:r>
      <w:r w:rsidRPr="00834600">
        <w:rPr>
          <w:rFonts w:asciiTheme="minorHAnsi" w:hAnsiTheme="minorHAnsi"/>
          <w:szCs w:val="24"/>
          <w:lang w:val="es-ES_tradnl"/>
        </w:rPr>
        <w:t xml:space="preserve"> 5/76(Rev.1)</w:t>
      </w:r>
    </w:p>
    <w:p w:rsidR="00601258" w:rsidRPr="00834600" w:rsidRDefault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 xml:space="preserve">Diagramas de radiación de referencia de antenas de sistemas inalámbricos fijos para utilizarlos en los estudios de coordinación y en la evaluación de la interferencia en la gama de frecuencias de 100 MHz a </w:t>
      </w:r>
      <w:r w:rsidR="00EB49A6">
        <w:rPr>
          <w:rFonts w:eastAsia="Times New Roman Bold"/>
          <w:lang w:val="es-ES_tradnl" w:eastAsia="zh-CN"/>
        </w:rPr>
        <w:t>86</w:t>
      </w:r>
      <w:r w:rsidRPr="00834600">
        <w:rPr>
          <w:rFonts w:eastAsia="Times New Roman Bold"/>
          <w:lang w:val="es-ES_tradnl" w:eastAsia="zh-CN"/>
        </w:rPr>
        <w:t xml:space="preserve"> GHz</w:t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</w:t>
      </w:r>
      <w:r w:rsidRPr="00834600">
        <w:rPr>
          <w:szCs w:val="24"/>
          <w:u w:val="single"/>
          <w:lang w:val="es-ES_tradnl"/>
        </w:rPr>
        <w:t xml:space="preserve"> F.1249-</w:t>
      </w:r>
      <w:r w:rsidR="00EB49A6">
        <w:rPr>
          <w:szCs w:val="24"/>
          <w:u w:val="single"/>
          <w:lang w:val="es-ES_tradnl"/>
        </w:rPr>
        <w:t>5</w:t>
      </w:r>
      <w:r w:rsidRPr="00834600">
        <w:rPr>
          <w:szCs w:val="24"/>
          <w:lang w:val="es-ES_tradnl"/>
        </w:rPr>
        <w:tab/>
        <w:t>Doc.</w:t>
      </w:r>
      <w:r w:rsidRPr="00834600">
        <w:rPr>
          <w:rFonts w:asciiTheme="minorHAnsi" w:hAnsiTheme="minorHAnsi"/>
          <w:szCs w:val="24"/>
          <w:lang w:val="es-ES_tradnl"/>
        </w:rPr>
        <w:t xml:space="preserve"> 5/77(Rev.1)</w:t>
      </w:r>
    </w:p>
    <w:p w:rsidR="00601258" w:rsidRPr="00834600" w:rsidRDefault="00601258" w:rsidP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 xml:space="preserve">Requisitos técnicos y de explotación que facilitan la compartición </w:t>
      </w:r>
      <w:r w:rsidRPr="00834600">
        <w:rPr>
          <w:rFonts w:eastAsia="Times New Roman Bold"/>
          <w:lang w:val="es-ES_tradnl" w:eastAsia="zh-CN"/>
        </w:rPr>
        <w:br/>
        <w:t>entre los sistemas inalámbricos punto a punto del servicio fijo</w:t>
      </w:r>
      <w:r w:rsidRPr="00834600">
        <w:rPr>
          <w:rFonts w:eastAsia="Times New Roman Bold"/>
          <w:lang w:val="es-ES_tradnl" w:eastAsia="zh-CN"/>
        </w:rPr>
        <w:br/>
        <w:t>y el servicio entre satélites en la banda 25,25-27,5 GHz</w:t>
      </w:r>
    </w:p>
    <w:p w:rsidR="00601258" w:rsidRPr="00834600" w:rsidRDefault="00601258" w:rsidP="006012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834600">
        <w:rPr>
          <w:rFonts w:asciiTheme="minorHAnsi" w:hAnsiTheme="minorHAnsi"/>
          <w:szCs w:val="24"/>
          <w:u w:val="single"/>
          <w:lang w:val="es-ES_tradnl"/>
        </w:rPr>
        <w:t>Recomendación UIT-R</w:t>
      </w:r>
      <w:r w:rsidRPr="00834600">
        <w:rPr>
          <w:szCs w:val="24"/>
          <w:u w:val="single"/>
          <w:lang w:val="es-ES_tradnl"/>
        </w:rPr>
        <w:t xml:space="preserve"> M.2015-</w:t>
      </w:r>
      <w:r w:rsidR="00EB49A6">
        <w:rPr>
          <w:szCs w:val="24"/>
          <w:u w:val="single"/>
          <w:lang w:val="es-ES_tradnl"/>
        </w:rPr>
        <w:t>2</w:t>
      </w:r>
      <w:r w:rsidRPr="00834600">
        <w:rPr>
          <w:szCs w:val="24"/>
          <w:lang w:val="es-ES_tradnl"/>
        </w:rPr>
        <w:tab/>
        <w:t>Doc.</w:t>
      </w:r>
      <w:r w:rsidRPr="00834600">
        <w:rPr>
          <w:rFonts w:asciiTheme="minorHAnsi" w:hAnsiTheme="minorHAnsi"/>
          <w:szCs w:val="24"/>
          <w:lang w:val="es-ES_tradnl"/>
        </w:rPr>
        <w:t xml:space="preserve"> 5/82(Rev.1)</w:t>
      </w:r>
    </w:p>
    <w:p w:rsidR="00601258" w:rsidRPr="00601258" w:rsidRDefault="00601258">
      <w:pPr>
        <w:pStyle w:val="Rectitle"/>
        <w:rPr>
          <w:rFonts w:eastAsia="Times New Roman Bold"/>
          <w:lang w:val="es-ES_tradnl" w:eastAsia="zh-CN"/>
        </w:rPr>
      </w:pPr>
      <w:r w:rsidRPr="00834600">
        <w:rPr>
          <w:rFonts w:eastAsia="Times New Roman Bold"/>
          <w:lang w:val="es-ES_tradnl" w:eastAsia="zh-CN"/>
        </w:rPr>
        <w:t xml:space="preserve">Disposiciones de frecuencias para los sistemas de radiocomunicaciones </w:t>
      </w:r>
      <w:r w:rsidRPr="00834600">
        <w:rPr>
          <w:rFonts w:eastAsia="Times New Roman Bold"/>
          <w:lang w:val="es-ES_tradnl" w:eastAsia="zh-CN"/>
        </w:rPr>
        <w:br/>
        <w:t>de protección pública y ayuda en caso de catástrofe con arr</w:t>
      </w:r>
      <w:r>
        <w:rPr>
          <w:rFonts w:eastAsia="Times New Roman Bold"/>
          <w:lang w:val="es-ES_tradnl" w:eastAsia="zh-CN"/>
        </w:rPr>
        <w:t xml:space="preserve">eglo a </w:t>
      </w:r>
      <w:r>
        <w:rPr>
          <w:rFonts w:eastAsia="Times New Roman Bold"/>
          <w:lang w:val="es-ES_tradnl" w:eastAsia="zh-CN"/>
        </w:rPr>
        <w:br/>
        <w:t>la Resolución 646 (Rev.</w:t>
      </w:r>
      <w:r w:rsidRPr="00834600">
        <w:rPr>
          <w:rFonts w:eastAsia="Times New Roman Bold"/>
          <w:lang w:val="es-ES_tradnl" w:eastAsia="zh-CN"/>
        </w:rPr>
        <w:t>CMR-1</w:t>
      </w:r>
      <w:r w:rsidR="00EB49A6">
        <w:rPr>
          <w:rFonts w:eastAsia="Times New Roman Bold"/>
          <w:lang w:val="es-ES_tradnl" w:eastAsia="zh-CN"/>
        </w:rPr>
        <w:t>5</w:t>
      </w:r>
      <w:r w:rsidRPr="00834600">
        <w:rPr>
          <w:rFonts w:eastAsia="Times New Roman Bold"/>
          <w:lang w:val="es-ES_tradnl" w:eastAsia="zh-CN"/>
        </w:rPr>
        <w:t>)</w:t>
      </w:r>
    </w:p>
    <w:p w:rsidR="00C1082E" w:rsidRPr="00456F71" w:rsidRDefault="00C1082E" w:rsidP="00A1542A">
      <w:pPr>
        <w:spacing w:before="360" w:after="120"/>
        <w:jc w:val="center"/>
        <w:rPr>
          <w:lang w:val="es-ES"/>
        </w:rPr>
      </w:pPr>
      <w:r w:rsidRPr="00456F71">
        <w:rPr>
          <w:lang w:val="es-ES"/>
        </w:rPr>
        <w:t>___________</w:t>
      </w:r>
      <w:bookmarkStart w:id="0" w:name="_GoBack"/>
      <w:bookmarkEnd w:id="0"/>
      <w:r w:rsidRPr="00456F71">
        <w:rPr>
          <w:lang w:val="es-ES"/>
        </w:rPr>
        <w:t>___</w:t>
      </w:r>
    </w:p>
    <w:sectPr w:rsidR="00C1082E" w:rsidRPr="00456F71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4D" w:rsidRPr="00EB49A6" w:rsidRDefault="009D0A4D" w:rsidP="00EB4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Default="00AC20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1542A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EB49A6">
    <w:pPr>
      <w:pStyle w:val="Header"/>
    </w:pPr>
    <w:r>
      <w:tab/>
    </w:r>
    <w:r>
      <w:tab/>
    </w:r>
    <w:r w:rsidR="00EB49A6">
      <w:rPr>
        <w:sz w:val="18"/>
        <w:szCs w:val="16"/>
      </w:rPr>
      <w:t xml:space="preserve">- </w:t>
    </w:r>
    <w:r w:rsidR="00EB49A6" w:rsidRPr="00D239B4">
      <w:rPr>
        <w:rStyle w:val="PageNumber"/>
        <w:sz w:val="18"/>
        <w:szCs w:val="16"/>
      </w:rPr>
      <w:fldChar w:fldCharType="begin"/>
    </w:r>
    <w:r w:rsidR="00EB49A6" w:rsidRPr="00D239B4">
      <w:rPr>
        <w:rStyle w:val="PageNumber"/>
        <w:sz w:val="18"/>
        <w:szCs w:val="16"/>
      </w:rPr>
      <w:instrText xml:space="preserve"> PAGE </w:instrText>
    </w:r>
    <w:r w:rsidR="00EB49A6" w:rsidRPr="00D239B4">
      <w:rPr>
        <w:rStyle w:val="PageNumber"/>
        <w:sz w:val="18"/>
        <w:szCs w:val="16"/>
      </w:rPr>
      <w:fldChar w:fldCharType="separate"/>
    </w:r>
    <w:r w:rsidR="00A1542A">
      <w:rPr>
        <w:rStyle w:val="PageNumber"/>
        <w:noProof/>
        <w:sz w:val="18"/>
        <w:szCs w:val="16"/>
      </w:rPr>
      <w:t>3</w:t>
    </w:r>
    <w:r w:rsidR="00EB49A6" w:rsidRPr="00D239B4">
      <w:rPr>
        <w:rStyle w:val="PageNumber"/>
        <w:sz w:val="18"/>
        <w:szCs w:val="16"/>
      </w:rPr>
      <w:fldChar w:fldCharType="end"/>
    </w:r>
    <w:r w:rsidR="00EB49A6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209A" w:rsidRDefault="00AC209A" w:rsidP="00AC209A">
    <w:pPr>
      <w:pStyle w:val="Header"/>
      <w:spacing w:line="360" w:lineRule="auto"/>
      <w:jc w:val="center"/>
    </w:pPr>
    <w:r>
      <w:rPr>
        <w:b/>
        <w:bCs/>
        <w:noProof/>
      </w:rPr>
      <w:drawing>
        <wp:inline distT="0" distB="0" distL="0" distR="0" wp14:anchorId="6074972F" wp14:editId="73D8C38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1258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191A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1542A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325C7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9A6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601258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618F-F2A5-40A2-8DDD-9F5CDE11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5</TotalTime>
  <Pages>3</Pages>
  <Words>635</Words>
  <Characters>3855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</cp:lastModifiedBy>
  <cp:revision>4</cp:revision>
  <cp:lastPrinted>2018-01-31T09:22:00Z</cp:lastPrinted>
  <dcterms:created xsi:type="dcterms:W3CDTF">2018-01-31T09:16:00Z</dcterms:created>
  <dcterms:modified xsi:type="dcterms:W3CDTF">2018-01-31T09:37:00Z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