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1F32E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1F32E3">
              <w:rPr>
                <w:b/>
                <w:bCs/>
                <w:szCs w:val="24"/>
                <w:lang w:val="fr-CH"/>
              </w:rPr>
              <w:t>858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1F32E3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1F32E3">
                  <w:rPr>
                    <w:rFonts w:cs="Arial"/>
                    <w:szCs w:val="24"/>
                    <w:lang w:val="fr-CH"/>
                  </w:rPr>
                  <w:t>2 février</w:t>
                </w:r>
                <w:r w:rsidR="001F32E3" w:rsidRPr="00F55652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1F32E3">
                  <w:rPr>
                    <w:rFonts w:cs="Arial"/>
                    <w:szCs w:val="24"/>
                    <w:lang w:val="fr-CH"/>
                  </w:rPr>
                  <w:t>8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02A8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6F38C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1F32E3">
              <w:rPr>
                <w:b/>
                <w:lang w:val="fr-CH"/>
              </w:rPr>
              <w:t>5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C02A8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02A8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02A8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1F32E3">
              <w:rPr>
                <w:b/>
                <w:bCs/>
                <w:lang w:val="fr-CH"/>
              </w:rPr>
              <w:t>5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1F32E3">
              <w:rPr>
                <w:b/>
                <w:bCs/>
                <w:lang w:val="fr-CH"/>
              </w:rPr>
              <w:t>Services de Terre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F55652" w:rsidRDefault="006F38C7" w:rsidP="00FF47E2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1F32E3"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nouvelles Recommandations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1F32E3">
              <w:rPr>
                <w:b/>
                <w:bCs/>
                <w:lang w:val="fr-CH"/>
              </w:rPr>
              <w:t>9</w:t>
            </w:r>
            <w:r w:rsidR="00FF47E2">
              <w:rPr>
                <w:b/>
                <w:bCs/>
                <w:lang w:val="fr-CH"/>
              </w:rPr>
              <w:t> 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C02A8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02A8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02A8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1F32E3">
        <w:rPr>
          <w:lang w:val="fr-CH"/>
        </w:rPr>
        <w:t>845</w:t>
      </w:r>
      <w:r w:rsidR="001F32E3" w:rsidRPr="006E0087">
        <w:rPr>
          <w:lang w:val="fr-CH"/>
        </w:rPr>
        <w:t xml:space="preserve"> </w:t>
      </w:r>
      <w:r w:rsidRPr="006E0087">
        <w:rPr>
          <w:lang w:val="fr-CH"/>
        </w:rPr>
        <w:t>datée du</w:t>
      </w:r>
      <w:r>
        <w:rPr>
          <w:lang w:val="fr-CH"/>
        </w:rPr>
        <w:t xml:space="preserve"> </w:t>
      </w:r>
      <w:r w:rsidR="001F32E3">
        <w:rPr>
          <w:lang w:val="fr-CH"/>
        </w:rPr>
        <w:t>30 novembre</w:t>
      </w:r>
      <w:r>
        <w:rPr>
          <w:lang w:val="fr-CH"/>
        </w:rPr>
        <w:t xml:space="preserve"> 201</w:t>
      </w:r>
      <w:r w:rsidR="001F32E3">
        <w:rPr>
          <w:lang w:val="fr-CH"/>
        </w:rPr>
        <w:t>7</w:t>
      </w:r>
      <w:r w:rsidRPr="006E0087">
        <w:rPr>
          <w:lang w:val="fr-CH"/>
        </w:rPr>
        <w:t xml:space="preserve">, </w:t>
      </w:r>
      <w:r w:rsidR="001F32E3">
        <w:rPr>
          <w:lang w:val="fr-CH"/>
        </w:rPr>
        <w:t>3</w:t>
      </w:r>
      <w:r w:rsidRPr="006E0087">
        <w:rPr>
          <w:lang w:val="fr-CH"/>
        </w:rPr>
        <w:t xml:space="preserve"> projets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1F32E3">
        <w:rPr>
          <w:lang w:val="fr-CH"/>
        </w:rPr>
        <w:t>9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</w:t>
      </w:r>
      <w:bookmarkStart w:id="0" w:name="_GoBack"/>
      <w:bookmarkEnd w:id="0"/>
    </w:p>
    <w:p w:rsidR="006F38C7" w:rsidRPr="006E0087" w:rsidRDefault="006F38C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1F32E3">
        <w:rPr>
          <w:lang w:val="fr-CH"/>
        </w:rPr>
        <w:t>30 janvier</w:t>
      </w:r>
      <w:r w:rsidRPr="006E0087">
        <w:rPr>
          <w:lang w:val="fr-CH"/>
        </w:rPr>
        <w:t xml:space="preserve"> 201</w:t>
      </w:r>
      <w:r w:rsidR="001F32E3">
        <w:rPr>
          <w:lang w:val="fr-CH"/>
        </w:rPr>
        <w:t>8</w:t>
      </w:r>
      <w:r>
        <w:rPr>
          <w:lang w:val="fr-CH"/>
        </w:rPr>
        <w:t>.</w:t>
      </w:r>
    </w:p>
    <w:p w:rsidR="006F38C7" w:rsidRDefault="006F38C7" w:rsidP="00C02A88">
      <w:pPr>
        <w:rPr>
          <w:lang w:val="fr-CH"/>
        </w:rPr>
      </w:pPr>
      <w:r w:rsidRPr="006E0087">
        <w:rPr>
          <w:lang w:val="fr-CH"/>
        </w:rPr>
        <w:t>Les Recommandations approuvées</w:t>
      </w:r>
      <w:r w:rsidR="00FF47E2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de la présente Circulaire leurs titres ainsi que les numéros qui leur ont été attribués. </w:t>
      </w:r>
    </w:p>
    <w:p w:rsidR="006F38C7" w:rsidRDefault="006F38C7" w:rsidP="006F38C7">
      <w:pPr>
        <w:rPr>
          <w:lang w:val="fr-CH"/>
        </w:rPr>
      </w:pPr>
    </w:p>
    <w:p w:rsidR="00C02A88" w:rsidRDefault="00C02A88" w:rsidP="006F38C7">
      <w:pPr>
        <w:rPr>
          <w:lang w:val="fr-CH"/>
        </w:rPr>
      </w:pPr>
    </w:p>
    <w:p w:rsidR="00C02A88" w:rsidRPr="00C02A88" w:rsidRDefault="00C02A88" w:rsidP="006F38C7">
      <w:pPr>
        <w:rPr>
          <w:lang w:val="fr-CH"/>
        </w:rPr>
      </w:pPr>
    </w:p>
    <w:p w:rsidR="002569F7" w:rsidRDefault="00E80E61" w:rsidP="006F38C7">
      <w:pPr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6F38C7" w:rsidRPr="00136CBE" w:rsidRDefault="006F38C7" w:rsidP="00C02A88">
      <w:pPr>
        <w:keepNext/>
        <w:keepLines/>
        <w:tabs>
          <w:tab w:val="center" w:pos="7939"/>
          <w:tab w:val="right" w:pos="8505"/>
        </w:tabs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 w:rsidR="00C02A88">
        <w:rPr>
          <w:lang w:val="fr-CH"/>
        </w:rPr>
        <w:t xml:space="preserve"> 1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1F32E3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1F32E3">
        <w:rPr>
          <w:sz w:val="18"/>
          <w:szCs w:val="18"/>
          <w:lang w:val="fr-CH"/>
        </w:rPr>
        <w:t>5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Pr="006F38C7">
        <w:rPr>
          <w:rFonts w:asciiTheme="minorHAnsi" w:hAnsiTheme="minorHAnsi"/>
          <w:lang w:val="fr-CH"/>
        </w:rPr>
        <w:t xml:space="preserve"> approuvées</w:t>
      </w:r>
    </w:p>
    <w:p w:rsidR="006F38C7" w:rsidRPr="00DD00F8" w:rsidRDefault="006F38C7" w:rsidP="001F32E3">
      <w:pPr>
        <w:tabs>
          <w:tab w:val="right" w:pos="9639"/>
        </w:tabs>
        <w:spacing w:before="360"/>
        <w:rPr>
          <w:rFonts w:cstheme="minorHAnsi"/>
          <w:lang w:val="fr-CH"/>
        </w:rPr>
      </w:pPr>
      <w:r w:rsidRPr="00662581">
        <w:rPr>
          <w:rFonts w:cstheme="minorHAnsi"/>
          <w:u w:val="single"/>
          <w:lang w:val="fr-CH"/>
        </w:rPr>
        <w:t>Recomm</w:t>
      </w:r>
      <w:r>
        <w:rPr>
          <w:rFonts w:cstheme="minorHAnsi"/>
          <w:u w:val="single"/>
          <w:lang w:val="fr-CH"/>
        </w:rPr>
        <w:t>a</w:t>
      </w:r>
      <w:r w:rsidRPr="00662581">
        <w:rPr>
          <w:rFonts w:cstheme="minorHAnsi"/>
          <w:u w:val="single"/>
          <w:lang w:val="fr-CH"/>
        </w:rPr>
        <w:t xml:space="preserve">ndation </w:t>
      </w:r>
      <w:r>
        <w:rPr>
          <w:rFonts w:cstheme="minorHAnsi"/>
          <w:u w:val="single"/>
          <w:lang w:val="fr-CH"/>
        </w:rPr>
        <w:t>UIT</w:t>
      </w:r>
      <w:r w:rsidRPr="00662581">
        <w:rPr>
          <w:rFonts w:cstheme="minorHAnsi"/>
          <w:u w:val="single"/>
          <w:lang w:val="fr-CH"/>
        </w:rPr>
        <w:t xml:space="preserve">-R </w:t>
      </w:r>
      <w:r w:rsidR="001F32E3" w:rsidRPr="004E073B">
        <w:rPr>
          <w:rFonts w:asciiTheme="minorHAnsi" w:hAnsiTheme="minorHAnsi" w:cstheme="minorHAnsi"/>
          <w:u w:val="single"/>
          <w:lang w:val="fr-CH"/>
        </w:rPr>
        <w:t>F.</w:t>
      </w:r>
      <w:r w:rsidR="001F32E3" w:rsidRPr="00B361BF">
        <w:rPr>
          <w:rFonts w:asciiTheme="minorHAnsi" w:hAnsiTheme="minorHAnsi" w:cstheme="minorHAnsi"/>
          <w:u w:val="single"/>
          <w:lang w:val="fr-CH"/>
        </w:rPr>
        <w:t>2113</w:t>
      </w:r>
      <w:r w:rsidR="001F32E3">
        <w:rPr>
          <w:rFonts w:asciiTheme="minorHAnsi" w:hAnsiTheme="minorHAnsi" w:cstheme="minorHAnsi"/>
          <w:u w:val="single"/>
          <w:lang w:val="fr-CH"/>
        </w:rPr>
        <w:t>-0</w:t>
      </w:r>
      <w:r w:rsidR="001F32E3" w:rsidRPr="00B361BF">
        <w:rPr>
          <w:rFonts w:asciiTheme="minorHAnsi" w:hAnsiTheme="minorHAnsi" w:cstheme="minorHAnsi"/>
          <w:lang w:val="fr-CH"/>
        </w:rPr>
        <w:tab/>
        <w:t xml:space="preserve">Doc. </w:t>
      </w:r>
      <w:r w:rsidR="001F32E3" w:rsidRPr="004E073B">
        <w:rPr>
          <w:rFonts w:asciiTheme="minorHAnsi" w:hAnsiTheme="minorHAnsi" w:cstheme="minorHAnsi"/>
          <w:szCs w:val="24"/>
          <w:lang w:val="fr-CH"/>
        </w:rPr>
        <w:t>5/79</w:t>
      </w:r>
    </w:p>
    <w:p w:rsidR="006F38C7" w:rsidRDefault="001F32E3" w:rsidP="001F32E3">
      <w:pPr>
        <w:jc w:val="center"/>
        <w:rPr>
          <w:lang w:val="fr-CH"/>
        </w:rPr>
      </w:pPr>
      <w:r w:rsidRPr="00B23DAC">
        <w:rPr>
          <w:b/>
          <w:bCs/>
          <w:sz w:val="28"/>
          <w:szCs w:val="28"/>
          <w:lang w:val="fr-FR"/>
        </w:rPr>
        <w:t>Caractéristiques et objectifs de qualité en matière d'erreur et de disponibilité des liaisons radioélectriques point à point réelles en mode paquet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</w:t>
      </w:r>
      <w:r w:rsidRPr="00B361BF">
        <w:rPr>
          <w:szCs w:val="24"/>
          <w:u w:val="single"/>
          <w:lang w:val="fr-CH"/>
        </w:rPr>
        <w:t>M.2114</w:t>
      </w:r>
      <w:r>
        <w:rPr>
          <w:szCs w:val="24"/>
          <w:u w:val="single"/>
          <w:lang w:val="fr-CH"/>
        </w:rPr>
        <w:t>-0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5/83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Caractéristiques techniques et opérationnelles et critères de protection des systèmes du service </w:t>
      </w:r>
      <w:r w:rsidRPr="00B23DAC">
        <w:rPr>
          <w:b/>
          <w:bCs/>
          <w:sz w:val="28"/>
          <w:szCs w:val="28"/>
          <w:lang w:val="fr-FR"/>
        </w:rPr>
        <w:t xml:space="preserve">mobile </w:t>
      </w:r>
      <w:r>
        <w:rPr>
          <w:b/>
          <w:bCs/>
          <w:sz w:val="28"/>
          <w:szCs w:val="28"/>
          <w:lang w:val="fr-FR"/>
        </w:rPr>
        <w:t xml:space="preserve">aéronautique dans les bandes </w:t>
      </w:r>
      <w:r>
        <w:rPr>
          <w:b/>
          <w:bCs/>
          <w:sz w:val="28"/>
          <w:szCs w:val="28"/>
          <w:lang w:val="fr-FR"/>
        </w:rPr>
        <w:br/>
        <w:t xml:space="preserve">de fréquences </w:t>
      </w:r>
      <w:r w:rsidRPr="00B23DAC">
        <w:rPr>
          <w:b/>
          <w:bCs/>
          <w:sz w:val="28"/>
          <w:szCs w:val="28"/>
          <w:lang w:val="fr-FR"/>
        </w:rPr>
        <w:t>22</w:t>
      </w:r>
      <w:r>
        <w:rPr>
          <w:b/>
          <w:bCs/>
          <w:sz w:val="28"/>
          <w:szCs w:val="28"/>
          <w:lang w:val="fr-FR"/>
        </w:rPr>
        <w:t>,</w:t>
      </w:r>
      <w:r w:rsidRPr="00B23DAC">
        <w:rPr>
          <w:b/>
          <w:bCs/>
          <w:sz w:val="28"/>
          <w:szCs w:val="28"/>
          <w:lang w:val="fr-FR"/>
        </w:rPr>
        <w:t>5-23</w:t>
      </w:r>
      <w:r>
        <w:rPr>
          <w:b/>
          <w:bCs/>
          <w:sz w:val="28"/>
          <w:szCs w:val="28"/>
          <w:lang w:val="fr-FR"/>
        </w:rPr>
        <w:t>,</w:t>
      </w:r>
      <w:r w:rsidRPr="00B23DAC">
        <w:rPr>
          <w:b/>
          <w:bCs/>
          <w:sz w:val="28"/>
          <w:szCs w:val="28"/>
          <w:lang w:val="fr-FR"/>
        </w:rPr>
        <w:t xml:space="preserve">6 GHz </w:t>
      </w:r>
      <w:r>
        <w:rPr>
          <w:b/>
          <w:bCs/>
          <w:sz w:val="28"/>
          <w:szCs w:val="28"/>
          <w:lang w:val="fr-FR"/>
        </w:rPr>
        <w:t xml:space="preserve">et </w:t>
      </w:r>
      <w:r w:rsidRPr="00B23DAC">
        <w:rPr>
          <w:b/>
          <w:bCs/>
          <w:sz w:val="28"/>
          <w:szCs w:val="28"/>
          <w:lang w:val="fr-FR"/>
        </w:rPr>
        <w:t>25</w:t>
      </w:r>
      <w:r>
        <w:rPr>
          <w:b/>
          <w:bCs/>
          <w:sz w:val="28"/>
          <w:szCs w:val="28"/>
          <w:lang w:val="fr-FR"/>
        </w:rPr>
        <w:t>,</w:t>
      </w:r>
      <w:r w:rsidRPr="00B23DAC">
        <w:rPr>
          <w:b/>
          <w:bCs/>
          <w:sz w:val="28"/>
          <w:szCs w:val="28"/>
          <w:lang w:val="fr-FR"/>
        </w:rPr>
        <w:t>25-27</w:t>
      </w:r>
      <w:r>
        <w:rPr>
          <w:b/>
          <w:bCs/>
          <w:sz w:val="28"/>
          <w:szCs w:val="28"/>
          <w:lang w:val="fr-FR"/>
        </w:rPr>
        <w:t>,</w:t>
      </w:r>
      <w:r w:rsidRPr="00B23DAC">
        <w:rPr>
          <w:b/>
          <w:bCs/>
          <w:sz w:val="28"/>
          <w:szCs w:val="28"/>
          <w:lang w:val="fr-FR"/>
        </w:rPr>
        <w:t>5 GHz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</w:t>
      </w:r>
      <w:r w:rsidRPr="001F32E3">
        <w:rPr>
          <w:szCs w:val="24"/>
          <w:u w:val="single"/>
          <w:lang w:val="fr-CH"/>
        </w:rPr>
        <w:t xml:space="preserve"> </w:t>
      </w:r>
      <w:r w:rsidRPr="00B361BF">
        <w:rPr>
          <w:szCs w:val="24"/>
          <w:u w:val="single"/>
          <w:lang w:val="fr-CH"/>
        </w:rPr>
        <w:t>2</w:t>
      </w:r>
      <w:r>
        <w:rPr>
          <w:szCs w:val="24"/>
          <w:u w:val="single"/>
          <w:lang w:val="fr-CH"/>
        </w:rPr>
        <w:t>115-0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5/84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Caractéristiques techniques et opérationnelles et critères de protection des systèmes </w:t>
      </w:r>
      <w:r w:rsidRPr="00B23DAC">
        <w:rPr>
          <w:b/>
          <w:bCs/>
          <w:sz w:val="28"/>
          <w:szCs w:val="28"/>
          <w:lang w:val="fr-FR"/>
        </w:rPr>
        <w:t>mobile</w:t>
      </w:r>
      <w:r>
        <w:rPr>
          <w:b/>
          <w:bCs/>
          <w:sz w:val="28"/>
          <w:szCs w:val="28"/>
          <w:lang w:val="fr-FR"/>
        </w:rPr>
        <w:t>s</w:t>
      </w:r>
      <w:r w:rsidRPr="00B23DAC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aéronautiques fonctionnant dans la gamme </w:t>
      </w:r>
      <w:r>
        <w:rPr>
          <w:b/>
          <w:bCs/>
          <w:sz w:val="28"/>
          <w:szCs w:val="28"/>
          <w:lang w:val="fr-FR"/>
        </w:rPr>
        <w:br/>
        <w:t xml:space="preserve">de fréquences </w:t>
      </w:r>
      <w:r w:rsidRPr="00B23DAC">
        <w:rPr>
          <w:b/>
          <w:bCs/>
          <w:sz w:val="28"/>
          <w:szCs w:val="28"/>
          <w:lang w:val="fr-FR" w:eastAsia="zh-CN"/>
        </w:rPr>
        <w:t>45</w:t>
      </w:r>
      <w:r>
        <w:rPr>
          <w:b/>
          <w:bCs/>
          <w:sz w:val="28"/>
          <w:szCs w:val="28"/>
          <w:lang w:val="fr-FR" w:eastAsia="zh-CN"/>
        </w:rPr>
        <w:t>,</w:t>
      </w:r>
      <w:r w:rsidRPr="00B23DAC">
        <w:rPr>
          <w:b/>
          <w:bCs/>
          <w:sz w:val="28"/>
          <w:szCs w:val="28"/>
          <w:lang w:val="fr-FR" w:eastAsia="zh-CN"/>
        </w:rPr>
        <w:t xml:space="preserve">5-47 GHz 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M.2012-</w:t>
      </w:r>
      <w:r>
        <w:rPr>
          <w:szCs w:val="24"/>
          <w:u w:val="single"/>
          <w:lang w:val="fr-FR"/>
        </w:rPr>
        <w:t>3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5/62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 w:eastAsia="zh-CN"/>
        </w:rPr>
      </w:pPr>
      <w:r w:rsidRPr="00B23DAC">
        <w:rPr>
          <w:b/>
          <w:bCs/>
          <w:sz w:val="28"/>
          <w:szCs w:val="28"/>
          <w:lang w:val="fr-FR" w:eastAsia="zh-CN"/>
        </w:rPr>
        <w:t>Spécifications détaillées des interfaces radioélectriques de Terre des télécommunications mobiles internationales évoluées (IMT évoluées)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M.2003-</w:t>
      </w:r>
      <w:r>
        <w:rPr>
          <w:szCs w:val="24"/>
          <w:u w:val="single"/>
          <w:lang w:val="fr-FR"/>
        </w:rPr>
        <w:t>2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5/67</w:t>
      </w:r>
    </w:p>
    <w:p w:rsidR="001F32E3" w:rsidRPr="00B23DAC" w:rsidRDefault="001F32E3" w:rsidP="001F32E3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bookmarkStart w:id="1" w:name="dtitle2"/>
      <w:r w:rsidRPr="00B23DAC">
        <w:rPr>
          <w:b/>
          <w:bCs/>
          <w:sz w:val="28"/>
          <w:szCs w:val="28"/>
          <w:lang w:val="fr-FR"/>
        </w:rPr>
        <w:t>Systèmes hertziens à plusieurs gigabits fonctionnant au voisinage de 60 GHz</w:t>
      </w:r>
      <w:bookmarkEnd w:id="1"/>
    </w:p>
    <w:p w:rsidR="001F32E3" w:rsidRPr="00B23DAC" w:rsidRDefault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M.2057-</w:t>
      </w:r>
      <w:r>
        <w:rPr>
          <w:szCs w:val="24"/>
          <w:u w:val="single"/>
          <w:lang w:val="fr-FR"/>
        </w:rPr>
        <w:t>1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5/68(Rév.1)</w:t>
      </w:r>
    </w:p>
    <w:p w:rsidR="001F32E3" w:rsidRPr="00B23DAC" w:rsidRDefault="001F32E3" w:rsidP="001F32E3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 w:rsidRPr="00E14981">
        <w:rPr>
          <w:b/>
          <w:bCs/>
          <w:sz w:val="28"/>
          <w:szCs w:val="28"/>
          <w:lang w:val="fr-FR"/>
        </w:rPr>
        <w:t xml:space="preserve">Caractéristiques des systèmes </w:t>
      </w:r>
      <w:r>
        <w:rPr>
          <w:b/>
          <w:bCs/>
          <w:sz w:val="28"/>
          <w:szCs w:val="28"/>
          <w:lang w:val="fr-FR"/>
        </w:rPr>
        <w:t>radar</w:t>
      </w:r>
      <w:r w:rsidRPr="00E14981">
        <w:rPr>
          <w:b/>
          <w:bCs/>
          <w:sz w:val="28"/>
          <w:szCs w:val="28"/>
          <w:lang w:val="fr-FR"/>
        </w:rPr>
        <w:t xml:space="preserve"> pour automobiles fonctionnant dans la bande de fréquences 76-81 GHz pour les applications des systèmes </w:t>
      </w:r>
      <w:r>
        <w:rPr>
          <w:b/>
          <w:bCs/>
          <w:sz w:val="28"/>
          <w:szCs w:val="28"/>
          <w:lang w:val="fr-FR"/>
        </w:rPr>
        <w:br/>
      </w:r>
      <w:r w:rsidRPr="00E14981">
        <w:rPr>
          <w:b/>
          <w:bCs/>
          <w:sz w:val="28"/>
          <w:szCs w:val="28"/>
          <w:lang w:val="fr-FR"/>
        </w:rPr>
        <w:t>de transport intelligents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M.1640-</w:t>
      </w:r>
      <w:r>
        <w:rPr>
          <w:szCs w:val="24"/>
          <w:u w:val="single"/>
          <w:lang w:val="fr-FR"/>
        </w:rPr>
        <w:t>1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5/69</w:t>
      </w:r>
    </w:p>
    <w:p w:rsidR="00C02A88" w:rsidRDefault="001F32E3" w:rsidP="001F32E3">
      <w:pPr>
        <w:spacing w:before="240" w:line="240" w:lineRule="auto"/>
        <w:jc w:val="center"/>
        <w:rPr>
          <w:b/>
          <w:bCs/>
          <w:spacing w:val="-2"/>
          <w:sz w:val="28"/>
          <w:szCs w:val="28"/>
          <w:lang w:val="fr-FR"/>
        </w:rPr>
      </w:pPr>
      <w:r w:rsidRPr="00B23DAC">
        <w:rPr>
          <w:b/>
          <w:bCs/>
          <w:spacing w:val="-2"/>
          <w:sz w:val="28"/>
          <w:szCs w:val="28"/>
          <w:lang w:val="fr-FR"/>
        </w:rPr>
        <w:t xml:space="preserve">Caractéristiques et critères de protection s'appliquant aux études de partage des radars du service de radiorepérage fonctionnant dans la bande </w:t>
      </w:r>
      <w:r w:rsidRPr="00B23DAC">
        <w:rPr>
          <w:b/>
          <w:bCs/>
          <w:spacing w:val="-2"/>
          <w:sz w:val="28"/>
          <w:szCs w:val="28"/>
          <w:lang w:val="fr-FR"/>
        </w:rPr>
        <w:br/>
        <w:t>de fréquences 33,4-36 GHz</w:t>
      </w:r>
    </w:p>
    <w:p w:rsidR="00C02A88" w:rsidRDefault="00C02A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spacing w:val="-2"/>
          <w:sz w:val="28"/>
          <w:szCs w:val="28"/>
          <w:lang w:val="fr-FR"/>
        </w:rPr>
      </w:pPr>
      <w:r>
        <w:rPr>
          <w:b/>
          <w:bCs/>
          <w:spacing w:val="-2"/>
          <w:sz w:val="28"/>
          <w:szCs w:val="28"/>
          <w:lang w:val="fr-FR"/>
        </w:rPr>
        <w:br w:type="page"/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lastRenderedPageBreak/>
        <w:t>Recommandation UIT-R</w:t>
      </w:r>
      <w:r w:rsidRPr="00B23DAC">
        <w:rPr>
          <w:szCs w:val="24"/>
          <w:u w:val="single"/>
          <w:lang w:val="fr-FR"/>
        </w:rPr>
        <w:t xml:space="preserve"> M.1465-</w:t>
      </w:r>
      <w:r>
        <w:rPr>
          <w:szCs w:val="24"/>
          <w:u w:val="single"/>
          <w:lang w:val="fr-FR"/>
        </w:rPr>
        <w:t>3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5/70(Rév.1)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 w:rsidRPr="00B23DAC">
        <w:rPr>
          <w:b/>
          <w:bCs/>
          <w:sz w:val="28"/>
          <w:szCs w:val="28"/>
          <w:lang w:val="fr-FR"/>
        </w:rPr>
        <w:t>Caractéristiques et critères de protection des radars fonctionnant dans le service de radiorepérage dans la gamme de fréquences 3 100-3 700 MHz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F.1509-</w:t>
      </w:r>
      <w:r>
        <w:rPr>
          <w:szCs w:val="24"/>
          <w:u w:val="single"/>
          <w:lang w:val="fr-FR"/>
        </w:rPr>
        <w:t>4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5/75</w:t>
      </w:r>
    </w:p>
    <w:p w:rsidR="001F32E3" w:rsidRPr="00B23DAC" w:rsidRDefault="001F32E3" w:rsidP="001F32E3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bookmarkStart w:id="2" w:name="Pre_title"/>
      <w:r w:rsidRPr="00B23DAC">
        <w:rPr>
          <w:b/>
          <w:bCs/>
          <w:sz w:val="28"/>
          <w:szCs w:val="28"/>
          <w:lang w:val="fr-FR"/>
        </w:rPr>
        <w:t>Caractéristiques techniques et opérationnelles propres à faciliter le</w:t>
      </w:r>
      <w:r w:rsidRPr="00B23DAC">
        <w:rPr>
          <w:b/>
          <w:bCs/>
          <w:sz w:val="28"/>
          <w:szCs w:val="28"/>
          <w:lang w:val="fr-FR"/>
        </w:rPr>
        <w:br/>
        <w:t>partage entre les systèmes point à multipoint du service fixe et le</w:t>
      </w:r>
      <w:r w:rsidRPr="00B23DAC">
        <w:rPr>
          <w:b/>
          <w:bCs/>
          <w:sz w:val="28"/>
          <w:szCs w:val="28"/>
          <w:lang w:val="fr-FR"/>
        </w:rPr>
        <w:br/>
        <w:t>service inter</w:t>
      </w:r>
      <w:r w:rsidRPr="00B23DAC">
        <w:rPr>
          <w:b/>
          <w:bCs/>
          <w:sz w:val="28"/>
          <w:szCs w:val="28"/>
          <w:lang w:val="fr-FR"/>
        </w:rPr>
        <w:noBreakHyphen/>
        <w:t>satellites dans la bande 25,25-27,5 GHz</w:t>
      </w:r>
      <w:bookmarkEnd w:id="2"/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F.699-</w:t>
      </w:r>
      <w:r>
        <w:rPr>
          <w:szCs w:val="24"/>
          <w:u w:val="single"/>
          <w:lang w:val="fr-FR"/>
        </w:rPr>
        <w:t>8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5/76(Rév.1)</w:t>
      </w:r>
    </w:p>
    <w:p w:rsidR="001F32E3" w:rsidRPr="00B23DAC" w:rsidRDefault="001F32E3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 w:rsidRPr="00B23DAC">
        <w:rPr>
          <w:b/>
          <w:bCs/>
          <w:sz w:val="28"/>
          <w:szCs w:val="28"/>
          <w:lang w:val="fr-FR"/>
        </w:rPr>
        <w:t xml:space="preserve">Diagrammes de rayonnement de référence pour antennes de systèmes hertziens fixes à utiliser pour les études de coordination et l'évaluation du brouillage </w:t>
      </w:r>
      <w:r w:rsidRPr="00B23DAC">
        <w:rPr>
          <w:b/>
          <w:bCs/>
          <w:sz w:val="28"/>
          <w:szCs w:val="28"/>
          <w:lang w:val="fr-FR"/>
        </w:rPr>
        <w:br/>
        <w:t xml:space="preserve">dans la gamme de fréquences comprise entre 100 MHz et </w:t>
      </w:r>
      <w:r>
        <w:rPr>
          <w:b/>
          <w:bCs/>
          <w:sz w:val="28"/>
          <w:szCs w:val="28"/>
          <w:lang w:val="fr-FR"/>
        </w:rPr>
        <w:t>86</w:t>
      </w:r>
      <w:r w:rsidRPr="00B23DAC">
        <w:rPr>
          <w:b/>
          <w:bCs/>
          <w:sz w:val="28"/>
          <w:szCs w:val="28"/>
          <w:lang w:val="fr-FR"/>
        </w:rPr>
        <w:t xml:space="preserve"> GHz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F.1249-</w:t>
      </w:r>
      <w:r>
        <w:rPr>
          <w:szCs w:val="24"/>
          <w:u w:val="single"/>
          <w:lang w:val="fr-FR"/>
        </w:rPr>
        <w:t>5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5/77(Rév.1)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 w:eastAsia="ja-JP"/>
        </w:rPr>
      </w:pPr>
      <w:r w:rsidRPr="00B23DAC">
        <w:rPr>
          <w:b/>
          <w:bCs/>
          <w:sz w:val="28"/>
          <w:szCs w:val="28"/>
          <w:lang w:val="fr-FR"/>
        </w:rPr>
        <w:t xml:space="preserve">Caractéristiques techniques et opérationnelles propres à faciliter le partage entre les systèmes point à point du service fixe et le service </w:t>
      </w:r>
      <w:r w:rsidRPr="00B23DAC">
        <w:rPr>
          <w:b/>
          <w:bCs/>
          <w:sz w:val="28"/>
          <w:szCs w:val="28"/>
          <w:lang w:val="fr-FR"/>
        </w:rPr>
        <w:br/>
        <w:t>inter-satellites dans la bande 25,25-27,5 GHz</w:t>
      </w:r>
    </w:p>
    <w:p w:rsidR="001F32E3" w:rsidRPr="00B23DAC" w:rsidRDefault="001F32E3" w:rsidP="001F32E3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B23DAC">
        <w:rPr>
          <w:rFonts w:asciiTheme="minorHAnsi" w:hAnsiTheme="minorHAnsi" w:cstheme="minorHAnsi"/>
          <w:szCs w:val="24"/>
          <w:u w:val="single"/>
          <w:lang w:val="fr-FR"/>
        </w:rPr>
        <w:t>Recommandation UIT-R</w:t>
      </w:r>
      <w:r w:rsidRPr="00B23DAC">
        <w:rPr>
          <w:szCs w:val="24"/>
          <w:u w:val="single"/>
          <w:lang w:val="fr-FR"/>
        </w:rPr>
        <w:t xml:space="preserve"> M.2015-</w:t>
      </w:r>
      <w:r>
        <w:rPr>
          <w:szCs w:val="24"/>
          <w:u w:val="single"/>
          <w:lang w:val="fr-FR"/>
        </w:rPr>
        <w:t>2</w:t>
      </w:r>
      <w:r w:rsidRPr="00B23DAC">
        <w:rPr>
          <w:rFonts w:asciiTheme="minorHAnsi" w:hAnsiTheme="minorHAnsi" w:cstheme="minorHAnsi"/>
          <w:szCs w:val="24"/>
          <w:lang w:val="fr-FR"/>
        </w:rPr>
        <w:tab/>
        <w:t>Doc. 5/82(Rév.1)</w:t>
      </w:r>
    </w:p>
    <w:p w:rsidR="001F32E3" w:rsidRPr="00B23DAC" w:rsidRDefault="001F32E3" w:rsidP="001F32E3">
      <w:pPr>
        <w:spacing w:before="240" w:line="240" w:lineRule="auto"/>
        <w:jc w:val="center"/>
        <w:rPr>
          <w:b/>
          <w:bCs/>
          <w:sz w:val="28"/>
          <w:szCs w:val="28"/>
          <w:lang w:val="fr-FR"/>
        </w:rPr>
      </w:pPr>
      <w:r w:rsidRPr="00B23DAC">
        <w:rPr>
          <w:b/>
          <w:bCs/>
          <w:sz w:val="28"/>
          <w:szCs w:val="28"/>
          <w:lang w:val="fr-FR"/>
        </w:rPr>
        <w:t>Dispositions de fréquences pour les systèmes de radiocommunication destinés à la protection du public et aux opérations de secours en cas de catastrophe conformément à la Résolution 646 (Rév.CMR-1</w:t>
      </w:r>
      <w:r>
        <w:rPr>
          <w:b/>
          <w:bCs/>
          <w:sz w:val="28"/>
          <w:szCs w:val="28"/>
          <w:lang w:val="fr-FR"/>
        </w:rPr>
        <w:t>5</w:t>
      </w:r>
      <w:r w:rsidRPr="00B23DAC">
        <w:rPr>
          <w:b/>
          <w:bCs/>
          <w:sz w:val="28"/>
          <w:szCs w:val="28"/>
          <w:lang w:val="fr-FR"/>
        </w:rPr>
        <w:t>)</w:t>
      </w:r>
    </w:p>
    <w:p w:rsidR="003708BF" w:rsidRPr="006F38C7" w:rsidRDefault="003708BF" w:rsidP="00C02A88">
      <w:pPr>
        <w:spacing w:before="360" w:after="120"/>
        <w:jc w:val="center"/>
        <w:rPr>
          <w:lang w:val="fr-CH"/>
        </w:rPr>
      </w:pPr>
      <w:r>
        <w:t>______________</w:t>
      </w: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FF47E2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1F32E3">
    <w:pPr>
      <w:pStyle w:val="Header"/>
    </w:pPr>
    <w:r>
      <w:tab/>
    </w:r>
    <w:r>
      <w:tab/>
    </w:r>
    <w:r w:rsidR="001F32E3">
      <w:rPr>
        <w:sz w:val="18"/>
        <w:szCs w:val="16"/>
      </w:rPr>
      <w:t xml:space="preserve">- </w:t>
    </w:r>
    <w:r w:rsidR="001F32E3" w:rsidRPr="002569F7">
      <w:rPr>
        <w:rStyle w:val="PageNumber"/>
        <w:sz w:val="18"/>
        <w:szCs w:val="16"/>
      </w:rPr>
      <w:fldChar w:fldCharType="begin"/>
    </w:r>
    <w:r w:rsidR="001F32E3" w:rsidRPr="002569F7">
      <w:rPr>
        <w:rStyle w:val="PageNumber"/>
        <w:sz w:val="18"/>
        <w:szCs w:val="16"/>
      </w:rPr>
      <w:instrText xml:space="preserve"> PAGE </w:instrText>
    </w:r>
    <w:r w:rsidR="001F32E3" w:rsidRPr="002569F7">
      <w:rPr>
        <w:rStyle w:val="PageNumber"/>
        <w:sz w:val="18"/>
        <w:szCs w:val="16"/>
      </w:rPr>
      <w:fldChar w:fldCharType="separate"/>
    </w:r>
    <w:r w:rsidR="00FF47E2">
      <w:rPr>
        <w:rStyle w:val="PageNumber"/>
        <w:noProof/>
        <w:sz w:val="18"/>
        <w:szCs w:val="16"/>
      </w:rPr>
      <w:t>3</w:t>
    </w:r>
    <w:r w:rsidR="001F32E3" w:rsidRPr="002569F7">
      <w:rPr>
        <w:rStyle w:val="PageNumber"/>
        <w:sz w:val="18"/>
        <w:szCs w:val="16"/>
      </w:rPr>
      <w:fldChar w:fldCharType="end"/>
    </w:r>
    <w:r w:rsidR="001F32E3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EA15B3" w:rsidRDefault="00AE6110" w:rsidP="00AE6110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76A2145F" wp14:editId="42F47F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E3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3C1E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0379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2A88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77CF-ABF2-4D58-ABD3-184EF39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5</TotalTime>
  <Pages>3</Pages>
  <Words>613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4614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ITU</cp:lastModifiedBy>
  <cp:revision>5</cp:revision>
  <cp:lastPrinted>2018-01-31T09:26:00Z</cp:lastPrinted>
  <dcterms:created xsi:type="dcterms:W3CDTF">2018-01-31T09:23:00Z</dcterms:created>
  <dcterms:modified xsi:type="dcterms:W3CDTF">2018-01-31T09:38:00Z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