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135E3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220CCC">
              <w:rPr>
                <w:b/>
                <w:bCs/>
                <w:szCs w:val="24"/>
                <w:lang w:val="fr-CH"/>
              </w:rPr>
              <w:t>85</w:t>
            </w:r>
            <w:r w:rsidR="00135E3A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220CCC" w:rsidP="00220CC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018</w:t>
            </w:r>
            <w:r>
              <w:rPr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2</w:t>
            </w:r>
            <w:r w:rsidR="007B2A23" w:rsidRPr="007B2A23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135E3A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35E3A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135E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135E3A">
              <w:rPr>
                <w:b/>
                <w:bCs/>
                <w:szCs w:val="24"/>
                <w:lang w:eastAsia="zh-CN"/>
              </w:rPr>
              <w:t>5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135E3A" w:rsidRPr="00CF3AB6">
              <w:rPr>
                <w:rFonts w:eastAsia="SimSun"/>
                <w:b/>
                <w:bCs/>
                <w:szCs w:val="24"/>
                <w:lang w:eastAsia="zh-CN"/>
              </w:rPr>
              <w:t>地面业务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7B2A23" w:rsidP="0027172C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ind w:left="272" w:hanging="272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135E3A"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="00135E3A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135E3A" w:rsidRPr="0027172C">
              <w:rPr>
                <w:rFonts w:asciiTheme="minorHAnsi" w:hAnsiTheme="minorHAnsi" w:cstheme="majorBidi"/>
                <w:b/>
                <w:bCs/>
                <w:lang w:eastAsia="zh-CN" w:bidi="ar-EG"/>
              </w:rPr>
              <w:t>3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135E3A" w:rsidRPr="0027172C">
              <w:rPr>
                <w:rFonts w:asciiTheme="minorHAnsi" w:hAnsiTheme="minorHAnsi" w:cstheme="majorBidi"/>
                <w:b/>
                <w:bCs/>
                <w:lang w:eastAsia="zh-CN" w:bidi="ar-EG"/>
              </w:rPr>
              <w:t>9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="00135E3A" w:rsidRPr="0027172C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135E3A" w:rsidP="00135E3A">
      <w:pPr>
        <w:ind w:firstLineChars="200" w:firstLine="480"/>
        <w:rPr>
          <w:rFonts w:eastAsia="SimSun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135E3A">
        <w:rPr>
          <w:rFonts w:asciiTheme="minorHAnsi" w:hAnsiTheme="minorHAnsi"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11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30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>
        <w:rPr>
          <w:rFonts w:asciiTheme="minorHAnsi" w:hAnsiTheme="minorHAnsi" w:cstheme="majorBidi"/>
          <w:lang w:eastAsia="zh-CN"/>
        </w:rPr>
        <w:t>845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/>
        </w:rPr>
        <w:t>份新建议书草案和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27172C">
        <w:rPr>
          <w:rFonts w:asciiTheme="minorHAnsi" w:hAnsiTheme="minorHAnsi" w:cstheme="majorBidi"/>
          <w:lang w:eastAsia="zh-CN" w:bidi="ar-EG"/>
        </w:rPr>
        <w:t>（</w:t>
      </w:r>
      <w:r w:rsidRPr="0027172C">
        <w:rPr>
          <w:rFonts w:asciiTheme="minorHAnsi" w:hAnsiTheme="minorHAnsi" w:cstheme="majorBidi"/>
          <w:lang w:eastAsia="zh-CN" w:bidi="ar-EG"/>
        </w:rPr>
        <w:t>PSAA</w:t>
      </w:r>
      <w:r w:rsidRPr="0027172C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7B2A23" w:rsidRPr="00214387" w:rsidRDefault="007B2A23" w:rsidP="00220CCC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220CCC">
        <w:rPr>
          <w:rFonts w:eastAsia="SimSun"/>
          <w:lang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220CCC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月</w:t>
      </w:r>
      <w:r w:rsidR="00220CCC">
        <w:rPr>
          <w:rFonts w:eastAsia="SimSun"/>
          <w:lang w:eastAsia="zh-CN"/>
        </w:rPr>
        <w:t>30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Default="007B2A23" w:rsidP="00C34B1D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</w:t>
      </w:r>
      <w:r w:rsidR="00C34B1D">
        <w:rPr>
          <w:rFonts w:eastAsia="SimSun" w:hint="eastAsia"/>
          <w:lang w:eastAsia="zh-CN"/>
        </w:rPr>
        <w:t>这些</w:t>
      </w:r>
      <w:r w:rsidRPr="00214387">
        <w:rPr>
          <w:rFonts w:eastAsia="SimSun" w:hint="eastAsia"/>
          <w:lang w:eastAsia="zh-CN"/>
        </w:rPr>
        <w:t>建议书的标题及分配的编号。</w:t>
      </w:r>
    </w:p>
    <w:p w:rsidR="0027172C" w:rsidRDefault="0027172C" w:rsidP="00C34B1D">
      <w:pPr>
        <w:ind w:firstLineChars="200" w:firstLine="480"/>
        <w:rPr>
          <w:rFonts w:eastAsia="SimSun"/>
          <w:lang w:eastAsia="zh-CN"/>
        </w:rPr>
      </w:pPr>
    </w:p>
    <w:p w:rsidR="0027172C" w:rsidRPr="0027172C" w:rsidRDefault="0027172C" w:rsidP="00C34B1D">
      <w:pPr>
        <w:ind w:firstLineChars="200" w:firstLine="480"/>
        <w:rPr>
          <w:rFonts w:eastAsia="SimSun" w:hint="eastAsia"/>
          <w:lang w:eastAsia="zh-CN"/>
        </w:rPr>
      </w:pPr>
    </w:p>
    <w:p w:rsidR="007B2A23" w:rsidRDefault="007B2A23" w:rsidP="00214387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220CCC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220CCC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135E3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135E3A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135E3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135E3A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BE187D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BE187D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220CCC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4D4541" w:rsidRPr="008D077B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551334">
        <w:rPr>
          <w:rFonts w:asciiTheme="minorHAnsi" w:hAnsiTheme="minorHAnsi" w:cstheme="minorHAnsi"/>
          <w:u w:val="single"/>
          <w:lang w:val="en-GB" w:eastAsia="zh-CN"/>
        </w:rPr>
        <w:t xml:space="preserve">ITU-R </w:t>
      </w:r>
      <w:r w:rsidRPr="004D4541">
        <w:rPr>
          <w:rFonts w:asciiTheme="minorHAnsi" w:hAnsiTheme="minorHAnsi" w:cstheme="minorHAnsi"/>
          <w:u w:val="single"/>
          <w:lang w:val="en-GB" w:eastAsia="zh-CN"/>
        </w:rPr>
        <w:t>F.</w:t>
      </w:r>
      <w:r w:rsidRPr="00551334">
        <w:rPr>
          <w:rFonts w:asciiTheme="minorHAnsi" w:hAnsiTheme="minorHAnsi" w:cstheme="minorHAnsi"/>
          <w:u w:val="single"/>
          <w:lang w:val="en-GB" w:eastAsia="zh-CN"/>
        </w:rPr>
        <w:t>2113-0</w:t>
      </w:r>
      <w:r>
        <w:rPr>
          <w:rFonts w:hint="eastAsia"/>
          <w:szCs w:val="24"/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5/79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C77CAA" w:rsidRDefault="004D4541" w:rsidP="004D4541">
      <w:pPr>
        <w:pStyle w:val="Rectitle"/>
        <w:rPr>
          <w:rFonts w:eastAsia="MS Mincho" w:cstheme="minorHAnsi"/>
          <w:lang w:eastAsia="zh-CN"/>
        </w:rPr>
      </w:pPr>
      <w:r w:rsidRPr="00C77CAA">
        <w:rPr>
          <w:rFonts w:hint="eastAsia"/>
          <w:lang w:eastAsia="zh-CN"/>
        </w:rPr>
        <w:t>基于分组的</w:t>
      </w:r>
      <w:r>
        <w:rPr>
          <w:rFonts w:hint="eastAsia"/>
          <w:lang w:eastAsia="zh-CN"/>
        </w:rPr>
        <w:t>真</w:t>
      </w:r>
      <w:r w:rsidRPr="00C77CAA">
        <w:rPr>
          <w:rFonts w:hint="eastAsia"/>
          <w:lang w:eastAsia="zh-CN"/>
        </w:rPr>
        <w:t>实点对点无线链路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C77CAA">
        <w:rPr>
          <w:rFonts w:hint="eastAsia"/>
          <w:lang w:eastAsia="zh-CN"/>
        </w:rPr>
        <w:t>误码性能和可用性目标及要求</w:t>
      </w:r>
    </w:p>
    <w:p w:rsidR="004D4541" w:rsidRPr="008D077B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27172C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 w:rsidRPr="0027172C">
        <w:rPr>
          <w:szCs w:val="24"/>
          <w:u w:val="single"/>
          <w:lang w:eastAsia="zh-CN"/>
        </w:rPr>
        <w:t xml:space="preserve"> M.2114-0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5/83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49411A" w:rsidRDefault="004D4541" w:rsidP="004D4541">
      <w:pPr>
        <w:pStyle w:val="Rectitle"/>
        <w:rPr>
          <w:lang w:eastAsia="zh-CN"/>
        </w:rPr>
      </w:pPr>
      <w:r w:rsidRPr="0049411A">
        <w:rPr>
          <w:lang w:eastAsia="zh-CN"/>
        </w:rPr>
        <w:t>22.5-23.6 GHz</w:t>
      </w:r>
      <w:r w:rsidRPr="0049411A">
        <w:rPr>
          <w:rFonts w:hint="eastAsia"/>
          <w:lang w:eastAsia="zh-CN"/>
        </w:rPr>
        <w:t>和</w:t>
      </w:r>
      <w:r w:rsidRPr="0049411A">
        <w:rPr>
          <w:lang w:eastAsia="zh-CN"/>
        </w:rPr>
        <w:t>25.25-27.5 GHz</w:t>
      </w:r>
      <w:r w:rsidRPr="0049411A">
        <w:rPr>
          <w:rFonts w:hint="eastAsia"/>
          <w:lang w:eastAsia="zh-CN"/>
        </w:rPr>
        <w:t>频段内航空</w:t>
      </w:r>
      <w:r w:rsidRPr="0049411A">
        <w:rPr>
          <w:lang w:eastAsia="zh-CN"/>
        </w:rPr>
        <w:t>移动业务系统的</w:t>
      </w:r>
      <w:r w:rsidRPr="0049411A">
        <w:rPr>
          <w:lang w:eastAsia="zh-CN"/>
        </w:rPr>
        <w:br/>
      </w:r>
      <w:r w:rsidRPr="0049411A">
        <w:rPr>
          <w:lang w:eastAsia="zh-CN"/>
        </w:rPr>
        <w:t>技术和操作特性及保护标准</w:t>
      </w:r>
    </w:p>
    <w:p w:rsidR="004D4541" w:rsidRPr="008D077B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27172C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 w:rsidRPr="0027172C">
        <w:rPr>
          <w:szCs w:val="24"/>
          <w:u w:val="single"/>
          <w:lang w:eastAsia="zh-CN"/>
        </w:rPr>
        <w:t xml:space="preserve"> M.2115-0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5/84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49411A" w:rsidRDefault="004D4541" w:rsidP="004D4541">
      <w:pPr>
        <w:pStyle w:val="Rectitle"/>
        <w:rPr>
          <w:lang w:eastAsia="zh-CN"/>
        </w:rPr>
      </w:pPr>
      <w:r w:rsidRPr="0049411A">
        <w:rPr>
          <w:lang w:eastAsia="zh-CN"/>
        </w:rPr>
        <w:t>45.5–47 GHz</w:t>
      </w:r>
      <w:r w:rsidRPr="0049411A">
        <w:rPr>
          <w:rFonts w:hint="eastAsia"/>
          <w:lang w:eastAsia="zh-CN"/>
        </w:rPr>
        <w:t>频率</w:t>
      </w:r>
      <w:r w:rsidRPr="0049411A">
        <w:rPr>
          <w:lang w:eastAsia="zh-CN"/>
        </w:rPr>
        <w:t>范围</w:t>
      </w:r>
      <w:r w:rsidRPr="0049411A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运行</w:t>
      </w:r>
      <w:r w:rsidRPr="0049411A">
        <w:rPr>
          <w:lang w:eastAsia="zh-CN"/>
        </w:rPr>
        <w:t>的航空移动系统的</w:t>
      </w:r>
      <w:r>
        <w:rPr>
          <w:lang w:eastAsia="zh-CN"/>
        </w:rPr>
        <w:br/>
      </w:r>
      <w:r w:rsidRPr="0049411A">
        <w:rPr>
          <w:lang w:eastAsia="zh-CN"/>
        </w:rPr>
        <w:t>技术和操作特性及保护标准</w:t>
      </w:r>
    </w:p>
    <w:p w:rsidR="004D4541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27172C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 w:rsidRPr="0027172C">
        <w:rPr>
          <w:szCs w:val="24"/>
          <w:u w:val="single"/>
          <w:lang w:eastAsia="zh-CN"/>
        </w:rPr>
        <w:t xml:space="preserve"> M.2012-3</w:t>
      </w:r>
      <w:r w:rsidRPr="00C77CAA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5/62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C77CAA" w:rsidRDefault="004D4541" w:rsidP="004D4541">
      <w:pPr>
        <w:pStyle w:val="Rectitle"/>
        <w:rPr>
          <w:lang w:eastAsia="zh-CN"/>
        </w:rPr>
      </w:pPr>
      <w:r w:rsidRPr="00C77CAA">
        <w:rPr>
          <w:rFonts w:hint="eastAsia"/>
          <w:lang w:eastAsia="zh-CN"/>
        </w:rPr>
        <w:t>先进国际移动通信（</w:t>
      </w:r>
      <w:r w:rsidRPr="00C77CAA">
        <w:rPr>
          <w:rFonts w:hint="eastAsia"/>
          <w:lang w:eastAsia="zh-CN"/>
        </w:rPr>
        <w:t>IMT-Advanced</w:t>
      </w:r>
      <w:r w:rsidRPr="00C77CAA">
        <w:rPr>
          <w:rFonts w:hint="eastAsia"/>
          <w:lang w:eastAsia="zh-CN"/>
        </w:rPr>
        <w:t>）地面无线电接口的详细规范</w:t>
      </w:r>
    </w:p>
    <w:p w:rsidR="004D4541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27172C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 w:rsidRPr="0027172C">
        <w:rPr>
          <w:szCs w:val="24"/>
          <w:u w:val="single"/>
          <w:lang w:eastAsia="zh-CN"/>
        </w:rPr>
        <w:t xml:space="preserve"> M.2003-2</w:t>
      </w:r>
      <w:r w:rsidRPr="00C77CAA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5/67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C77CAA" w:rsidRDefault="004D4541" w:rsidP="004D4541">
      <w:pPr>
        <w:pStyle w:val="Rectitle"/>
        <w:rPr>
          <w:lang w:eastAsia="zh-CN"/>
        </w:rPr>
      </w:pPr>
      <w:r w:rsidRPr="00C77CAA">
        <w:rPr>
          <w:rFonts w:hint="eastAsia"/>
          <w:lang w:eastAsia="zh-CN"/>
        </w:rPr>
        <w:t>60</w:t>
      </w:r>
      <w:r>
        <w:rPr>
          <w:lang w:eastAsia="zh-CN"/>
        </w:rPr>
        <w:t xml:space="preserve"> </w:t>
      </w:r>
      <w:r w:rsidRPr="00C77CAA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附近频率内的多千兆</w:t>
      </w:r>
      <w:r w:rsidRPr="00C77CAA">
        <w:rPr>
          <w:rFonts w:hint="eastAsia"/>
          <w:lang w:eastAsia="zh-CN"/>
        </w:rPr>
        <w:t>比无线系统</w:t>
      </w:r>
    </w:p>
    <w:p w:rsidR="004D4541" w:rsidRDefault="004D4541" w:rsidP="004D454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M.</w:t>
      </w:r>
      <w:r>
        <w:rPr>
          <w:szCs w:val="24"/>
          <w:u w:val="single"/>
          <w:lang w:eastAsia="zh-CN"/>
        </w:rPr>
        <w:t>2057-1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5/68(Rev.1)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A26837" w:rsidRDefault="004D4541" w:rsidP="004D4541">
      <w:pPr>
        <w:pStyle w:val="Rectitle"/>
        <w:rPr>
          <w:lang w:eastAsia="zh-CN"/>
        </w:rPr>
      </w:pPr>
      <w:r w:rsidRPr="00A26837">
        <w:rPr>
          <w:lang w:eastAsia="zh-CN"/>
        </w:rPr>
        <w:t>76</w:t>
      </w:r>
      <w:r w:rsidRPr="00A26837">
        <w:rPr>
          <w:lang w:eastAsia="zh-CN"/>
        </w:rPr>
        <w:noBreakHyphen/>
        <w:t>81 GHz</w:t>
      </w:r>
      <w:r w:rsidRPr="00A26837">
        <w:rPr>
          <w:rFonts w:hint="eastAsia"/>
          <w:lang w:eastAsia="zh-CN"/>
        </w:rPr>
        <w:t>频段</w:t>
      </w:r>
      <w:r w:rsidRPr="00A26837">
        <w:rPr>
          <w:lang w:eastAsia="zh-CN"/>
        </w:rPr>
        <w:t>中用于智能交通系统应用的汽车雷达系统特性</w:t>
      </w:r>
      <w:r w:rsidRPr="00A26837">
        <w:rPr>
          <w:lang w:eastAsia="zh-CN"/>
        </w:rPr>
        <w:t xml:space="preserve"> </w:t>
      </w:r>
    </w:p>
    <w:p w:rsidR="004D4541" w:rsidRPr="006F065F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 w:val="28"/>
          <w:szCs w:val="28"/>
          <w:lang w:eastAsia="zh-CN"/>
        </w:rPr>
      </w:pPr>
      <w:r w:rsidRPr="00C77CAA">
        <w:rPr>
          <w:szCs w:val="24"/>
          <w:u w:val="single"/>
          <w:lang w:eastAsia="zh-CN"/>
        </w:rPr>
        <w:t>ITU-R M.1640-</w:t>
      </w:r>
      <w:r>
        <w:rPr>
          <w:szCs w:val="24"/>
          <w:u w:val="single"/>
          <w:lang w:eastAsia="zh-CN"/>
        </w:rPr>
        <w:t>1</w:t>
      </w:r>
      <w:r>
        <w:rPr>
          <w:rFonts w:hint="eastAsia"/>
          <w:szCs w:val="24"/>
          <w:u w:val="single"/>
          <w:lang w:eastAsia="zh-CN"/>
        </w:rPr>
        <w:t>建议书</w:t>
      </w:r>
      <w:r w:rsidRPr="006F065F">
        <w:rPr>
          <w:rFonts w:asciiTheme="minorHAnsi" w:hAnsiTheme="minorHAnsi" w:cstheme="minorHAnsi"/>
          <w:sz w:val="28"/>
          <w:szCs w:val="28"/>
          <w:lang w:eastAsia="zh-CN"/>
        </w:rPr>
        <w:tab/>
      </w:r>
      <w:r w:rsidRPr="00C77CAA">
        <w:rPr>
          <w:rFonts w:asciiTheme="minorHAnsi" w:hAnsiTheme="minorHAnsi" w:cstheme="minorHAnsi"/>
          <w:szCs w:val="24"/>
          <w:lang w:eastAsia="zh-CN"/>
        </w:rPr>
        <w:t>5/69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27172C" w:rsidRDefault="004D4541" w:rsidP="004D4541">
      <w:pPr>
        <w:pStyle w:val="Rectitle"/>
        <w:rPr>
          <w:lang w:eastAsia="zh-CN"/>
        </w:rPr>
      </w:pPr>
      <w:r w:rsidRPr="00854B3C">
        <w:rPr>
          <w:rFonts w:hint="eastAsia"/>
          <w:lang w:eastAsia="zh-CN"/>
        </w:rPr>
        <w:t>33.4-36 GHz</w:t>
      </w:r>
      <w:r w:rsidRPr="00854B3C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</w:t>
      </w:r>
      <w:r w:rsidRPr="00854B3C">
        <w:rPr>
          <w:rFonts w:hint="eastAsia"/>
          <w:lang w:eastAsia="zh-CN"/>
        </w:rPr>
        <w:t>无线电测定业务雷达</w:t>
      </w:r>
      <w:r>
        <w:rPr>
          <w:lang w:eastAsia="zh-CN"/>
        </w:rPr>
        <w:br/>
      </w:r>
      <w:r w:rsidRPr="00854B3C">
        <w:rPr>
          <w:rFonts w:hint="eastAsia"/>
          <w:lang w:eastAsia="zh-CN"/>
        </w:rPr>
        <w:t>共用研究的特性和保护标准</w:t>
      </w:r>
    </w:p>
    <w:p w:rsidR="0027172C" w:rsidRDefault="0027172C" w:rsidP="0027172C">
      <w:pPr>
        <w:pStyle w:val="Questiontitle"/>
        <w:rPr>
          <w:lang w:eastAsia="zh-CN"/>
        </w:rPr>
      </w:pPr>
      <w:r>
        <w:rPr>
          <w:lang w:eastAsia="zh-CN"/>
        </w:rPr>
        <w:br w:type="page"/>
      </w:r>
    </w:p>
    <w:p w:rsidR="004D4541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M.</w:t>
      </w:r>
      <w:r w:rsidRPr="001B0FF1">
        <w:rPr>
          <w:szCs w:val="24"/>
          <w:u w:val="single"/>
          <w:lang w:eastAsia="zh-CN"/>
        </w:rPr>
        <w:t>1465-</w:t>
      </w:r>
      <w:r>
        <w:rPr>
          <w:szCs w:val="24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5/70(Rev.1)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854B3C" w:rsidRDefault="004D4541" w:rsidP="004D4541">
      <w:pPr>
        <w:pStyle w:val="Rectitle"/>
        <w:keepNext w:val="0"/>
        <w:keepLines w:val="0"/>
        <w:rPr>
          <w:lang w:eastAsia="zh-CN"/>
        </w:rPr>
      </w:pPr>
      <w:r w:rsidRPr="00854B3C">
        <w:rPr>
          <w:rFonts w:hint="eastAsia"/>
          <w:lang w:eastAsia="zh-CN"/>
        </w:rPr>
        <w:t>在</w:t>
      </w:r>
      <w:r w:rsidRPr="00854B3C">
        <w:rPr>
          <w:rFonts w:hint="eastAsia"/>
          <w:lang w:eastAsia="zh-CN"/>
        </w:rPr>
        <w:t>3 100-3 700 MHz</w:t>
      </w:r>
      <w:r w:rsidRPr="00854B3C">
        <w:rPr>
          <w:rFonts w:hint="eastAsia"/>
          <w:lang w:eastAsia="zh-CN"/>
        </w:rPr>
        <w:t>频率范围内</w:t>
      </w:r>
      <w:r>
        <w:rPr>
          <w:rFonts w:hint="eastAsia"/>
          <w:lang w:eastAsia="zh-CN"/>
        </w:rPr>
        <w:t>运行</w:t>
      </w:r>
      <w:r w:rsidRPr="00854B3C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="005B2826">
        <w:rPr>
          <w:rFonts w:hint="eastAsia"/>
          <w:lang w:eastAsia="zh-CN"/>
        </w:rPr>
        <w:t>无线电测定业务</w:t>
      </w:r>
      <w:r w:rsidRPr="00854B3C">
        <w:rPr>
          <w:rFonts w:hint="eastAsia"/>
          <w:lang w:eastAsia="zh-CN"/>
        </w:rPr>
        <w:t>雷达</w:t>
      </w:r>
      <w:r w:rsidR="005B2826">
        <w:rPr>
          <w:rFonts w:hint="eastAsia"/>
          <w:lang w:eastAsia="zh-CN"/>
        </w:rPr>
        <w:t>的</w:t>
      </w:r>
      <w:r w:rsidRPr="00854B3C">
        <w:rPr>
          <w:rFonts w:hint="eastAsia"/>
          <w:lang w:eastAsia="zh-CN"/>
        </w:rPr>
        <w:t>特性和保护标准</w:t>
      </w:r>
    </w:p>
    <w:p w:rsidR="004D4541" w:rsidRDefault="004D4541" w:rsidP="004D454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</w:t>
      </w:r>
      <w:r>
        <w:rPr>
          <w:szCs w:val="24"/>
          <w:u w:val="single"/>
          <w:lang w:eastAsia="zh-CN"/>
        </w:rPr>
        <w:t>F.1509-4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5/75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854B3C" w:rsidRDefault="004D4541" w:rsidP="004D4541">
      <w:pPr>
        <w:pStyle w:val="Rectitle"/>
        <w:rPr>
          <w:lang w:eastAsia="zh-CN"/>
        </w:rPr>
      </w:pPr>
      <w:r w:rsidRPr="00854B3C">
        <w:rPr>
          <w:rFonts w:hint="eastAsia"/>
          <w:lang w:eastAsia="zh-CN"/>
        </w:rPr>
        <w:t>便于</w:t>
      </w:r>
      <w:r w:rsidRPr="00854B3C">
        <w:rPr>
          <w:rFonts w:hint="eastAsia"/>
          <w:lang w:eastAsia="zh-CN"/>
        </w:rPr>
        <w:t>25.25-27.5 GHz</w:t>
      </w:r>
      <w:r w:rsidRPr="00854B3C">
        <w:rPr>
          <w:rFonts w:hint="eastAsia"/>
          <w:lang w:eastAsia="zh-CN"/>
        </w:rPr>
        <w:t>频段内固定业务</w:t>
      </w:r>
      <w:r>
        <w:rPr>
          <w:lang w:eastAsia="zh-CN"/>
        </w:rPr>
        <w:br/>
      </w:r>
      <w:r w:rsidRPr="00854B3C">
        <w:rPr>
          <w:rFonts w:hint="eastAsia"/>
          <w:lang w:eastAsia="zh-CN"/>
        </w:rPr>
        <w:t>点对多点系统与卫星间业务共用的技术和操作要求</w:t>
      </w:r>
    </w:p>
    <w:p w:rsidR="004D4541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</w:t>
      </w:r>
      <w:r>
        <w:rPr>
          <w:szCs w:val="24"/>
          <w:u w:val="single"/>
          <w:lang w:eastAsia="zh-CN"/>
        </w:rPr>
        <w:t>F.699-8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5/76(Rev.1)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854B3C" w:rsidRDefault="004D4541" w:rsidP="005B2826">
      <w:pPr>
        <w:pStyle w:val="Rectitle"/>
        <w:rPr>
          <w:lang w:eastAsia="zh-CN"/>
        </w:rPr>
      </w:pPr>
      <w:r w:rsidRPr="00854B3C">
        <w:rPr>
          <w:rFonts w:hint="eastAsia"/>
          <w:lang w:eastAsia="zh-CN"/>
        </w:rPr>
        <w:t>用于在</w:t>
      </w:r>
      <w:r w:rsidRPr="00854B3C">
        <w:rPr>
          <w:rFonts w:hint="eastAsia"/>
          <w:lang w:eastAsia="zh-CN"/>
        </w:rPr>
        <w:t>100 MHz</w:t>
      </w:r>
      <w:r w:rsidRPr="00854B3C">
        <w:rPr>
          <w:rFonts w:hint="eastAsia"/>
          <w:lang w:eastAsia="zh-CN"/>
        </w:rPr>
        <w:t>到</w:t>
      </w:r>
      <w:r>
        <w:rPr>
          <w:lang w:eastAsia="zh-CN"/>
        </w:rPr>
        <w:t>86</w:t>
      </w:r>
      <w:r w:rsidRPr="00854B3C">
        <w:rPr>
          <w:rFonts w:hint="eastAsia"/>
          <w:lang w:eastAsia="zh-CN"/>
        </w:rPr>
        <w:t xml:space="preserve"> GHz</w:t>
      </w:r>
      <w:r w:rsidRPr="00854B3C">
        <w:rPr>
          <w:rFonts w:hint="eastAsia"/>
          <w:lang w:eastAsia="zh-CN"/>
        </w:rPr>
        <w:t>频率范围内</w:t>
      </w:r>
      <w:r>
        <w:rPr>
          <w:lang w:eastAsia="zh-CN"/>
        </w:rPr>
        <w:br/>
      </w:r>
      <w:r w:rsidRPr="00854B3C">
        <w:rPr>
          <w:rFonts w:hint="eastAsia"/>
          <w:lang w:eastAsia="zh-CN"/>
        </w:rPr>
        <w:t>进行协调研究和干扰评估的固定无线系统天线的参考辐射图</w:t>
      </w:r>
    </w:p>
    <w:p w:rsidR="004D4541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</w:t>
      </w:r>
      <w:r>
        <w:rPr>
          <w:szCs w:val="24"/>
          <w:u w:val="single"/>
          <w:lang w:eastAsia="zh-CN"/>
        </w:rPr>
        <w:t>F.1249-5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5/77(Rev.1)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854B3C" w:rsidRDefault="004D4541" w:rsidP="004D4541">
      <w:pPr>
        <w:pStyle w:val="Rectitle"/>
        <w:rPr>
          <w:lang w:eastAsia="zh-CN"/>
        </w:rPr>
      </w:pPr>
      <w:r w:rsidRPr="00854B3C">
        <w:rPr>
          <w:rFonts w:hint="eastAsia"/>
          <w:lang w:eastAsia="zh-CN"/>
        </w:rPr>
        <w:t>便于</w:t>
      </w:r>
      <w:r w:rsidRPr="00854B3C">
        <w:rPr>
          <w:rFonts w:hint="eastAsia"/>
          <w:lang w:eastAsia="zh-CN"/>
        </w:rPr>
        <w:t>25.25-27.5 GHz</w:t>
      </w:r>
      <w:r w:rsidRPr="00854B3C">
        <w:rPr>
          <w:rFonts w:hint="eastAsia"/>
          <w:lang w:eastAsia="zh-CN"/>
        </w:rPr>
        <w:t>频段</w:t>
      </w:r>
      <w:r w:rsidR="005B2826">
        <w:rPr>
          <w:rFonts w:hint="eastAsia"/>
          <w:lang w:eastAsia="zh-CN"/>
        </w:rPr>
        <w:t>内</w:t>
      </w:r>
      <w:r w:rsidRPr="00854B3C">
        <w:rPr>
          <w:rFonts w:hint="eastAsia"/>
          <w:lang w:eastAsia="zh-CN"/>
        </w:rPr>
        <w:t>固定业务</w:t>
      </w:r>
      <w:r>
        <w:rPr>
          <w:lang w:eastAsia="zh-CN"/>
        </w:rPr>
        <w:br/>
      </w:r>
      <w:r w:rsidRPr="00854B3C">
        <w:rPr>
          <w:rFonts w:hint="eastAsia"/>
          <w:lang w:eastAsia="zh-CN"/>
        </w:rPr>
        <w:t>点对点系统和卫星间业务共用的技术和操作要求</w:t>
      </w:r>
    </w:p>
    <w:p w:rsidR="004D4541" w:rsidRPr="008D077B" w:rsidRDefault="004D4541" w:rsidP="004D454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</w:t>
      </w:r>
      <w:r w:rsidRPr="00064C49">
        <w:rPr>
          <w:rFonts w:asciiTheme="minorHAnsi" w:hAnsiTheme="minorHAnsi" w:cstheme="minorHAnsi"/>
          <w:szCs w:val="24"/>
          <w:u w:val="single"/>
          <w:lang w:eastAsia="zh-CN"/>
        </w:rPr>
        <w:t>R</w:t>
      </w:r>
      <w:r w:rsidRPr="00064C49">
        <w:rPr>
          <w:szCs w:val="24"/>
          <w:u w:val="single"/>
          <w:lang w:eastAsia="zh-CN"/>
        </w:rPr>
        <w:t xml:space="preserve"> M.</w:t>
      </w:r>
      <w:r>
        <w:rPr>
          <w:szCs w:val="24"/>
          <w:u w:val="single"/>
          <w:lang w:eastAsia="zh-CN"/>
        </w:rPr>
        <w:t>2015-2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5/82(Rev.1)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4D4541" w:rsidRPr="00854B3C" w:rsidRDefault="004D4541" w:rsidP="005B2826">
      <w:pPr>
        <w:pStyle w:val="Rectitle"/>
        <w:rPr>
          <w:lang w:eastAsia="zh-CN"/>
        </w:rPr>
      </w:pPr>
      <w:r w:rsidRPr="00854B3C">
        <w:rPr>
          <w:rFonts w:hint="eastAsia"/>
          <w:lang w:eastAsia="zh-CN"/>
        </w:rPr>
        <w:t>遵循第</w:t>
      </w:r>
      <w:r w:rsidRPr="00854B3C">
        <w:rPr>
          <w:rFonts w:hint="eastAsia"/>
          <w:lang w:eastAsia="zh-CN"/>
        </w:rPr>
        <w:t>646</w:t>
      </w:r>
      <w:r w:rsidRPr="00854B3C">
        <w:rPr>
          <w:rFonts w:hint="eastAsia"/>
          <w:lang w:eastAsia="zh-CN"/>
        </w:rPr>
        <w:t>号决议（</w:t>
      </w:r>
      <w:r w:rsidRPr="00854B3C"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 w:rsidRPr="00854B3C">
        <w:rPr>
          <w:rFonts w:hint="eastAsia"/>
          <w:lang w:eastAsia="zh-CN"/>
        </w:rPr>
        <w:t>，修订版）对</w:t>
      </w:r>
      <w:r>
        <w:rPr>
          <w:lang w:eastAsia="zh-CN"/>
        </w:rPr>
        <w:br/>
      </w:r>
      <w:r w:rsidRPr="00854B3C">
        <w:rPr>
          <w:rFonts w:hint="eastAsia"/>
          <w:lang w:eastAsia="zh-CN"/>
        </w:rPr>
        <w:t>公众保护和救灾无线电通信系统做出的频率安排</w:t>
      </w:r>
    </w:p>
    <w:p w:rsidR="007B2A23" w:rsidRPr="00334544" w:rsidRDefault="007B2A23" w:rsidP="0027172C">
      <w:pPr>
        <w:jc w:val="center"/>
        <w:rPr>
          <w:rFonts w:asciiTheme="minorHAnsi" w:hAnsiTheme="minorHAnsi" w:cstheme="minorHAnsi"/>
          <w:szCs w:val="24"/>
          <w:lang w:eastAsia="zh-CN"/>
        </w:rPr>
      </w:pPr>
      <w:r>
        <w:rPr>
          <w:lang w:eastAsia="zh-CN"/>
        </w:rPr>
        <w:t>_______________</w:t>
      </w:r>
    </w:p>
    <w:sectPr w:rsidR="007B2A23" w:rsidRPr="00334544" w:rsidSect="0016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25" w:rsidRDefault="00F15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0F" w:rsidRPr="00F15925" w:rsidRDefault="0012700F" w:rsidP="00F15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220CCC" w:rsidRDefault="00220CCC" w:rsidP="00220C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F15925" w:rsidRPr="005E5EB3">
      <w:rPr>
        <w:sz w:val="18"/>
        <w:szCs w:val="18"/>
      </w:rPr>
      <w:t xml:space="preserve"> •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F15925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20CCC" w:rsidTr="007A4D90">
      <w:tc>
        <w:tcPr>
          <w:tcW w:w="9923" w:type="dxa"/>
        </w:tcPr>
        <w:p w:rsidR="00220CCC" w:rsidRDefault="00220CCC" w:rsidP="00220CC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53711299" wp14:editId="33E3522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35E3A"/>
    <w:rsid w:val="001436ED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20CCC"/>
    <w:rsid w:val="002302B3"/>
    <w:rsid w:val="00230C66"/>
    <w:rsid w:val="00235A29"/>
    <w:rsid w:val="00241526"/>
    <w:rsid w:val="002443A2"/>
    <w:rsid w:val="00266E74"/>
    <w:rsid w:val="0027172C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3AE0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50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454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826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87D"/>
    <w:rsid w:val="00BE63DB"/>
    <w:rsid w:val="00BE6574"/>
    <w:rsid w:val="00C07319"/>
    <w:rsid w:val="00C16FD2"/>
    <w:rsid w:val="00C34B1D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5925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3D59-CEEB-4F60-A5F4-E5D8468C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ITU</cp:lastModifiedBy>
  <cp:revision>3</cp:revision>
  <cp:lastPrinted>2013-03-08T10:15:00Z</cp:lastPrinted>
  <dcterms:created xsi:type="dcterms:W3CDTF">2018-02-01T15:03:00Z</dcterms:created>
  <dcterms:modified xsi:type="dcterms:W3CDTF">2018-02-01T15:04:00Z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