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3D493C">
              <w:rPr>
                <w:b/>
                <w:bCs/>
                <w:szCs w:val="24"/>
                <w:lang w:val="fr-CH"/>
              </w:rPr>
              <w:t>CE</w:t>
            </w:r>
            <w:r w:rsidRPr="00773F7E">
              <w:rPr>
                <w:b/>
                <w:bCs/>
                <w:szCs w:val="24"/>
                <w:lang w:val="fr-CH"/>
              </w:rPr>
              <w:t>/</w:t>
            </w:r>
            <w:r w:rsidR="003D493C">
              <w:rPr>
                <w:b/>
                <w:bCs/>
                <w:szCs w:val="24"/>
                <w:lang w:val="fr-CH"/>
              </w:rPr>
              <w:t>853</w:t>
            </w:r>
          </w:p>
        </w:tc>
        <w:tc>
          <w:tcPr>
            <w:tcW w:w="2835" w:type="dxa"/>
            <w:shd w:val="clear" w:color="auto" w:fill="auto"/>
          </w:tcPr>
          <w:p w:rsidR="00E53DCE" w:rsidRPr="00773F7E" w:rsidRDefault="007737B8" w:rsidP="003D493C">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B143D8F0AE734C1E98D0E3A07A253974"/>
                </w:placeholder>
                <w:date>
                  <w:dateFormat w:val="d MMMM yyyy"/>
                  <w:lid w:val="fr-FR"/>
                  <w:storeMappedDataAs w:val="date"/>
                  <w:calendar w:val="gregorian"/>
                </w:date>
              </w:sdtPr>
              <w:sdtEndPr/>
              <w:sdtContent>
                <w:r w:rsidR="003D493C">
                  <w:rPr>
                    <w:rFonts w:cs="Arial"/>
                    <w:szCs w:val="24"/>
                  </w:rPr>
                  <w:t>23 janvier 2018</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990658" w:rsidTr="004228FA">
        <w:trPr>
          <w:jc w:val="center"/>
        </w:trPr>
        <w:tc>
          <w:tcPr>
            <w:tcW w:w="9889" w:type="dxa"/>
            <w:gridSpan w:val="3"/>
            <w:shd w:val="clear" w:color="auto" w:fill="auto"/>
          </w:tcPr>
          <w:p w:rsidR="00E53DCE" w:rsidRPr="00773F7E" w:rsidRDefault="00EE1A57" w:rsidP="003D493C">
            <w:pPr>
              <w:spacing w:before="0"/>
              <w:jc w:val="left"/>
              <w:rPr>
                <w:b/>
                <w:bCs/>
                <w:szCs w:val="24"/>
                <w:lang w:val="fr-CH"/>
              </w:rPr>
            </w:pPr>
            <w:r w:rsidRPr="002569F7">
              <w:rPr>
                <w:b/>
                <w:bCs/>
                <w:szCs w:val="24"/>
                <w:lang w:val="fr-CH"/>
              </w:rPr>
              <w:t>Aux Administrations des Etats Membres de l'UIT</w:t>
            </w:r>
            <w:r w:rsidR="003D493C" w:rsidRPr="0024663A">
              <w:rPr>
                <w:b/>
                <w:szCs w:val="24"/>
                <w:lang w:val="fr-CH"/>
              </w:rPr>
              <w:t>, aux Membres du Secteur des radiocommunications, aux Associés de l</w:t>
            </w:r>
            <w:r w:rsidR="003D493C">
              <w:rPr>
                <w:b/>
                <w:szCs w:val="24"/>
                <w:lang w:val="fr-CH"/>
              </w:rPr>
              <w:t>'</w:t>
            </w:r>
            <w:r w:rsidR="003D493C" w:rsidRPr="0024663A">
              <w:rPr>
                <w:b/>
                <w:szCs w:val="24"/>
                <w:lang w:val="fr-CH"/>
              </w:rPr>
              <w:t>UIT-R participant aux travaux de la Commission d</w:t>
            </w:r>
            <w:r w:rsidR="003D493C">
              <w:rPr>
                <w:b/>
                <w:szCs w:val="24"/>
                <w:lang w:val="fr-CH"/>
              </w:rPr>
              <w:t>'</w:t>
            </w:r>
            <w:r w:rsidR="003D493C" w:rsidRPr="0024663A">
              <w:rPr>
                <w:b/>
                <w:szCs w:val="24"/>
                <w:lang w:val="fr-CH"/>
              </w:rPr>
              <w:t>études </w:t>
            </w:r>
            <w:r w:rsidR="003D493C">
              <w:rPr>
                <w:b/>
                <w:szCs w:val="24"/>
                <w:lang w:val="fr-CH"/>
              </w:rPr>
              <w:t>4</w:t>
            </w:r>
            <w:r w:rsidR="003D493C" w:rsidRPr="0024663A">
              <w:rPr>
                <w:b/>
                <w:szCs w:val="24"/>
                <w:lang w:val="fr-CH"/>
              </w:rPr>
              <w:t xml:space="preserve"> des radiocommunications et aux établissements universitaires participant aux travaux de l</w:t>
            </w:r>
            <w:r w:rsidR="003D493C">
              <w:rPr>
                <w:b/>
                <w:szCs w:val="24"/>
                <w:lang w:val="fr-CH"/>
              </w:rPr>
              <w:t>'</w:t>
            </w:r>
            <w:r w:rsidR="003D493C" w:rsidRPr="0024663A">
              <w:rPr>
                <w:b/>
                <w:szCs w:val="24"/>
                <w:lang w:val="fr-CH"/>
              </w:rPr>
              <w:t>UIT</w:t>
            </w:r>
          </w:p>
        </w:tc>
      </w:tr>
      <w:tr w:rsidR="00E53DCE" w:rsidRPr="00990658"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90658"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90658"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3D493C" w:rsidRPr="0024663A" w:rsidRDefault="003D493C" w:rsidP="003D493C">
            <w:pPr>
              <w:spacing w:before="0" w:line="240" w:lineRule="auto"/>
              <w:rPr>
                <w:b/>
                <w:bCs/>
                <w:szCs w:val="24"/>
                <w:lang w:val="fr-CH"/>
              </w:rPr>
            </w:pPr>
            <w:r w:rsidRPr="0024663A">
              <w:rPr>
                <w:b/>
                <w:bCs/>
                <w:szCs w:val="24"/>
                <w:lang w:val="fr-CH"/>
              </w:rPr>
              <w:t>Commission d</w:t>
            </w:r>
            <w:r>
              <w:rPr>
                <w:b/>
                <w:bCs/>
                <w:szCs w:val="24"/>
                <w:lang w:val="fr-CH"/>
              </w:rPr>
              <w:t>'études 4</w:t>
            </w:r>
            <w:r w:rsidRPr="0024663A">
              <w:rPr>
                <w:b/>
                <w:bCs/>
                <w:szCs w:val="24"/>
                <w:lang w:val="fr-CH"/>
              </w:rPr>
              <w:t xml:space="preserve"> des </w:t>
            </w:r>
            <w:r w:rsidRPr="003D493C">
              <w:rPr>
                <w:b/>
                <w:bCs/>
                <w:szCs w:val="24"/>
                <w:lang w:val="fr-CH"/>
              </w:rPr>
              <w:t>radiocommunications (</w:t>
            </w:r>
            <w:hyperlink r:id="rId8" w:history="1">
              <w:r w:rsidRPr="003D493C">
                <w:rPr>
                  <w:b/>
                  <w:bCs/>
                  <w:szCs w:val="24"/>
                  <w:lang w:val="fr-CH"/>
                </w:rPr>
                <w:t>Services par satellite</w:t>
              </w:r>
            </w:hyperlink>
            <w:r w:rsidRPr="003D493C">
              <w:rPr>
                <w:b/>
                <w:bCs/>
                <w:szCs w:val="24"/>
                <w:lang w:val="fr-CH"/>
              </w:rPr>
              <w:t>)</w:t>
            </w:r>
          </w:p>
          <w:p w:rsidR="003D493C" w:rsidRPr="00B53305" w:rsidRDefault="003D493C" w:rsidP="007737B8">
            <w:pPr>
              <w:tabs>
                <w:tab w:val="clear" w:pos="794"/>
                <w:tab w:val="clear" w:pos="1191"/>
              </w:tabs>
              <w:spacing w:before="80" w:line="240" w:lineRule="auto"/>
              <w:ind w:left="480" w:hanging="443"/>
              <w:jc w:val="left"/>
              <w:rPr>
                <w:b/>
                <w:bCs/>
                <w:szCs w:val="24"/>
                <w:lang w:val="fr-CH"/>
              </w:rPr>
            </w:pPr>
            <w:r w:rsidRPr="00B53305">
              <w:rPr>
                <w:b/>
                <w:bCs/>
                <w:szCs w:val="24"/>
                <w:lang w:val="fr-CH"/>
              </w:rPr>
              <w:t>–</w:t>
            </w:r>
            <w:r>
              <w:rPr>
                <w:szCs w:val="24"/>
                <w:lang w:val="fr-CH"/>
              </w:rPr>
              <w:tab/>
            </w:r>
            <w:r w:rsidRPr="00B53305">
              <w:rPr>
                <w:b/>
                <w:bCs/>
                <w:szCs w:val="24"/>
                <w:lang w:val="fr-CH"/>
              </w:rPr>
              <w:t>Approbation d</w:t>
            </w:r>
            <w:r w:rsidR="007737B8">
              <w:rPr>
                <w:b/>
                <w:bCs/>
                <w:szCs w:val="24"/>
                <w:lang w:val="fr-CH"/>
              </w:rPr>
              <w:t>'une</w:t>
            </w:r>
            <w:r w:rsidRPr="00B53305">
              <w:rPr>
                <w:b/>
                <w:bCs/>
                <w:szCs w:val="24"/>
                <w:lang w:val="fr-CH"/>
              </w:rPr>
              <w:t xml:space="preserve"> </w:t>
            </w:r>
            <w:r>
              <w:rPr>
                <w:b/>
                <w:bCs/>
                <w:szCs w:val="24"/>
                <w:lang w:val="fr-CH"/>
              </w:rPr>
              <w:t>Question UIT</w:t>
            </w:r>
            <w:r>
              <w:rPr>
                <w:b/>
                <w:bCs/>
                <w:szCs w:val="24"/>
                <w:lang w:val="fr-CH"/>
              </w:rPr>
              <w:noBreakHyphen/>
            </w:r>
            <w:r w:rsidRPr="00B53305">
              <w:rPr>
                <w:b/>
                <w:bCs/>
                <w:szCs w:val="24"/>
                <w:lang w:val="fr-CH"/>
              </w:rPr>
              <w:t>R révisée</w:t>
            </w:r>
          </w:p>
          <w:p w:rsidR="00E53DCE" w:rsidRPr="003D493C" w:rsidRDefault="003D493C" w:rsidP="007737B8">
            <w:pPr>
              <w:tabs>
                <w:tab w:val="clear" w:pos="794"/>
                <w:tab w:val="clear" w:pos="1588"/>
                <w:tab w:val="left" w:pos="493"/>
                <w:tab w:val="left" w:pos="1560"/>
              </w:tabs>
              <w:spacing w:before="80"/>
              <w:rPr>
                <w:b/>
                <w:bCs/>
                <w:szCs w:val="24"/>
                <w:lang w:val="fr-CH"/>
              </w:rPr>
            </w:pPr>
            <w:r w:rsidRPr="00B53305">
              <w:rPr>
                <w:b/>
                <w:bCs/>
                <w:szCs w:val="24"/>
                <w:lang w:val="fr-CH"/>
              </w:rPr>
              <w:t>–</w:t>
            </w:r>
            <w:r>
              <w:rPr>
                <w:szCs w:val="24"/>
                <w:lang w:val="fr-CH"/>
              </w:rPr>
              <w:tab/>
            </w:r>
            <w:r w:rsidRPr="00B53305">
              <w:rPr>
                <w:b/>
                <w:bCs/>
                <w:szCs w:val="24"/>
                <w:lang w:val="fr-CH"/>
              </w:rPr>
              <w:t>Suppression d</w:t>
            </w:r>
            <w:r w:rsidR="007737B8">
              <w:rPr>
                <w:b/>
                <w:bCs/>
                <w:szCs w:val="24"/>
                <w:lang w:val="fr-CH"/>
              </w:rPr>
              <w:t>'une</w:t>
            </w:r>
            <w:r w:rsidRPr="00B53305">
              <w:rPr>
                <w:b/>
                <w:bCs/>
                <w:szCs w:val="24"/>
                <w:lang w:val="fr-CH"/>
              </w:rPr>
              <w:t xml:space="preserve"> Question UIT-R</w:t>
            </w:r>
          </w:p>
        </w:tc>
      </w:tr>
      <w:tr w:rsidR="00E53DCE" w:rsidRPr="00990658" w:rsidTr="004228FA">
        <w:trPr>
          <w:jc w:val="center"/>
        </w:trPr>
        <w:tc>
          <w:tcPr>
            <w:tcW w:w="1526" w:type="dxa"/>
            <w:shd w:val="clear" w:color="auto" w:fill="auto"/>
          </w:tcPr>
          <w:p w:rsidR="00E53DCE" w:rsidRPr="003D493C"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D493C" w:rsidRDefault="00E53DCE" w:rsidP="006160CB">
            <w:pPr>
              <w:tabs>
                <w:tab w:val="clear" w:pos="1588"/>
                <w:tab w:val="left" w:pos="1560"/>
              </w:tabs>
              <w:spacing w:before="0"/>
              <w:rPr>
                <w:b/>
                <w:bCs/>
                <w:szCs w:val="24"/>
                <w:lang w:val="fr-CH"/>
              </w:rPr>
            </w:pPr>
          </w:p>
        </w:tc>
      </w:tr>
      <w:tr w:rsidR="00E53DCE" w:rsidRPr="00990658" w:rsidTr="004228FA">
        <w:trPr>
          <w:jc w:val="center"/>
        </w:trPr>
        <w:tc>
          <w:tcPr>
            <w:tcW w:w="1526" w:type="dxa"/>
            <w:shd w:val="clear" w:color="auto" w:fill="auto"/>
          </w:tcPr>
          <w:p w:rsidR="00E53DCE" w:rsidRPr="003D493C"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D493C" w:rsidRDefault="00E53DCE" w:rsidP="006160CB">
            <w:pPr>
              <w:tabs>
                <w:tab w:val="clear" w:pos="1588"/>
                <w:tab w:val="left" w:pos="1560"/>
              </w:tabs>
              <w:spacing w:before="0"/>
              <w:rPr>
                <w:b/>
                <w:bCs/>
                <w:szCs w:val="24"/>
                <w:lang w:val="fr-CH"/>
              </w:rPr>
            </w:pPr>
          </w:p>
        </w:tc>
      </w:tr>
      <w:tr w:rsidR="00E53DCE" w:rsidRPr="00990658" w:rsidTr="004228FA">
        <w:trPr>
          <w:jc w:val="center"/>
        </w:trPr>
        <w:tc>
          <w:tcPr>
            <w:tcW w:w="9889" w:type="dxa"/>
            <w:gridSpan w:val="3"/>
            <w:shd w:val="clear" w:color="auto" w:fill="auto"/>
          </w:tcPr>
          <w:p w:rsidR="00E53DCE" w:rsidRPr="003D493C" w:rsidRDefault="00E53DCE" w:rsidP="00E53DCE">
            <w:pPr>
              <w:tabs>
                <w:tab w:val="clear" w:pos="1588"/>
                <w:tab w:val="left" w:pos="1560"/>
              </w:tabs>
              <w:spacing w:before="0"/>
              <w:jc w:val="left"/>
              <w:rPr>
                <w:szCs w:val="24"/>
                <w:lang w:val="fr-CH"/>
              </w:rPr>
            </w:pPr>
          </w:p>
        </w:tc>
      </w:tr>
      <w:tr w:rsidR="00E53DCE" w:rsidRPr="00990658" w:rsidTr="004228FA">
        <w:trPr>
          <w:jc w:val="center"/>
        </w:trPr>
        <w:tc>
          <w:tcPr>
            <w:tcW w:w="9889" w:type="dxa"/>
            <w:gridSpan w:val="3"/>
            <w:shd w:val="clear" w:color="auto" w:fill="auto"/>
          </w:tcPr>
          <w:p w:rsidR="00E53DCE" w:rsidRPr="003D493C" w:rsidRDefault="00E53DCE" w:rsidP="006160CB">
            <w:pPr>
              <w:spacing w:before="0"/>
              <w:jc w:val="left"/>
              <w:rPr>
                <w:b/>
                <w:bCs/>
                <w:szCs w:val="24"/>
                <w:lang w:val="fr-CH"/>
              </w:rPr>
            </w:pPr>
          </w:p>
        </w:tc>
      </w:tr>
    </w:tbl>
    <w:p w:rsidR="003D493C" w:rsidRDefault="003D493C" w:rsidP="000463BA">
      <w:pPr>
        <w:spacing w:before="240" w:line="240" w:lineRule="auto"/>
        <w:rPr>
          <w:szCs w:val="24"/>
          <w:lang w:val="fr-CH"/>
        </w:rPr>
      </w:pPr>
      <w:r w:rsidRPr="0024663A">
        <w:rPr>
          <w:szCs w:val="24"/>
          <w:lang w:val="fr-CH"/>
        </w:rPr>
        <w:t>Dans la Circulaire administrative CACE/</w:t>
      </w:r>
      <w:r>
        <w:rPr>
          <w:szCs w:val="24"/>
          <w:lang w:val="fr-CH"/>
        </w:rPr>
        <w:t xml:space="preserve">841 </w:t>
      </w:r>
      <w:r w:rsidRPr="0024663A">
        <w:rPr>
          <w:szCs w:val="24"/>
          <w:lang w:val="fr-CH"/>
        </w:rPr>
        <w:t xml:space="preserve">en date du </w:t>
      </w:r>
      <w:r>
        <w:rPr>
          <w:szCs w:val="24"/>
          <w:lang w:val="fr-CH"/>
        </w:rPr>
        <w:t>15 novembre 2017</w:t>
      </w:r>
      <w:r w:rsidRPr="0024663A">
        <w:rPr>
          <w:szCs w:val="24"/>
          <w:lang w:val="fr-CH"/>
        </w:rPr>
        <w:t xml:space="preserve">, </w:t>
      </w:r>
      <w:r w:rsidR="000463BA">
        <w:rPr>
          <w:szCs w:val="24"/>
          <w:lang w:val="fr-CH"/>
        </w:rPr>
        <w:t>un</w:t>
      </w:r>
      <w:r>
        <w:rPr>
          <w:szCs w:val="24"/>
          <w:lang w:val="fr-CH"/>
        </w:rPr>
        <w:t xml:space="preserve"> projet</w:t>
      </w:r>
      <w:r w:rsidRPr="0024663A">
        <w:rPr>
          <w:szCs w:val="24"/>
          <w:lang w:val="fr-CH"/>
        </w:rPr>
        <w:t xml:space="preserve"> de Question UIT</w:t>
      </w:r>
      <w:r>
        <w:rPr>
          <w:szCs w:val="24"/>
          <w:lang w:val="fr-CH"/>
        </w:rPr>
        <w:noBreakHyphen/>
      </w:r>
      <w:r w:rsidRPr="0024663A">
        <w:rPr>
          <w:szCs w:val="24"/>
          <w:lang w:val="fr-CH"/>
        </w:rPr>
        <w:t xml:space="preserve">R révisée </w:t>
      </w:r>
      <w:r>
        <w:rPr>
          <w:szCs w:val="24"/>
          <w:lang w:val="fr-CH"/>
        </w:rPr>
        <w:t>a</w:t>
      </w:r>
      <w:r w:rsidRPr="0024663A">
        <w:rPr>
          <w:szCs w:val="24"/>
          <w:lang w:val="fr-CH"/>
        </w:rPr>
        <w:t xml:space="preserve"> été soumi</w:t>
      </w:r>
      <w:r w:rsidR="00990658">
        <w:rPr>
          <w:szCs w:val="24"/>
          <w:lang w:val="fr-CH"/>
        </w:rPr>
        <w:t>s</w:t>
      </w:r>
      <w:bookmarkStart w:id="0" w:name="_GoBack"/>
      <w:bookmarkEnd w:id="0"/>
      <w:r w:rsidRPr="0024663A">
        <w:rPr>
          <w:szCs w:val="24"/>
          <w:lang w:val="fr-CH"/>
        </w:rPr>
        <w:t xml:space="preserve"> pour approbation par correspondance conformément à la Résolution UIT</w:t>
      </w:r>
      <w:r>
        <w:rPr>
          <w:szCs w:val="24"/>
          <w:lang w:val="fr-CH"/>
        </w:rPr>
        <w:noBreakHyphen/>
      </w:r>
      <w:r w:rsidRPr="0024663A">
        <w:rPr>
          <w:szCs w:val="24"/>
          <w:lang w:val="fr-CH"/>
        </w:rPr>
        <w:t>R 1-7 (§</w:t>
      </w:r>
      <w:r>
        <w:rPr>
          <w:szCs w:val="24"/>
          <w:lang w:val="fr-CH"/>
        </w:rPr>
        <w:t xml:space="preserve"> </w:t>
      </w:r>
      <w:r w:rsidRPr="0024663A">
        <w:rPr>
          <w:szCs w:val="24"/>
          <w:lang w:val="fr-CH"/>
        </w:rPr>
        <w:t>A2.5.2.3). En outre, la Commission d</w:t>
      </w:r>
      <w:r>
        <w:rPr>
          <w:szCs w:val="24"/>
          <w:lang w:val="fr-CH"/>
        </w:rPr>
        <w:t>'</w:t>
      </w:r>
      <w:r w:rsidRPr="0024663A">
        <w:rPr>
          <w:szCs w:val="24"/>
          <w:lang w:val="fr-CH"/>
        </w:rPr>
        <w:t>étud</w:t>
      </w:r>
      <w:r w:rsidR="000463BA">
        <w:rPr>
          <w:szCs w:val="24"/>
          <w:lang w:val="fr-CH"/>
        </w:rPr>
        <w:t>es a proposé la suppression d'une</w:t>
      </w:r>
      <w:r w:rsidRPr="0024663A">
        <w:rPr>
          <w:szCs w:val="24"/>
          <w:lang w:val="fr-CH"/>
        </w:rPr>
        <w:t xml:space="preserve"> Question UIT-</w:t>
      </w:r>
      <w:r>
        <w:rPr>
          <w:szCs w:val="24"/>
          <w:lang w:val="fr-CH"/>
        </w:rPr>
        <w:t>R.</w:t>
      </w:r>
    </w:p>
    <w:p w:rsidR="003D493C" w:rsidRDefault="003D493C" w:rsidP="003D493C">
      <w:pPr>
        <w:spacing w:before="120" w:line="240" w:lineRule="auto"/>
        <w:rPr>
          <w:szCs w:val="24"/>
          <w:lang w:val="fr-CH"/>
        </w:rPr>
      </w:pPr>
      <w:r>
        <w:rPr>
          <w:szCs w:val="24"/>
          <w:lang w:val="fr-CH"/>
        </w:rPr>
        <w:t>Les conditions régissant cette procédure ont été satisfaites le 15 janvier 2018.</w:t>
      </w:r>
    </w:p>
    <w:p w:rsidR="003D493C" w:rsidRDefault="003D493C" w:rsidP="003D493C">
      <w:pPr>
        <w:spacing w:before="120" w:line="240" w:lineRule="auto"/>
        <w:rPr>
          <w:szCs w:val="24"/>
          <w:lang w:val="fr-CH"/>
        </w:rPr>
      </w:pPr>
      <w:r>
        <w:rPr>
          <w:szCs w:val="24"/>
          <w:lang w:val="fr-CH"/>
        </w:rPr>
        <w:t>Le texte de la Question approuvée est joint pour référence dans l'Annexe 1 et sera publié par l'UIT. La Question UIT-R supprimée est indiquée dans l'Annexe 2.</w:t>
      </w:r>
    </w:p>
    <w:p w:rsidR="003D493C" w:rsidRPr="000C236E" w:rsidRDefault="003D493C" w:rsidP="003D493C">
      <w:pPr>
        <w:keepNext/>
        <w:keepLines/>
        <w:spacing w:before="840" w:line="240" w:lineRule="auto"/>
        <w:jc w:val="left"/>
        <w:rPr>
          <w:szCs w:val="24"/>
          <w:lang w:val="fr-FR"/>
        </w:rPr>
      </w:pPr>
      <w:r w:rsidRPr="000C236E">
        <w:rPr>
          <w:szCs w:val="24"/>
          <w:lang w:val="fr-FR"/>
        </w:rPr>
        <w:t>François Rancy</w:t>
      </w:r>
      <w:r w:rsidRPr="000C236E">
        <w:rPr>
          <w:szCs w:val="24"/>
          <w:lang w:val="fr-FR"/>
        </w:rPr>
        <w:br/>
        <w:t xml:space="preserve">Directeur </w:t>
      </w:r>
    </w:p>
    <w:p w:rsidR="003D493C" w:rsidRPr="000C236E" w:rsidRDefault="003D493C" w:rsidP="003D493C">
      <w:pPr>
        <w:keepNext/>
        <w:spacing w:before="600" w:line="240" w:lineRule="auto"/>
        <w:ind w:left="794" w:hanging="794"/>
        <w:rPr>
          <w:b/>
          <w:bCs/>
          <w:szCs w:val="24"/>
          <w:lang w:val="fr-CH"/>
        </w:rPr>
      </w:pPr>
      <w:r w:rsidRPr="000C236E">
        <w:rPr>
          <w:b/>
          <w:bCs/>
          <w:szCs w:val="24"/>
          <w:lang w:val="fr-CH"/>
        </w:rPr>
        <w:t>Annexes</w:t>
      </w:r>
      <w:r>
        <w:rPr>
          <w:szCs w:val="24"/>
          <w:lang w:val="fr-CH"/>
        </w:rPr>
        <w:t>: 2</w:t>
      </w:r>
    </w:p>
    <w:p w:rsidR="003D493C" w:rsidRPr="00CB2C1B" w:rsidRDefault="003D493C" w:rsidP="003D493C">
      <w:pPr>
        <w:pStyle w:val="Headingb9pt"/>
        <w:spacing w:before="600" w:line="240" w:lineRule="auto"/>
      </w:pPr>
      <w:r w:rsidRPr="00CB2C1B">
        <w:t>Distribution:</w:t>
      </w:r>
    </w:p>
    <w:p w:rsidR="003D493C" w:rsidRDefault="003D493C" w:rsidP="003D493C">
      <w:pPr>
        <w:pStyle w:val="enumlev19pt"/>
        <w:spacing w:before="0" w:line="240" w:lineRule="auto"/>
        <w:ind w:left="720" w:hanging="720"/>
      </w:pPr>
      <w:r w:rsidRPr="002A695D">
        <w:t>–</w:t>
      </w:r>
      <w:r w:rsidRPr="002A695D">
        <w:tab/>
        <w:t>Administrations des Etats Membres de l</w:t>
      </w:r>
      <w:r>
        <w:t>'</w:t>
      </w:r>
      <w:r w:rsidRPr="002A695D">
        <w:t>UIT et Membres du Secteur des radiocommunications</w:t>
      </w:r>
      <w:r>
        <w:t xml:space="preserve"> participant aux travaux de la </w:t>
      </w:r>
      <w:r w:rsidRPr="002A695D">
        <w:t>Commission d</w:t>
      </w:r>
      <w:r>
        <w:t>'</w:t>
      </w:r>
      <w:r w:rsidRPr="002A695D">
        <w:t xml:space="preserve">études </w:t>
      </w:r>
      <w:r>
        <w:t>4</w:t>
      </w:r>
      <w:r w:rsidRPr="002A695D">
        <w:t xml:space="preserve"> des radiocommunications</w:t>
      </w:r>
    </w:p>
    <w:p w:rsidR="003D493C" w:rsidRDefault="003D493C" w:rsidP="003D493C">
      <w:pPr>
        <w:pStyle w:val="enumlev19pt"/>
        <w:spacing w:before="0" w:line="240" w:lineRule="auto"/>
      </w:pPr>
      <w:r w:rsidRPr="002A695D">
        <w:t>–</w:t>
      </w:r>
      <w:r w:rsidRPr="002A695D">
        <w:tab/>
        <w:t>Associés de l</w:t>
      </w:r>
      <w:r>
        <w:t>'</w:t>
      </w:r>
      <w:r w:rsidRPr="002A695D">
        <w:t>UIT-R participant aux travaux de la Commission d</w:t>
      </w:r>
      <w:r>
        <w:t>'</w:t>
      </w:r>
      <w:r w:rsidRPr="002A695D">
        <w:t xml:space="preserve">études </w:t>
      </w:r>
      <w:r>
        <w:t>4</w:t>
      </w:r>
      <w:r w:rsidRPr="002A695D">
        <w:t xml:space="preserve"> des radiocommunications</w:t>
      </w:r>
    </w:p>
    <w:p w:rsidR="003D493C" w:rsidRDefault="003D493C" w:rsidP="003D493C">
      <w:pPr>
        <w:pStyle w:val="enumlev19pt"/>
        <w:spacing w:before="0" w:line="240" w:lineRule="auto"/>
      </w:pPr>
      <w:r w:rsidRPr="002A695D">
        <w:t>–</w:t>
      </w:r>
      <w:r w:rsidRPr="002A695D">
        <w:tab/>
        <w:t>Etablissements universitaires participant aux travaux de l</w:t>
      </w:r>
      <w:r>
        <w:t>'</w:t>
      </w:r>
      <w:r w:rsidRPr="002A695D">
        <w:t xml:space="preserve">UIT </w:t>
      </w:r>
    </w:p>
    <w:p w:rsidR="003D493C" w:rsidRDefault="003D493C" w:rsidP="003D493C">
      <w:pPr>
        <w:pStyle w:val="enumlev19pt"/>
        <w:spacing w:before="0" w:line="240" w:lineRule="auto"/>
      </w:pPr>
      <w:r w:rsidRPr="002A695D">
        <w:t>–</w:t>
      </w:r>
      <w:r w:rsidRPr="002A695D">
        <w:tab/>
        <w:t>Présidents et Vice</w:t>
      </w:r>
      <w:r w:rsidRPr="002A695D">
        <w:noBreakHyphen/>
        <w:t>Présidents des Commissions d</w:t>
      </w:r>
      <w:r>
        <w:t>'</w:t>
      </w:r>
      <w:r w:rsidRPr="002A695D">
        <w:t>études des radiocommunications</w:t>
      </w:r>
    </w:p>
    <w:p w:rsidR="003D493C" w:rsidRDefault="003D493C" w:rsidP="003D493C">
      <w:pPr>
        <w:pStyle w:val="enumlev19pt"/>
        <w:spacing w:before="0" w:line="240" w:lineRule="auto"/>
      </w:pPr>
      <w:r w:rsidRPr="002A695D">
        <w:t>–</w:t>
      </w:r>
      <w:r w:rsidRPr="002A695D">
        <w:tab/>
        <w:t>Président et Vice</w:t>
      </w:r>
      <w:r w:rsidRPr="002A695D">
        <w:noBreakHyphen/>
        <w:t>Présidents de la Réunion de préparation à la Conférence</w:t>
      </w:r>
    </w:p>
    <w:p w:rsidR="003D493C" w:rsidRDefault="003D493C" w:rsidP="003D493C">
      <w:pPr>
        <w:pStyle w:val="enumlev19pt"/>
        <w:spacing w:before="0" w:line="240" w:lineRule="auto"/>
      </w:pPr>
      <w:r w:rsidRPr="002A695D">
        <w:t>–</w:t>
      </w:r>
      <w:r w:rsidRPr="002A695D">
        <w:tab/>
        <w:t>Membres du Comité du Règlement des radiocommunications</w:t>
      </w:r>
    </w:p>
    <w:p w:rsidR="003D493C" w:rsidRPr="002A695D" w:rsidRDefault="003D493C" w:rsidP="003D493C">
      <w:pPr>
        <w:pStyle w:val="enumlev19pt"/>
        <w:spacing w:before="0" w:line="240" w:lineRule="auto"/>
        <w:ind w:left="720" w:hanging="720"/>
      </w:pPr>
      <w:r w:rsidRPr="002A695D">
        <w:t>–</w:t>
      </w:r>
      <w:r w:rsidRPr="002A695D">
        <w:tab/>
        <w:t>Secrétaire général de l</w:t>
      </w:r>
      <w:r>
        <w:t>'</w:t>
      </w:r>
      <w:r w:rsidRPr="002A695D">
        <w:t>UIT, Directeur du Bureau de la normalisation des télécommunic</w:t>
      </w:r>
      <w:r>
        <w:t>ations, Directeur du Bureau de </w:t>
      </w:r>
      <w:r w:rsidRPr="002A695D">
        <w:t>développement des télécommunications</w:t>
      </w:r>
    </w:p>
    <w:p w:rsidR="003D493C" w:rsidRDefault="003D493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Pr>
          <w:rFonts w:asciiTheme="minorHAnsi" w:hAnsiTheme="minorHAnsi" w:cstheme="minorHAnsi"/>
          <w:szCs w:val="24"/>
          <w:lang w:val="fr-CH"/>
        </w:rPr>
        <w:br w:type="page"/>
      </w:r>
    </w:p>
    <w:p w:rsidR="003D493C" w:rsidRPr="00953A10" w:rsidRDefault="003D493C" w:rsidP="003D493C">
      <w:pPr>
        <w:pStyle w:val="AnnexNotitle0"/>
        <w:spacing w:before="120"/>
        <w:rPr>
          <w:rFonts w:asciiTheme="minorHAnsi" w:hAnsiTheme="minorHAnsi" w:cstheme="minorHAnsi"/>
          <w:lang w:val="fr-CH"/>
        </w:rPr>
      </w:pPr>
      <w:r w:rsidRPr="00953A10">
        <w:rPr>
          <w:rFonts w:asciiTheme="minorHAnsi" w:hAnsiTheme="minorHAnsi" w:cstheme="minorHAnsi"/>
          <w:lang w:val="fr-CH"/>
        </w:rPr>
        <w:lastRenderedPageBreak/>
        <w:t>Annexe 1</w:t>
      </w:r>
    </w:p>
    <w:p w:rsidR="00D21694" w:rsidRPr="00D07ED0" w:rsidRDefault="003D493C" w:rsidP="003D493C">
      <w:pPr>
        <w:spacing w:before="480"/>
        <w:jc w:val="center"/>
        <w:rPr>
          <w:rFonts w:ascii="Times New Roman" w:hAnsi="Times New Roman" w:cs="Times New Roman"/>
          <w:caps/>
          <w:sz w:val="28"/>
          <w:szCs w:val="20"/>
          <w:lang w:val="fr-CH"/>
        </w:rPr>
      </w:pPr>
      <w:r w:rsidRPr="00D07ED0">
        <w:rPr>
          <w:rFonts w:ascii="Times New Roman" w:hAnsi="Times New Roman" w:cs="Times New Roman"/>
          <w:caps/>
          <w:sz w:val="28"/>
          <w:szCs w:val="20"/>
          <w:lang w:val="fr-CH"/>
        </w:rPr>
        <w:t>QUESTION UIT-R 277-1/4</w:t>
      </w:r>
    </w:p>
    <w:p w:rsidR="003D493C" w:rsidRPr="007C2C72" w:rsidRDefault="003D493C" w:rsidP="00321230">
      <w:pPr>
        <w:keepNext/>
        <w:keepLines/>
        <w:spacing w:before="240" w:line="240" w:lineRule="auto"/>
        <w:jc w:val="center"/>
        <w:rPr>
          <w:rFonts w:asciiTheme="majorBidi" w:hAnsiTheme="majorBidi" w:cstheme="majorBidi"/>
          <w:b/>
          <w:sz w:val="28"/>
          <w:szCs w:val="20"/>
          <w:lang w:val="fr-FR"/>
        </w:rPr>
      </w:pPr>
      <w:r w:rsidRPr="007C2C72">
        <w:rPr>
          <w:rFonts w:asciiTheme="majorBidi" w:hAnsiTheme="majorBidi" w:cstheme="majorBidi"/>
          <w:b/>
          <w:sz w:val="28"/>
          <w:szCs w:val="20"/>
          <w:lang w:val="fr-FR"/>
        </w:rPr>
        <w:t xml:space="preserve">Objectifs de qualité de fonctionnement des systèmes numériques du service fixe par satellite et du service mobile par satellite ayant </w:t>
      </w:r>
      <w:r w:rsidRPr="007C2C72">
        <w:rPr>
          <w:rFonts w:asciiTheme="majorBidi" w:hAnsiTheme="majorBidi" w:cstheme="majorBidi"/>
          <w:b/>
          <w:sz w:val="28"/>
          <w:szCs w:val="20"/>
          <w:lang w:val="fr-FR"/>
        </w:rPr>
        <w:br/>
        <w:t>des liaisons à débit binaire variable</w:t>
      </w:r>
    </w:p>
    <w:p w:rsidR="003D493C" w:rsidRPr="007C2C72" w:rsidRDefault="003D493C" w:rsidP="003D493C">
      <w:pPr>
        <w:keepNext/>
        <w:keepLines/>
        <w:tabs>
          <w:tab w:val="clear" w:pos="794"/>
          <w:tab w:val="clear" w:pos="1191"/>
          <w:tab w:val="clear" w:pos="1588"/>
          <w:tab w:val="clear" w:pos="1985"/>
        </w:tabs>
        <w:spacing w:before="120" w:line="240" w:lineRule="auto"/>
        <w:jc w:val="right"/>
        <w:rPr>
          <w:rFonts w:asciiTheme="majorBidi" w:hAnsiTheme="majorBidi" w:cstheme="majorBidi"/>
          <w:sz w:val="22"/>
          <w:szCs w:val="20"/>
          <w:lang w:val="fr-FR"/>
        </w:rPr>
      </w:pPr>
      <w:r w:rsidRPr="007C2C72">
        <w:rPr>
          <w:rFonts w:asciiTheme="majorBidi" w:hAnsiTheme="majorBidi" w:cstheme="majorBidi"/>
          <w:sz w:val="22"/>
          <w:szCs w:val="20"/>
          <w:lang w:val="fr-FR"/>
        </w:rPr>
        <w:t>(2009-201</w:t>
      </w:r>
      <w:r>
        <w:rPr>
          <w:rFonts w:asciiTheme="majorBidi" w:hAnsiTheme="majorBidi" w:cstheme="majorBidi"/>
          <w:sz w:val="22"/>
          <w:szCs w:val="20"/>
          <w:lang w:val="fr-FR"/>
        </w:rPr>
        <w:t>8</w:t>
      </w:r>
      <w:r w:rsidRPr="007C2C72">
        <w:rPr>
          <w:rFonts w:asciiTheme="majorBidi" w:hAnsiTheme="majorBidi" w:cstheme="majorBidi"/>
          <w:sz w:val="22"/>
          <w:szCs w:val="20"/>
          <w:lang w:val="fr-FR"/>
        </w:rPr>
        <w:t>)</w:t>
      </w:r>
    </w:p>
    <w:p w:rsidR="003D493C" w:rsidRPr="007C2C72" w:rsidRDefault="003D493C" w:rsidP="003D493C">
      <w:pPr>
        <w:overflowPunct/>
        <w:autoSpaceDE/>
        <w:autoSpaceDN/>
        <w:adjustRightInd/>
        <w:spacing w:before="200" w:line="240" w:lineRule="auto"/>
        <w:jc w:val="left"/>
        <w:textAlignment w:val="auto"/>
        <w:rPr>
          <w:rFonts w:asciiTheme="majorBidi" w:hAnsiTheme="majorBidi" w:cstheme="majorBidi"/>
          <w:szCs w:val="20"/>
          <w:lang w:val="fr-FR"/>
        </w:rPr>
      </w:pPr>
      <w:r w:rsidRPr="007C2C72">
        <w:rPr>
          <w:rFonts w:asciiTheme="majorBidi" w:hAnsiTheme="majorBidi" w:cstheme="majorBidi"/>
          <w:szCs w:val="20"/>
          <w:lang w:val="fr-FR"/>
        </w:rPr>
        <w:t>L'Assemblée des radiocommunications de l'UIT,</w:t>
      </w:r>
    </w:p>
    <w:p w:rsidR="003D493C" w:rsidRPr="00321230" w:rsidRDefault="003D493C" w:rsidP="003D493C">
      <w:pPr>
        <w:keepNext/>
        <w:keepLines/>
        <w:spacing w:line="240" w:lineRule="auto"/>
        <w:ind w:left="794"/>
        <w:jc w:val="left"/>
        <w:rPr>
          <w:rFonts w:asciiTheme="majorBidi" w:hAnsiTheme="majorBidi" w:cstheme="majorBidi"/>
          <w:i/>
          <w:szCs w:val="20"/>
          <w:lang w:val="fr-CH"/>
        </w:rPr>
      </w:pPr>
      <w:r w:rsidRPr="00321230">
        <w:rPr>
          <w:rFonts w:asciiTheme="majorBidi" w:hAnsiTheme="majorBidi" w:cstheme="majorBidi"/>
          <w:i/>
          <w:szCs w:val="20"/>
          <w:lang w:val="fr-CH"/>
        </w:rPr>
        <w:t>considérant</w:t>
      </w:r>
    </w:p>
    <w:p w:rsidR="003D493C" w:rsidRPr="00321230" w:rsidRDefault="003D493C" w:rsidP="002C61DF">
      <w:pPr>
        <w:spacing w:before="100" w:line="240" w:lineRule="auto"/>
        <w:rPr>
          <w:rFonts w:asciiTheme="majorBidi" w:hAnsiTheme="majorBidi" w:cstheme="majorBidi"/>
          <w:szCs w:val="20"/>
          <w:lang w:val="fr-FR"/>
        </w:rPr>
      </w:pPr>
      <w:r w:rsidRPr="00321230">
        <w:rPr>
          <w:rFonts w:asciiTheme="majorBidi" w:hAnsiTheme="majorBidi" w:cstheme="majorBidi"/>
          <w:i/>
          <w:iCs/>
          <w:szCs w:val="20"/>
          <w:lang w:val="fr-FR"/>
        </w:rPr>
        <w:t>a)</w:t>
      </w:r>
      <w:r w:rsidRPr="00321230">
        <w:rPr>
          <w:rFonts w:asciiTheme="majorBidi" w:hAnsiTheme="majorBidi" w:cstheme="majorBidi"/>
          <w:szCs w:val="20"/>
          <w:lang w:val="fr-FR"/>
        </w:rPr>
        <w:tab/>
        <w:t>que</w:t>
      </w:r>
      <w:r w:rsidRPr="007C2C72">
        <w:rPr>
          <w:rFonts w:asciiTheme="majorBidi" w:hAnsiTheme="majorBidi" w:cstheme="majorBidi"/>
          <w:szCs w:val="20"/>
          <w:lang w:val="fr-FR"/>
        </w:rPr>
        <w:t xml:space="preserve"> les exigences des services ne cessent d'évoluer, et que de nouveaux services pouvant avoir une incidence sur la qualité de fonctionnement requise des liaisons par satellite voient rapidement le jour</w:t>
      </w:r>
      <w:r w:rsidRPr="00321230">
        <w:rPr>
          <w:rFonts w:asciiTheme="majorBidi" w:hAnsiTheme="majorBidi" w:cstheme="majorBidi"/>
          <w:szCs w:val="20"/>
          <w:lang w:val="fr-FR"/>
        </w:rPr>
        <w:t>;</w:t>
      </w:r>
    </w:p>
    <w:p w:rsidR="003D493C" w:rsidRPr="007C2C72" w:rsidRDefault="003D493C" w:rsidP="003D493C">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b)</w:t>
      </w:r>
      <w:r w:rsidRPr="007C2C72">
        <w:rPr>
          <w:rFonts w:asciiTheme="majorBidi" w:hAnsiTheme="majorBidi" w:cstheme="majorBidi"/>
          <w:szCs w:val="20"/>
          <w:lang w:val="fr-FR"/>
        </w:rPr>
        <w:tab/>
        <w:t>que la plupart des systèmes du service fixe par satellite (SFS) et du service mobile par satellite (SMS) récents adoptent des techniques de transmission adaptatives pour compenser les effets de la variation dans le temps des conditions de propagation, y compris de l’affaiblissement dû aux précipitations et des évanouissements dus aux trajets multiples, satisfaisant ainsi les objectifs de qualité en matière d’erreur de façon systématique;</w:t>
      </w:r>
    </w:p>
    <w:p w:rsidR="003D493C" w:rsidRPr="007C2C72" w:rsidRDefault="003D493C" w:rsidP="003D493C">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c)</w:t>
      </w:r>
      <w:r w:rsidRPr="007C2C72">
        <w:rPr>
          <w:rFonts w:asciiTheme="majorBidi" w:hAnsiTheme="majorBidi" w:cstheme="majorBidi"/>
          <w:szCs w:val="20"/>
          <w:lang w:val="fr-FR"/>
        </w:rPr>
        <w:tab/>
      </w:r>
      <w:r w:rsidRPr="00321230">
        <w:rPr>
          <w:rFonts w:asciiTheme="majorBidi" w:hAnsiTheme="majorBidi" w:cstheme="majorBidi"/>
          <w:szCs w:val="20"/>
          <w:lang w:val="fr-FR"/>
        </w:rPr>
        <w:t xml:space="preserve">que les objectifs de qualité de fonctionnement pour les systèmes du </w:t>
      </w:r>
      <w:r w:rsidRPr="007C2C72">
        <w:rPr>
          <w:rFonts w:asciiTheme="majorBidi" w:hAnsiTheme="majorBidi" w:cstheme="majorBidi"/>
          <w:szCs w:val="20"/>
          <w:lang w:val="fr-FR"/>
        </w:rPr>
        <w:t>SFS</w:t>
      </w:r>
      <w:r w:rsidRPr="00321230">
        <w:rPr>
          <w:rFonts w:asciiTheme="majorBidi" w:hAnsiTheme="majorBidi" w:cstheme="majorBidi"/>
          <w:szCs w:val="20"/>
          <w:lang w:val="fr-FR"/>
        </w:rPr>
        <w:t xml:space="preserve"> définis dans la Recommandation UI</w:t>
      </w:r>
      <w:r w:rsidRPr="007C2C72">
        <w:rPr>
          <w:rFonts w:asciiTheme="majorBidi" w:hAnsiTheme="majorBidi" w:cstheme="majorBidi"/>
          <w:szCs w:val="20"/>
          <w:lang w:val="fr-FR"/>
        </w:rPr>
        <w:t>T-R</w:t>
      </w:r>
      <w:r w:rsidRPr="00321230">
        <w:rPr>
          <w:rFonts w:asciiTheme="majorBidi" w:hAnsiTheme="majorBidi" w:cstheme="majorBidi"/>
          <w:szCs w:val="20"/>
          <w:lang w:val="fr-FR"/>
        </w:rPr>
        <w:t xml:space="preserve"> S.1062 peuvent </w:t>
      </w:r>
      <w:r w:rsidRPr="007C2C72">
        <w:rPr>
          <w:rFonts w:asciiTheme="majorBidi" w:hAnsiTheme="majorBidi" w:cstheme="majorBidi"/>
          <w:szCs w:val="20"/>
          <w:lang w:val="fr-FR"/>
        </w:rPr>
        <w:t>être différents de ceux exigés par les systèmes à satellites ayant des liaisons à débit binaire variable, en raison de modes de transmission adaptatifs;</w:t>
      </w:r>
    </w:p>
    <w:p w:rsidR="003D493C" w:rsidRPr="007C2C72" w:rsidRDefault="003D493C" w:rsidP="003D493C">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d)</w:t>
      </w:r>
      <w:r w:rsidRPr="007C2C72">
        <w:rPr>
          <w:rFonts w:asciiTheme="majorBidi" w:hAnsiTheme="majorBidi" w:cstheme="majorBidi"/>
          <w:szCs w:val="20"/>
          <w:lang w:val="fr-FR"/>
        </w:rPr>
        <w:tab/>
        <w:t>que les marges de protection contre les évanouissements dans les bandes normalement utilisées (dans les deux sens) pour assurer les liaisons de service des terminaux mobiles peuvent être fondamentalement différentes des marges applicables dans les bandes généralement utilisées pour les liaisons de connexion, si bien que les objectifs de qualité fixés pour ces deux catégories de liaison risquent de différer;</w:t>
      </w:r>
    </w:p>
    <w:p w:rsidR="003D493C" w:rsidRPr="007C2C72" w:rsidRDefault="003D493C" w:rsidP="003D493C">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e)</w:t>
      </w:r>
      <w:r w:rsidRPr="007C2C72">
        <w:rPr>
          <w:rFonts w:asciiTheme="majorBidi" w:hAnsiTheme="majorBidi" w:cstheme="majorBidi"/>
          <w:szCs w:val="20"/>
          <w:lang w:val="fr-FR"/>
        </w:rPr>
        <w:tab/>
        <w:t>que l'emploi de techniques de codage avec correction d'erreurs qui permettent de se rapprocher de la limite de capacité théorique de Shannon, avec des méthodes de décodage itératif progressif, dans les systèmes à satellites modernes, peut aboutir à un fonctionnement satisfaisant à des niveaux réduits de rapport porteuse/bruit plus brouillage (</w:t>
      </w:r>
      <w:r w:rsidRPr="007C2C72">
        <w:rPr>
          <w:rFonts w:asciiTheme="majorBidi" w:hAnsiTheme="majorBidi" w:cstheme="majorBidi"/>
          <w:i/>
          <w:szCs w:val="20"/>
          <w:lang w:val="fr-FR"/>
        </w:rPr>
        <w:t>C/(N+I</w:t>
      </w:r>
      <w:r w:rsidRPr="007C2C72">
        <w:rPr>
          <w:rFonts w:asciiTheme="majorBidi" w:hAnsiTheme="majorBidi" w:cstheme="majorBidi"/>
          <w:szCs w:val="20"/>
          <w:lang w:val="fr-FR"/>
        </w:rPr>
        <w:t>)), mais aussi à des caractéristiques d’erreurs de décodage en salve différentes de celles obtenues avec les techniques de codage avec correction d’erreur classiques;</w:t>
      </w:r>
    </w:p>
    <w:p w:rsidR="003D493C" w:rsidRPr="007C2C72" w:rsidRDefault="003D493C" w:rsidP="003D493C">
      <w:pPr>
        <w:spacing w:before="100" w:line="240" w:lineRule="auto"/>
        <w:rPr>
          <w:rFonts w:asciiTheme="majorBidi" w:hAnsiTheme="majorBidi" w:cstheme="majorBidi"/>
          <w:szCs w:val="20"/>
          <w:lang w:val="fr-FR"/>
        </w:rPr>
      </w:pPr>
      <w:r w:rsidRPr="007C2C72">
        <w:rPr>
          <w:rFonts w:asciiTheme="majorBidi" w:hAnsiTheme="majorBidi" w:cstheme="majorBidi"/>
          <w:i/>
          <w:iCs/>
          <w:szCs w:val="20"/>
          <w:lang w:val="fr-FR"/>
        </w:rPr>
        <w:t>f)</w:t>
      </w:r>
      <w:r w:rsidRPr="007C2C72">
        <w:rPr>
          <w:rFonts w:asciiTheme="majorBidi" w:hAnsiTheme="majorBidi" w:cstheme="majorBidi"/>
          <w:szCs w:val="20"/>
          <w:lang w:val="fr-FR"/>
        </w:rPr>
        <w:tab/>
        <w:t>que le traitement des objectifs de qualité pour les services relatifs à la sécurité dans les bandes attribuées au SMS pourrait être différent de celui qui s'applique à d'autres services dans les mêmes bandes;</w:t>
      </w:r>
    </w:p>
    <w:p w:rsidR="003D493C" w:rsidRPr="007C2C72" w:rsidRDefault="003D493C" w:rsidP="003D493C">
      <w:pPr>
        <w:spacing w:before="120" w:line="240" w:lineRule="auto"/>
        <w:rPr>
          <w:rFonts w:asciiTheme="majorBidi" w:hAnsiTheme="majorBidi" w:cstheme="majorBidi"/>
          <w:szCs w:val="20"/>
          <w:lang w:val="fr-FR"/>
        </w:rPr>
      </w:pPr>
      <w:r w:rsidRPr="007C2C72">
        <w:rPr>
          <w:rFonts w:asciiTheme="majorBidi" w:hAnsiTheme="majorBidi" w:cstheme="majorBidi"/>
          <w:i/>
          <w:iCs/>
          <w:szCs w:val="20"/>
          <w:lang w:val="fr-FR"/>
        </w:rPr>
        <w:t>g)</w:t>
      </w:r>
      <w:r w:rsidRPr="007C2C72">
        <w:rPr>
          <w:rFonts w:asciiTheme="majorBidi" w:hAnsiTheme="majorBidi" w:cstheme="majorBidi"/>
          <w:szCs w:val="20"/>
          <w:lang w:val="fr-FR"/>
        </w:rPr>
        <w:tab/>
        <w:t>que, en ce qui concerne le temps de transfert des messages (de bout en bout), les objectifs de qualité pour les services d'enregistrement et de retransmission peuvent être moins rigoureux que ceux s'appliquant aux services en temps réel;</w:t>
      </w:r>
    </w:p>
    <w:p w:rsidR="003D493C" w:rsidRPr="007C2C72" w:rsidRDefault="003D493C" w:rsidP="003D493C">
      <w:pPr>
        <w:spacing w:before="120" w:line="240" w:lineRule="auto"/>
        <w:rPr>
          <w:rFonts w:asciiTheme="majorBidi" w:hAnsiTheme="majorBidi" w:cstheme="majorBidi"/>
          <w:szCs w:val="20"/>
          <w:lang w:val="fr-FR"/>
        </w:rPr>
      </w:pPr>
      <w:r w:rsidRPr="007C2C72">
        <w:rPr>
          <w:rFonts w:asciiTheme="majorBidi" w:hAnsiTheme="majorBidi" w:cstheme="majorBidi"/>
          <w:i/>
          <w:iCs/>
          <w:szCs w:val="20"/>
          <w:lang w:val="fr-FR"/>
        </w:rPr>
        <w:t>h)</w:t>
      </w:r>
      <w:r w:rsidRPr="007C2C72">
        <w:rPr>
          <w:rFonts w:asciiTheme="majorBidi" w:hAnsiTheme="majorBidi" w:cstheme="majorBidi"/>
          <w:szCs w:val="20"/>
          <w:lang w:val="fr-FR"/>
        </w:rPr>
        <w:tab/>
        <w:t>que les objectifs de qualité des services mobiles par satellite peuvent être influencés par ceux du service mobile terrestre lorsque le service par satellite est utilisé en complément de ces services;</w:t>
      </w:r>
    </w:p>
    <w:p w:rsidR="003D493C" w:rsidRPr="007C2C72" w:rsidRDefault="003D493C" w:rsidP="003D493C">
      <w:pPr>
        <w:spacing w:before="120" w:line="240" w:lineRule="auto"/>
        <w:rPr>
          <w:rFonts w:asciiTheme="majorBidi" w:hAnsiTheme="majorBidi" w:cstheme="majorBidi"/>
          <w:szCs w:val="20"/>
          <w:lang w:val="fr-FR"/>
        </w:rPr>
      </w:pPr>
      <w:r w:rsidRPr="007C2C72">
        <w:rPr>
          <w:rFonts w:asciiTheme="majorBidi" w:hAnsiTheme="majorBidi" w:cstheme="majorBidi"/>
          <w:i/>
          <w:iCs/>
          <w:szCs w:val="20"/>
          <w:lang w:val="fr-FR"/>
        </w:rPr>
        <w:t>i)</w:t>
      </w:r>
      <w:r w:rsidRPr="007C2C72">
        <w:rPr>
          <w:rFonts w:asciiTheme="majorBidi" w:hAnsiTheme="majorBidi" w:cstheme="majorBidi"/>
          <w:szCs w:val="20"/>
          <w:lang w:val="fr-FR"/>
        </w:rPr>
        <w:tab/>
        <w:t xml:space="preserve">que les </w:t>
      </w:r>
      <w:r w:rsidRPr="007C2C72">
        <w:rPr>
          <w:rFonts w:asciiTheme="majorBidi" w:hAnsiTheme="majorBidi" w:cstheme="majorBidi"/>
          <w:szCs w:val="24"/>
          <w:lang w:val="fr-FR"/>
        </w:rPr>
        <w:t>Recommandation</w:t>
      </w:r>
      <w:r w:rsidRPr="007C2C72">
        <w:rPr>
          <w:rFonts w:asciiTheme="majorBidi" w:hAnsiTheme="majorBidi" w:cstheme="majorBidi"/>
          <w:szCs w:val="20"/>
          <w:lang w:val="fr-FR"/>
        </w:rPr>
        <w:t>s UIT-R SM.1751 et UIT-R M.1188 fournissent une méthode de mesure du bilan de liaison qui peut être appliquée comme «méthode d'évaluation additionnelle des effets des brouillages entre des réseaux de radiocommunications», pour évaluer la qualité de fonctionnement et déterminer les objectifs de qualité de fonctionnement des systèmes non OSG du SMS faisant appel à la méthode AMRT qui fournissent un service à des équipements portables d'utilisateurs mobiles,</w:t>
      </w:r>
    </w:p>
    <w:p w:rsidR="003D493C" w:rsidRPr="007C2C72" w:rsidRDefault="003D493C" w:rsidP="003D493C">
      <w:pPr>
        <w:keepNext/>
        <w:keepLines/>
        <w:spacing w:line="240" w:lineRule="auto"/>
        <w:ind w:left="794"/>
        <w:rPr>
          <w:rFonts w:asciiTheme="majorBidi" w:hAnsiTheme="majorBidi" w:cstheme="majorBidi"/>
          <w:i/>
          <w:szCs w:val="20"/>
          <w:lang w:val="fr-FR"/>
        </w:rPr>
      </w:pPr>
      <w:r w:rsidRPr="007C2C72">
        <w:rPr>
          <w:rFonts w:asciiTheme="majorBidi" w:hAnsiTheme="majorBidi" w:cstheme="majorBidi"/>
          <w:i/>
          <w:szCs w:val="20"/>
          <w:lang w:val="fr-FR"/>
        </w:rPr>
        <w:lastRenderedPageBreak/>
        <w:t>décide</w:t>
      </w:r>
      <w:r w:rsidRPr="007C2C72">
        <w:rPr>
          <w:rFonts w:asciiTheme="majorBidi" w:hAnsiTheme="majorBidi" w:cstheme="majorBidi"/>
          <w:iCs/>
          <w:szCs w:val="20"/>
          <w:lang w:val="fr-FR"/>
        </w:rPr>
        <w:t xml:space="preserve"> de mettre à l'étude les Questions suivantes</w:t>
      </w:r>
    </w:p>
    <w:p w:rsidR="003D493C" w:rsidRPr="007C2C72" w:rsidRDefault="003D493C" w:rsidP="00321230">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Pour chacun des divers systèmes numériques du SFS et du SMS:</w:t>
      </w:r>
    </w:p>
    <w:p w:rsidR="003D493C" w:rsidRPr="007C2C72" w:rsidRDefault="003D493C" w:rsidP="003D493C">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1</w:t>
      </w:r>
      <w:r w:rsidRPr="007C2C72">
        <w:rPr>
          <w:rFonts w:asciiTheme="majorBidi" w:hAnsiTheme="majorBidi" w:cstheme="majorBidi"/>
          <w:szCs w:val="20"/>
          <w:lang w:val="fr-FR"/>
        </w:rPr>
        <w:tab/>
        <w:t>Quels sont les objectifs en matière de caractéristiques d'erreur binaire et les meilleures distributions des caractéristiques d'erreur binaire dans le conduit numérique fictif de référence approprié?</w:t>
      </w:r>
    </w:p>
    <w:p w:rsidR="003D493C" w:rsidRPr="007C2C72" w:rsidRDefault="003D493C" w:rsidP="003D493C">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2</w:t>
      </w:r>
      <w:r w:rsidRPr="007C2C72">
        <w:rPr>
          <w:rFonts w:asciiTheme="majorBidi" w:hAnsiTheme="majorBidi" w:cstheme="majorBidi"/>
          <w:szCs w:val="20"/>
          <w:lang w:val="fr-FR"/>
        </w:rPr>
        <w:tab/>
        <w:t>Quelle est la méthode préférée permettant d'établir une corrélation entre les caractéristiques d'erreur binaire et les caractéristiques de propagation?</w:t>
      </w:r>
    </w:p>
    <w:p w:rsidR="003D493C" w:rsidRPr="00321230" w:rsidRDefault="003D493C" w:rsidP="00321230">
      <w:pPr>
        <w:spacing w:before="120" w:line="240" w:lineRule="auto"/>
        <w:rPr>
          <w:rFonts w:asciiTheme="majorBidi" w:hAnsiTheme="majorBidi" w:cstheme="majorBidi"/>
          <w:szCs w:val="20"/>
          <w:lang w:val="fr-CH"/>
        </w:rPr>
      </w:pPr>
      <w:r w:rsidRPr="007C2C72">
        <w:rPr>
          <w:rFonts w:asciiTheme="majorBidi" w:hAnsiTheme="majorBidi" w:cstheme="majorBidi"/>
          <w:szCs w:val="20"/>
          <w:lang w:val="fr-FR"/>
        </w:rPr>
        <w:t>3</w:t>
      </w:r>
      <w:r w:rsidRPr="007C2C72">
        <w:rPr>
          <w:rFonts w:asciiTheme="majorBidi" w:hAnsiTheme="majorBidi" w:cstheme="majorBidi"/>
          <w:szCs w:val="20"/>
          <w:lang w:val="fr-FR"/>
        </w:rPr>
        <w:tab/>
        <w:t>Quelles sont les méthodes dont disposent les concepteurs de systèmes à satellites pour répondre aux exigences des services en ce qui concerne les caractéristiques des systèmes à satellites</w:t>
      </w:r>
      <w:r w:rsidR="00321230">
        <w:rPr>
          <w:rFonts w:asciiTheme="majorBidi" w:hAnsiTheme="majorBidi" w:cstheme="majorBidi"/>
          <w:szCs w:val="20"/>
          <w:lang w:val="fr-FR"/>
        </w:rPr>
        <w:t> </w:t>
      </w:r>
      <w:r w:rsidRPr="007C2C72">
        <w:rPr>
          <w:rFonts w:asciiTheme="majorBidi" w:hAnsiTheme="majorBidi" w:cstheme="majorBidi"/>
          <w:szCs w:val="20"/>
          <w:lang w:val="fr-FR"/>
        </w:rPr>
        <w:t>–</w:t>
      </w:r>
      <w:r w:rsidR="00321230">
        <w:rPr>
          <w:rFonts w:asciiTheme="majorBidi" w:hAnsiTheme="majorBidi" w:cstheme="majorBidi"/>
          <w:szCs w:val="20"/>
          <w:lang w:val="fr-FR"/>
        </w:rPr>
        <w:t> </w:t>
      </w:r>
      <w:r w:rsidRPr="007C2C72">
        <w:rPr>
          <w:rFonts w:asciiTheme="majorBidi" w:hAnsiTheme="majorBidi" w:cstheme="majorBidi"/>
          <w:szCs w:val="20"/>
          <w:lang w:val="fr-FR"/>
        </w:rPr>
        <w:t>dégradation de la propagation, caractéristiques d'erreurs en salve et temps de propagation par exemple?</w:t>
      </w:r>
    </w:p>
    <w:p w:rsidR="003D493C" w:rsidRPr="007C2C72" w:rsidRDefault="003D493C" w:rsidP="003D493C">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4</w:t>
      </w:r>
      <w:r w:rsidRPr="007C2C72">
        <w:rPr>
          <w:rFonts w:asciiTheme="majorBidi" w:hAnsiTheme="majorBidi" w:cstheme="majorBidi"/>
          <w:szCs w:val="20"/>
          <w:lang w:val="fr-FR"/>
        </w:rPr>
        <w:tab/>
        <w:t>Quels éventuels paramètres de qualité doivent être définis afin de tenir compte des objectifs de qualité existants du SFS, sachant que les niveaux de brouillage dans les systèmes du SMS sont sensiblement différents de ceux des systèmes du SFS?</w:t>
      </w:r>
    </w:p>
    <w:p w:rsidR="003D493C" w:rsidRPr="007C2C72" w:rsidRDefault="003D493C" w:rsidP="003D493C">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5</w:t>
      </w:r>
      <w:r w:rsidRPr="007C2C72">
        <w:rPr>
          <w:rFonts w:asciiTheme="majorBidi" w:hAnsiTheme="majorBidi" w:cstheme="majorBidi"/>
          <w:szCs w:val="20"/>
          <w:lang w:val="fr-FR"/>
        </w:rPr>
        <w:tab/>
        <w:t>Comment l'objectif de qualité décrit au § 1 peut-il s'appliquer respectivement aux liaisons de connexion et aux liaisons de service?</w:t>
      </w:r>
    </w:p>
    <w:p w:rsidR="003D493C" w:rsidRPr="007C2C72" w:rsidRDefault="003D493C" w:rsidP="003D493C">
      <w:pPr>
        <w:spacing w:before="120" w:line="240" w:lineRule="auto"/>
        <w:rPr>
          <w:rFonts w:asciiTheme="majorBidi" w:hAnsiTheme="majorBidi" w:cstheme="majorBidi"/>
          <w:szCs w:val="20"/>
          <w:lang w:val="fr-FR"/>
        </w:rPr>
      </w:pPr>
      <w:r w:rsidRPr="007C2C72">
        <w:rPr>
          <w:rFonts w:asciiTheme="majorBidi" w:hAnsiTheme="majorBidi" w:cstheme="majorBidi"/>
          <w:szCs w:val="20"/>
          <w:lang w:val="fr-FR"/>
        </w:rPr>
        <w:t>6</w:t>
      </w:r>
      <w:r w:rsidRPr="007C2C72">
        <w:rPr>
          <w:rFonts w:asciiTheme="majorBidi" w:hAnsiTheme="majorBidi" w:cstheme="majorBidi"/>
          <w:b/>
          <w:bCs/>
          <w:szCs w:val="20"/>
          <w:lang w:val="fr-FR"/>
        </w:rPr>
        <w:tab/>
      </w:r>
      <w:r w:rsidRPr="007C2C72">
        <w:rPr>
          <w:rFonts w:asciiTheme="majorBidi" w:hAnsiTheme="majorBidi" w:cstheme="majorBidi"/>
          <w:szCs w:val="20"/>
          <w:lang w:val="fr-FR"/>
        </w:rPr>
        <w:t>Quelles</w:t>
      </w:r>
      <w:r w:rsidRPr="007C2C72">
        <w:rPr>
          <w:rFonts w:asciiTheme="majorBidi" w:hAnsiTheme="majorBidi" w:cstheme="majorBidi"/>
          <w:b/>
          <w:bCs/>
          <w:szCs w:val="20"/>
          <w:lang w:val="fr-FR"/>
        </w:rPr>
        <w:t xml:space="preserve"> </w:t>
      </w:r>
      <w:r w:rsidRPr="007C2C72">
        <w:rPr>
          <w:rFonts w:asciiTheme="majorBidi" w:hAnsiTheme="majorBidi" w:cstheme="majorBidi"/>
          <w:szCs w:val="20"/>
          <w:lang w:val="fr-FR"/>
        </w:rPr>
        <w:t>méthodes additionnelles convient-il d'élaborer pour évaluer la qualité de fonctionnement et quels sont les objectifs de qualité des systèmes non OSG du SMS qui fournissent un service aux équipements portables des utilisateurs mobiles?</w:t>
      </w:r>
    </w:p>
    <w:p w:rsidR="003D493C" w:rsidRPr="007C2C72" w:rsidRDefault="003D493C" w:rsidP="003D493C">
      <w:pPr>
        <w:keepNext/>
        <w:keepLines/>
        <w:spacing w:line="240" w:lineRule="auto"/>
        <w:ind w:left="794"/>
        <w:rPr>
          <w:rFonts w:asciiTheme="majorBidi" w:hAnsiTheme="majorBidi" w:cstheme="majorBidi"/>
          <w:i/>
          <w:szCs w:val="20"/>
          <w:lang w:val="fr-FR"/>
        </w:rPr>
      </w:pPr>
      <w:r w:rsidRPr="007C2C72">
        <w:rPr>
          <w:rFonts w:asciiTheme="majorBidi" w:hAnsiTheme="majorBidi" w:cstheme="majorBidi"/>
          <w:i/>
          <w:szCs w:val="20"/>
          <w:lang w:val="fr-FR"/>
        </w:rPr>
        <w:t>décide en outre</w:t>
      </w:r>
    </w:p>
    <w:p w:rsidR="003D493C" w:rsidRPr="007C2C72" w:rsidRDefault="003D493C" w:rsidP="003D493C">
      <w:pPr>
        <w:spacing w:before="120" w:line="240" w:lineRule="auto"/>
        <w:ind w:right="-142"/>
        <w:rPr>
          <w:rFonts w:asciiTheme="majorBidi" w:hAnsiTheme="majorBidi" w:cstheme="majorBidi"/>
          <w:b/>
          <w:szCs w:val="20"/>
          <w:lang w:val="fr-FR"/>
        </w:rPr>
      </w:pPr>
      <w:r w:rsidRPr="007C2C72">
        <w:rPr>
          <w:rFonts w:asciiTheme="majorBidi" w:hAnsiTheme="majorBidi" w:cstheme="majorBidi"/>
          <w:bCs/>
          <w:szCs w:val="20"/>
          <w:lang w:val="fr-FR"/>
        </w:rPr>
        <w:t>1</w:t>
      </w:r>
      <w:r w:rsidRPr="007C2C72">
        <w:rPr>
          <w:rFonts w:asciiTheme="majorBidi" w:hAnsiTheme="majorBidi" w:cstheme="majorBidi"/>
          <w:szCs w:val="20"/>
          <w:lang w:val="fr-FR"/>
        </w:rPr>
        <w:tab/>
        <w:t>que les résultats des études susmentionnées devraient être inclus dans des Recommandations et/ou Rapports appropriés;</w:t>
      </w:r>
    </w:p>
    <w:p w:rsidR="003D493C" w:rsidRPr="007C2C72" w:rsidRDefault="003D493C" w:rsidP="003D493C">
      <w:pPr>
        <w:spacing w:before="120" w:line="240" w:lineRule="auto"/>
        <w:rPr>
          <w:rFonts w:asciiTheme="majorBidi" w:hAnsiTheme="majorBidi" w:cstheme="majorBidi"/>
          <w:szCs w:val="20"/>
          <w:lang w:val="fr-FR"/>
        </w:rPr>
      </w:pPr>
      <w:r w:rsidRPr="007C2C72">
        <w:rPr>
          <w:rFonts w:asciiTheme="majorBidi" w:hAnsiTheme="majorBidi" w:cstheme="majorBidi"/>
          <w:bCs/>
          <w:szCs w:val="20"/>
          <w:lang w:val="fr-FR"/>
        </w:rPr>
        <w:t>2</w:t>
      </w:r>
      <w:r w:rsidRPr="007C2C72">
        <w:rPr>
          <w:rFonts w:asciiTheme="majorBidi" w:hAnsiTheme="majorBidi" w:cstheme="majorBidi"/>
          <w:b/>
          <w:szCs w:val="20"/>
          <w:lang w:val="fr-FR"/>
        </w:rPr>
        <w:tab/>
      </w:r>
      <w:r w:rsidRPr="007C2C72">
        <w:rPr>
          <w:rFonts w:asciiTheme="majorBidi" w:hAnsiTheme="majorBidi" w:cstheme="majorBidi"/>
          <w:szCs w:val="20"/>
          <w:lang w:val="fr-FR"/>
        </w:rPr>
        <w:t>que les études susmentionnées devraient être achevées d'ici à 2020.</w:t>
      </w:r>
    </w:p>
    <w:p w:rsidR="003D493C" w:rsidRPr="007C2C72" w:rsidRDefault="003D493C" w:rsidP="003D493C">
      <w:pPr>
        <w:spacing w:before="120" w:line="240" w:lineRule="auto"/>
        <w:jc w:val="left"/>
        <w:rPr>
          <w:rFonts w:asciiTheme="majorBidi" w:hAnsiTheme="majorBidi" w:cstheme="majorBidi"/>
          <w:szCs w:val="20"/>
          <w:lang w:val="fr-FR"/>
        </w:rPr>
      </w:pPr>
    </w:p>
    <w:p w:rsidR="003D493C" w:rsidRPr="007C2C72" w:rsidRDefault="003D493C" w:rsidP="003D493C">
      <w:pPr>
        <w:spacing w:before="120" w:line="240" w:lineRule="auto"/>
        <w:jc w:val="left"/>
        <w:rPr>
          <w:rFonts w:asciiTheme="majorBidi" w:hAnsiTheme="majorBidi" w:cstheme="majorBidi"/>
          <w:szCs w:val="20"/>
          <w:lang w:val="fr-FR"/>
        </w:rPr>
      </w:pPr>
    </w:p>
    <w:p w:rsidR="003D493C" w:rsidRPr="007C2C72" w:rsidRDefault="003D493C" w:rsidP="003D493C">
      <w:pPr>
        <w:spacing w:before="120" w:line="240" w:lineRule="auto"/>
        <w:jc w:val="left"/>
        <w:rPr>
          <w:rFonts w:asciiTheme="majorBidi" w:hAnsiTheme="majorBidi" w:cstheme="majorBidi"/>
          <w:szCs w:val="20"/>
          <w:lang w:val="fr-FR"/>
        </w:rPr>
      </w:pPr>
      <w:r w:rsidRPr="007C2C72">
        <w:rPr>
          <w:rFonts w:asciiTheme="majorBidi" w:hAnsiTheme="majorBidi" w:cstheme="majorBidi"/>
          <w:szCs w:val="20"/>
          <w:lang w:val="fr-FR"/>
        </w:rPr>
        <w:t>Catégorie: S2</w:t>
      </w:r>
    </w:p>
    <w:p w:rsidR="003D493C" w:rsidRPr="0063089B" w:rsidRDefault="003D493C" w:rsidP="003D493C">
      <w:pPr>
        <w:spacing w:line="240" w:lineRule="auto"/>
        <w:rPr>
          <w:rFonts w:asciiTheme="minorHAnsi" w:hAnsiTheme="minorHAnsi"/>
          <w:lang w:val="fr-CH"/>
        </w:rPr>
      </w:pPr>
    </w:p>
    <w:p w:rsidR="003D493C" w:rsidRDefault="003D493C" w:rsidP="003D493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CH"/>
        </w:rPr>
      </w:pPr>
      <w:r>
        <w:rPr>
          <w:rFonts w:asciiTheme="minorHAnsi" w:hAnsiTheme="minorHAnsi" w:cstheme="minorHAnsi"/>
          <w:lang w:val="fr-CH"/>
        </w:rPr>
        <w:br w:type="page"/>
      </w:r>
    </w:p>
    <w:p w:rsidR="003D493C" w:rsidRPr="0063089B" w:rsidRDefault="003D493C" w:rsidP="003D493C">
      <w:pPr>
        <w:pStyle w:val="AnnexNotitle0"/>
        <w:rPr>
          <w:rFonts w:asciiTheme="minorHAnsi" w:hAnsiTheme="minorHAnsi" w:cstheme="minorHAnsi"/>
          <w:lang w:val="fr-CH"/>
        </w:rPr>
      </w:pPr>
      <w:r w:rsidRPr="0063089B">
        <w:rPr>
          <w:rFonts w:asciiTheme="minorHAnsi" w:hAnsiTheme="minorHAnsi" w:cstheme="minorHAnsi"/>
          <w:lang w:val="fr-CH"/>
        </w:rPr>
        <w:lastRenderedPageBreak/>
        <w:t>Annexe 2</w:t>
      </w:r>
    </w:p>
    <w:p w:rsidR="002A5DD7" w:rsidRPr="003D493C" w:rsidRDefault="003D493C" w:rsidP="00220B72">
      <w:pPr>
        <w:spacing w:before="280" w:after="280"/>
        <w:jc w:val="center"/>
        <w:rPr>
          <w:rFonts w:asciiTheme="minorHAnsi" w:hAnsiTheme="minorHAnsi" w:cs="Times New Roman"/>
          <w:b/>
          <w:sz w:val="28"/>
          <w:szCs w:val="20"/>
          <w:lang w:val="fr-CH"/>
        </w:rPr>
      </w:pPr>
      <w:r w:rsidRPr="003D493C">
        <w:rPr>
          <w:rFonts w:asciiTheme="minorHAnsi" w:hAnsiTheme="minorHAnsi" w:cs="Times New Roman"/>
          <w:b/>
          <w:sz w:val="28"/>
          <w:szCs w:val="20"/>
          <w:lang w:val="fr-CH"/>
        </w:rPr>
        <w:t>Question UIT-R supprimée</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3D493C" w:rsidRPr="0063089B" w:rsidTr="00730BD4">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3D493C" w:rsidRPr="0063089B" w:rsidRDefault="003D493C" w:rsidP="00730BD4">
            <w:pPr>
              <w:pStyle w:val="Tablehead"/>
              <w:rPr>
                <w:rFonts w:asciiTheme="minorHAnsi" w:hAnsiTheme="minorHAnsi" w:cstheme="majorBidi"/>
              </w:rPr>
            </w:pPr>
            <w:r w:rsidRPr="0063089B">
              <w:rPr>
                <w:rFonts w:asciiTheme="minorHAnsi" w:hAnsiTheme="minorHAnsi" w:cstheme="majorBidi"/>
              </w:rPr>
              <w:t>Question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3D493C" w:rsidRPr="0063089B" w:rsidRDefault="003D493C" w:rsidP="00730BD4">
            <w:pPr>
              <w:pStyle w:val="Tablehead"/>
              <w:rPr>
                <w:rFonts w:asciiTheme="minorHAnsi" w:hAnsiTheme="minorHAnsi" w:cstheme="majorBidi"/>
              </w:rPr>
            </w:pPr>
            <w:r w:rsidRPr="0063089B">
              <w:rPr>
                <w:rFonts w:asciiTheme="minorHAnsi" w:hAnsiTheme="minorHAnsi" w:cstheme="majorBidi"/>
              </w:rPr>
              <w:t>Titre</w:t>
            </w:r>
          </w:p>
        </w:tc>
      </w:tr>
      <w:tr w:rsidR="003D493C" w:rsidRPr="00990658" w:rsidTr="00730BD4">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3C" w:rsidRPr="00321230" w:rsidRDefault="003D493C" w:rsidP="00730BD4">
            <w:pPr>
              <w:pStyle w:val="Tabletext"/>
              <w:jc w:val="center"/>
              <w:rPr>
                <w:rFonts w:asciiTheme="minorHAnsi" w:hAnsiTheme="minorHAnsi" w:cstheme="majorBidi"/>
                <w:lang w:eastAsia="ja-JP"/>
              </w:rPr>
            </w:pPr>
            <w:r w:rsidRPr="0063089B">
              <w:rPr>
                <w:rFonts w:asciiTheme="minorHAnsi" w:hAnsiTheme="minorHAnsi" w:cstheme="majorBidi"/>
                <w:lang w:eastAsia="ja-JP"/>
              </w:rPr>
              <w:t>75-4/4</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493C" w:rsidRPr="00321230" w:rsidRDefault="003D493C" w:rsidP="00730BD4">
            <w:pPr>
              <w:pStyle w:val="Tabletext"/>
              <w:rPr>
                <w:rFonts w:asciiTheme="minorHAnsi" w:hAnsiTheme="minorHAnsi" w:cstheme="majorBidi"/>
                <w:b/>
                <w:color w:val="800000"/>
                <w:sz w:val="22"/>
                <w:lang w:val="fr-CH" w:eastAsia="ja-JP"/>
              </w:rPr>
            </w:pPr>
            <w:r w:rsidRPr="0063089B">
              <w:rPr>
                <w:rFonts w:asciiTheme="minorHAnsi" w:hAnsiTheme="minorHAnsi" w:cstheme="majorBidi"/>
                <w:lang w:val="fr-FR"/>
              </w:rPr>
              <w:t>Objectifs de qualité des liaisons de transmission numériques internationales dans les services fixe par satellite et mobile par satellite</w:t>
            </w:r>
          </w:p>
        </w:tc>
      </w:tr>
    </w:tbl>
    <w:p w:rsidR="00EE1A57" w:rsidRPr="003D493C" w:rsidRDefault="00220B72" w:rsidP="00220B72">
      <w:pPr>
        <w:jc w:val="center"/>
        <w:rPr>
          <w:rFonts w:asciiTheme="minorHAnsi" w:hAnsiTheme="minorHAnsi" w:cstheme="minorHAnsi"/>
          <w:szCs w:val="24"/>
          <w:lang w:val="fr-CH"/>
        </w:rPr>
      </w:pPr>
      <w:r w:rsidRPr="00202B1B">
        <w:t>_______________</w:t>
      </w:r>
    </w:p>
    <w:sectPr w:rsidR="00EE1A57" w:rsidRPr="003D493C"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93C" w:rsidRDefault="003D493C">
      <w:r>
        <w:separator/>
      </w:r>
    </w:p>
  </w:endnote>
  <w:endnote w:type="continuationSeparator" w:id="0">
    <w:p w:rsidR="003D493C" w:rsidRDefault="003D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93C" w:rsidRDefault="003D493C">
      <w:r>
        <w:t>____________________</w:t>
      </w:r>
    </w:p>
  </w:footnote>
  <w:footnote w:type="continuationSeparator" w:id="0">
    <w:p w:rsidR="003D493C" w:rsidRDefault="003D4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990658">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D07ED0">
    <w:pPr>
      <w:pStyle w:val="Header"/>
    </w:pPr>
    <w:r>
      <w:tab/>
    </w:r>
    <w:r>
      <w:tab/>
    </w:r>
    <w:r w:rsidR="00D07ED0">
      <w:rPr>
        <w:sz w:val="18"/>
        <w:szCs w:val="16"/>
      </w:rPr>
      <w:t xml:space="preserve">- </w:t>
    </w:r>
    <w:r w:rsidR="00D07ED0" w:rsidRPr="002569F7">
      <w:rPr>
        <w:rStyle w:val="PageNumber"/>
        <w:sz w:val="18"/>
        <w:szCs w:val="16"/>
      </w:rPr>
      <w:fldChar w:fldCharType="begin"/>
    </w:r>
    <w:r w:rsidR="00D07ED0" w:rsidRPr="002569F7">
      <w:rPr>
        <w:rStyle w:val="PageNumber"/>
        <w:sz w:val="18"/>
        <w:szCs w:val="16"/>
      </w:rPr>
      <w:instrText xml:space="preserve"> PAGE </w:instrText>
    </w:r>
    <w:r w:rsidR="00D07ED0" w:rsidRPr="002569F7">
      <w:rPr>
        <w:rStyle w:val="PageNumber"/>
        <w:sz w:val="18"/>
        <w:szCs w:val="16"/>
      </w:rPr>
      <w:fldChar w:fldCharType="separate"/>
    </w:r>
    <w:r w:rsidR="00990658">
      <w:rPr>
        <w:rStyle w:val="PageNumber"/>
        <w:noProof/>
        <w:sz w:val="18"/>
        <w:szCs w:val="16"/>
      </w:rPr>
      <w:t>3</w:t>
    </w:r>
    <w:r w:rsidR="00D07ED0" w:rsidRPr="002569F7">
      <w:rPr>
        <w:rStyle w:val="PageNumber"/>
        <w:sz w:val="18"/>
        <w:szCs w:val="16"/>
      </w:rPr>
      <w:fldChar w:fldCharType="end"/>
    </w:r>
    <w:r w:rsidR="00D07ED0">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E443D" w:rsidTr="00A14242">
      <w:tc>
        <w:tcPr>
          <w:tcW w:w="9923" w:type="dxa"/>
        </w:tcPr>
        <w:p w:rsidR="000E443D" w:rsidRDefault="000E443D" w:rsidP="000E443D">
          <w:pPr>
            <w:pStyle w:val="Header"/>
            <w:tabs>
              <w:tab w:val="clear" w:pos="794"/>
              <w:tab w:val="clear" w:pos="4820"/>
            </w:tabs>
            <w:spacing w:line="360" w:lineRule="auto"/>
            <w:jc w:val="center"/>
          </w:pPr>
          <w:r>
            <w:rPr>
              <w:b/>
              <w:bCs/>
              <w:noProof/>
            </w:rPr>
            <w:drawing>
              <wp:inline distT="0" distB="0" distL="0" distR="0" wp14:anchorId="529AA2AD" wp14:editId="115F9E3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D493C"/>
    <w:rsid w:val="00006A31"/>
    <w:rsid w:val="00006C82"/>
    <w:rsid w:val="00010E30"/>
    <w:rsid w:val="00015C76"/>
    <w:rsid w:val="00026CF8"/>
    <w:rsid w:val="00030BD7"/>
    <w:rsid w:val="00031E64"/>
    <w:rsid w:val="00034340"/>
    <w:rsid w:val="00035CB3"/>
    <w:rsid w:val="00045A8D"/>
    <w:rsid w:val="000463BA"/>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0B72"/>
    <w:rsid w:val="002302B3"/>
    <w:rsid w:val="00230C66"/>
    <w:rsid w:val="00235A29"/>
    <w:rsid w:val="00241526"/>
    <w:rsid w:val="002443A2"/>
    <w:rsid w:val="002569F7"/>
    <w:rsid w:val="00266E74"/>
    <w:rsid w:val="00283C3B"/>
    <w:rsid w:val="002861E6"/>
    <w:rsid w:val="00287D18"/>
    <w:rsid w:val="002A2618"/>
    <w:rsid w:val="002A5DD7"/>
    <w:rsid w:val="002B0CAC"/>
    <w:rsid w:val="002C61DF"/>
    <w:rsid w:val="002D5A15"/>
    <w:rsid w:val="002D5BDD"/>
    <w:rsid w:val="002E3D27"/>
    <w:rsid w:val="002F0890"/>
    <w:rsid w:val="002F2531"/>
    <w:rsid w:val="002F4967"/>
    <w:rsid w:val="002F5AA5"/>
    <w:rsid w:val="00316935"/>
    <w:rsid w:val="00321230"/>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93C"/>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7B8"/>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90658"/>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7ED0"/>
    <w:rsid w:val="00D10BA0"/>
    <w:rsid w:val="00D21694"/>
    <w:rsid w:val="00D24EB5"/>
    <w:rsid w:val="00D35AB9"/>
    <w:rsid w:val="00D41571"/>
    <w:rsid w:val="00D416A0"/>
    <w:rsid w:val="00D47672"/>
    <w:rsid w:val="00D5123C"/>
    <w:rsid w:val="00D55560"/>
    <w:rsid w:val="00D61C5A"/>
    <w:rsid w:val="00D62111"/>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63A875E-163F-4848-BC02-5AB9F8AA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enumlev19pt">
    <w:name w:val="enumlev1 + 9 pt"/>
    <w:aliases w:val="Left,Before:  0 cm,First line:  0 cm"/>
    <w:basedOn w:val="Normal"/>
    <w:rsid w:val="003D493C"/>
    <w:pPr>
      <w:tabs>
        <w:tab w:val="clear" w:pos="794"/>
        <w:tab w:val="clear" w:pos="1191"/>
        <w:tab w:val="clear" w:pos="1588"/>
        <w:tab w:val="clear" w:pos="1985"/>
      </w:tabs>
      <w:spacing w:before="80"/>
      <w:jc w:val="left"/>
    </w:pPr>
    <w:rPr>
      <w:sz w:val="18"/>
      <w:szCs w:val="18"/>
      <w:lang w:val="fr-CH"/>
    </w:rPr>
  </w:style>
  <w:style w:type="paragraph" w:customStyle="1" w:styleId="Headingb9pt">
    <w:name w:val="Heading_b + 9 pt"/>
    <w:basedOn w:val="Headingb"/>
    <w:rsid w:val="003D493C"/>
    <w:rPr>
      <w:sz w:val="18"/>
      <w:szCs w:val="18"/>
      <w:lang w:val="fr-CH"/>
    </w:rPr>
  </w:style>
  <w:style w:type="paragraph" w:customStyle="1" w:styleId="AnnexNotitle0">
    <w:name w:val="Annex_No &amp; title"/>
    <w:basedOn w:val="Normal"/>
    <w:next w:val="Normalaftertitle"/>
    <w:link w:val="AnnexNotitleChar"/>
    <w:rsid w:val="003D493C"/>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
    <w:name w:val="Annex_No &amp; title Char"/>
    <w:link w:val="AnnexNotitle0"/>
    <w:locked/>
    <w:rsid w:val="003D493C"/>
    <w:rPr>
      <w:rFonts w:ascii="Times New Roman" w:hAnsi="Times New Roman" w:cs="Times New Roman"/>
      <w:b/>
      <w:sz w:val="28"/>
      <w:lang w:val="en-GB" w:eastAsia="en-US"/>
    </w:rPr>
  </w:style>
  <w:style w:type="character" w:customStyle="1" w:styleId="TabletextChar">
    <w:name w:val="Table_text Char"/>
    <w:link w:val="Tabletext"/>
    <w:locked/>
    <w:rsid w:val="003D493C"/>
    <w:rPr>
      <w:szCs w:val="22"/>
      <w:lang w:val="en-US" w:eastAsia="en-US"/>
    </w:rPr>
  </w:style>
  <w:style w:type="character" w:customStyle="1" w:styleId="TableheadChar">
    <w:name w:val="Table_head Char"/>
    <w:basedOn w:val="DefaultParagraphFont"/>
    <w:link w:val="Tablehead"/>
    <w:locked/>
    <w:rsid w:val="003D493C"/>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go/itu-r/sg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43D8F0AE734C1E98D0E3A07A253974"/>
        <w:category>
          <w:name w:val="General"/>
          <w:gallery w:val="placeholder"/>
        </w:category>
        <w:types>
          <w:type w:val="bbPlcHdr"/>
        </w:types>
        <w:behaviors>
          <w:behavior w:val="content"/>
        </w:behaviors>
        <w:guid w:val="{329DC665-D36F-46F0-B399-1E7F714DCB52}"/>
      </w:docPartPr>
      <w:docPartBody>
        <w:p w:rsidR="0053767A" w:rsidRDefault="0053767A">
          <w:pPr>
            <w:pStyle w:val="B143D8F0AE734C1E98D0E3A07A25397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7A"/>
    <w:rsid w:val="00537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43D8F0AE734C1E98D0E3A07A253974">
    <w:name w:val="B143D8F0AE734C1E98D0E3A07A253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A656-818E-4315-B3DF-7FA6DE73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152</TotalTime>
  <Pages>4</Pages>
  <Words>1000</Words>
  <Characters>5988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Soto Romero, Alicia</cp:lastModifiedBy>
  <cp:revision>8</cp:revision>
  <cp:lastPrinted>2018-01-16T09:40:00Z</cp:lastPrinted>
  <dcterms:created xsi:type="dcterms:W3CDTF">2018-01-16T09:38:00Z</dcterms:created>
  <dcterms:modified xsi:type="dcterms:W3CDTF">2018-01-22T10:39:00Z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