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EA53F4" w:rsidP="00351267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351267">
              <w:rPr>
                <w:b/>
                <w:bCs/>
                <w:lang w:val="en-GB" w:bidi="ar-SY"/>
              </w:rPr>
              <w:t>848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F3013C" w:rsidP="00F3013C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11</w:t>
            </w:r>
            <w:r>
              <w:rPr>
                <w:rFonts w:hint="cs"/>
                <w:rtl/>
                <w:lang w:val="fr-FR"/>
              </w:rPr>
              <w:t xml:space="preserve"> ديسمبر </w:t>
            </w:r>
            <w:r>
              <w:rPr>
                <w:lang w:val="fr-FR"/>
              </w:rPr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11AE1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311AE1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2C5373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311AE1"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4851F8" w:rsidRPr="001A5E1E">
              <w:rPr>
                <w:b/>
                <w:bCs/>
                <w:rtl/>
              </w:rPr>
              <w:t>انتشار الموجات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E96F8D" w:rsidRDefault="002C5373" w:rsidP="00A4369A">
            <w:pPr>
              <w:tabs>
                <w:tab w:val="clear" w:pos="794"/>
                <w:tab w:val="left" w:pos="386"/>
              </w:tabs>
              <w:spacing w:after="60" w:line="340" w:lineRule="exact"/>
              <w:ind w:left="386" w:hanging="386"/>
              <w:rPr>
                <w:b/>
                <w:bCs/>
                <w:highlight w:val="yellow"/>
                <w:rtl/>
                <w:lang w:bidi="ar-EG"/>
              </w:rPr>
            </w:pPr>
            <w:r w:rsidRPr="005E73A7">
              <w:rPr>
                <w:rFonts w:hint="cs"/>
                <w:rtl/>
                <w:lang w:bidi="ar-EG"/>
              </w:rPr>
              <w:t>-</w:t>
            </w:r>
            <w:r w:rsidRPr="00402917">
              <w:rPr>
                <w:b/>
                <w:bCs/>
                <w:rtl/>
                <w:lang w:bidi="ar-EG"/>
              </w:rPr>
              <w:tab/>
            </w:r>
            <w:r w:rsidRPr="003B6D1A">
              <w:rPr>
                <w:b/>
                <w:bCs/>
                <w:rtl/>
              </w:rPr>
              <w:t>اعتماد مراج</w:t>
            </w:r>
            <w:r w:rsidR="00E13DB8">
              <w:rPr>
                <w:rFonts w:hint="cs"/>
                <w:b/>
                <w:bCs/>
                <w:rtl/>
              </w:rPr>
              <w:t>َ</w:t>
            </w:r>
            <w:r w:rsidRPr="003B6D1A">
              <w:rPr>
                <w:b/>
                <w:bCs/>
                <w:rtl/>
              </w:rPr>
              <w:t xml:space="preserve">عة </w:t>
            </w:r>
            <w:r w:rsidRPr="003B6D1A">
              <w:rPr>
                <w:b/>
                <w:bCs/>
              </w:rPr>
              <w:t>13</w:t>
            </w:r>
            <w:r w:rsidRPr="003B6D1A">
              <w:rPr>
                <w:b/>
                <w:bCs/>
                <w:rtl/>
              </w:rPr>
              <w:t xml:space="preserve"> توصية</w:t>
            </w:r>
            <w:r w:rsidRPr="003B6D1A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  <w:r w:rsidRPr="00402917">
              <w:rPr>
                <w:rFonts w:hint="cs"/>
                <w:b/>
                <w:bCs/>
                <w:rtl/>
                <w:lang w:bidi="ar-EG"/>
              </w:rPr>
              <w:t xml:space="preserve"> والموافقة عليها في</w:t>
            </w:r>
            <w:r w:rsidRPr="0040291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402917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402917">
              <w:rPr>
                <w:b/>
                <w:bCs/>
                <w:lang w:bidi="ar-EG"/>
              </w:rPr>
              <w:t>4.2.6.A2</w:t>
            </w:r>
            <w:r w:rsidRPr="00402917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402917">
              <w:rPr>
                <w:b/>
                <w:bCs/>
                <w:lang w:bidi="ar-EG"/>
              </w:rPr>
              <w:t>ITU</w:t>
            </w:r>
            <w:r w:rsidRPr="00402917">
              <w:rPr>
                <w:b/>
                <w:bCs/>
                <w:lang w:bidi="ar-EG"/>
              </w:rPr>
              <w:noBreakHyphen/>
              <w:t>R 1</w:t>
            </w:r>
            <w:r w:rsidRPr="00402917">
              <w:rPr>
                <w:b/>
                <w:bCs/>
                <w:lang w:bidi="ar-EG"/>
              </w:rPr>
              <w:noBreakHyphen/>
              <w:t>7</w:t>
            </w:r>
            <w:r w:rsidRPr="00402917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40291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402917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:rsidR="005C771D" w:rsidRDefault="005C771D" w:rsidP="002E6B4B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:rsidR="005C771D" w:rsidRDefault="00EA53F4" w:rsidP="00CA306A">
      <w:pPr>
        <w:rPr>
          <w:rtl/>
        </w:rPr>
      </w:pPr>
      <w:r w:rsidRPr="00EA53F4">
        <w:rPr>
          <w:rtl/>
          <w:lang w:bidi="ar-EG"/>
        </w:rPr>
        <w:t xml:space="preserve">تم بموجب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المعممة</w:t>
      </w:r>
      <w:r w:rsidRPr="00EA53F4">
        <w:rPr>
          <w:rtl/>
          <w:lang w:bidi="ar-EG"/>
        </w:rPr>
        <w:t xml:space="preserve"> </w:t>
      </w:r>
      <w:r w:rsidRPr="00EA53F4">
        <w:t>CACE/</w:t>
      </w:r>
      <w:r w:rsidR="002C5373">
        <w:t>834</w:t>
      </w:r>
      <w:r w:rsidRPr="00EA53F4">
        <w:rPr>
          <w:rtl/>
          <w:lang w:bidi="ar-EG"/>
        </w:rPr>
        <w:t xml:space="preserve"> المؤرخة </w:t>
      </w:r>
      <w:r w:rsidR="00CA306A">
        <w:rPr>
          <w:lang w:bidi="ar-EG"/>
        </w:rPr>
        <w:t>2</w:t>
      </w:r>
      <w:r w:rsidRPr="00EA53F4">
        <w:rPr>
          <w:rFonts w:hint="cs"/>
          <w:rtl/>
          <w:lang w:bidi="ar-EG"/>
        </w:rPr>
        <w:t xml:space="preserve"> </w:t>
      </w:r>
      <w:r w:rsidR="00CA306A">
        <w:rPr>
          <w:rFonts w:hint="cs"/>
          <w:rtl/>
          <w:lang w:bidi="ar-EG"/>
        </w:rPr>
        <w:t>أكتوبر</w:t>
      </w:r>
      <w:r w:rsidRPr="00EA53F4">
        <w:rPr>
          <w:rFonts w:hint="cs"/>
          <w:rtl/>
          <w:lang w:bidi="ar-EG"/>
        </w:rPr>
        <w:t xml:space="preserve"> </w:t>
      </w:r>
      <w:r>
        <w:t>201</w:t>
      </w:r>
      <w:r w:rsidR="002C5373">
        <w:t>7</w:t>
      </w:r>
      <w:r w:rsidRPr="00EA53F4">
        <w:rPr>
          <w:rtl/>
          <w:lang w:bidi="ar-EG"/>
        </w:rPr>
        <w:t xml:space="preserve">، تقديم </w:t>
      </w:r>
      <w:r w:rsidRPr="00EA53F4">
        <w:rPr>
          <w:rFonts w:hint="cs"/>
          <w:rtl/>
        </w:rPr>
        <w:t>مشاريع مراجعة</w:t>
      </w:r>
      <w:r w:rsidRPr="00EA53F4">
        <w:rPr>
          <w:rFonts w:hint="eastAsia"/>
          <w:rtl/>
        </w:rPr>
        <w:t> </w:t>
      </w:r>
      <w:r w:rsidR="002C5373">
        <w:t>13</w:t>
      </w:r>
      <w:r w:rsidRPr="00EA53F4">
        <w:rPr>
          <w:rFonts w:hint="cs"/>
          <w:rtl/>
        </w:rPr>
        <w:t xml:space="preserve"> </w:t>
      </w:r>
      <w:r w:rsidR="002C5373">
        <w:rPr>
          <w:rFonts w:hint="cs"/>
          <w:rtl/>
        </w:rPr>
        <w:t>توصية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>لاعتمادها والموافقة عليها في نفس الوقت عن طريق 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المنصوص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7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:rsidR="00EA53F4" w:rsidRDefault="00EA53F4" w:rsidP="00CA306A">
      <w:pPr>
        <w:rPr>
          <w:rtl/>
          <w:lang w:bidi="ar-EG"/>
        </w:rPr>
      </w:pPr>
      <w:r w:rsidRPr="00EA53F4">
        <w:rPr>
          <w:rtl/>
          <w:lang w:bidi="ar-EG"/>
        </w:rPr>
        <w:lastRenderedPageBreak/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تحكم هذا </w:t>
      </w:r>
      <w:r w:rsidRPr="00EA53F4">
        <w:rPr>
          <w:rtl/>
          <w:lang w:bidi="ar-EG"/>
        </w:rPr>
        <w:t xml:space="preserve">الإجراء في </w:t>
      </w:r>
      <w:r w:rsidR="00CA306A">
        <w:rPr>
          <w:lang w:bidi="ar-EG"/>
        </w:rPr>
        <w:t>4</w:t>
      </w:r>
      <w:r w:rsidRPr="00EA53F4">
        <w:rPr>
          <w:rFonts w:hint="cs"/>
          <w:rtl/>
          <w:lang w:bidi="ar-EG"/>
        </w:rPr>
        <w:t xml:space="preserve"> </w:t>
      </w:r>
      <w:r w:rsidR="00CA306A">
        <w:rPr>
          <w:rFonts w:hint="cs"/>
          <w:rtl/>
          <w:lang w:bidi="ar-EG"/>
        </w:rPr>
        <w:t>ديسمبر</w:t>
      </w:r>
      <w:r w:rsidRPr="00EA53F4">
        <w:rPr>
          <w:rFonts w:hint="cs"/>
          <w:rtl/>
          <w:lang w:bidi="ar-EG"/>
        </w:rPr>
        <w:t xml:space="preserve"> </w:t>
      </w:r>
      <w:r>
        <w:t>201</w:t>
      </w:r>
      <w:r w:rsidR="00CA306A">
        <w:t>7</w:t>
      </w:r>
      <w:r w:rsidRPr="00EA53F4">
        <w:rPr>
          <w:rFonts w:hint="cs"/>
          <w:rtl/>
          <w:lang w:bidi="ar-EG"/>
        </w:rPr>
        <w:t>.</w:t>
      </w:r>
    </w:p>
    <w:p w:rsidR="00EA53F4" w:rsidRDefault="00EA53F4" w:rsidP="0046215F">
      <w:pPr>
        <w:pageBreakBefore/>
        <w:rPr>
          <w:rtl/>
        </w:rPr>
      </w:pPr>
      <w:r w:rsidRPr="00EA53F4">
        <w:rPr>
          <w:rtl/>
          <w:lang w:bidi="ar-EG"/>
        </w:rPr>
        <w:lastRenderedPageBreak/>
        <w:t xml:space="preserve">وسينشر الاتحاد </w:t>
      </w:r>
      <w:r w:rsidRPr="00EA53F4">
        <w:rPr>
          <w:rFonts w:hint="cs"/>
          <w:rtl/>
          <w:lang w:bidi="ar-EG"/>
        </w:rPr>
        <w:t xml:space="preserve">التوصيات </w:t>
      </w:r>
      <w:r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ويتضمن الملحق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 w:rsidR="00D95B65">
        <w:rPr>
          <w:rFonts w:hint="cs"/>
          <w:rtl/>
          <w:lang w:bidi="ar-EG"/>
        </w:rPr>
        <w:t>الرسالة 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عناوين هذه التوصيات والأرقام المخصصة</w:t>
      </w:r>
      <w:r w:rsidRPr="00EA53F4">
        <w:rPr>
          <w:rtl/>
          <w:lang w:bidi="ar-EG"/>
        </w:rPr>
        <w:t xml:space="preserve"> لها.</w:t>
      </w:r>
      <w:r w:rsidRPr="00EA53F4">
        <w:rPr>
          <w:rFonts w:hint="cs"/>
          <w:rtl/>
          <w:lang w:bidi="ar-EG"/>
        </w:rPr>
        <w:t xml:space="preserve"> 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EA53F4" w:rsidRDefault="00EA53F4" w:rsidP="00714800">
      <w:pPr>
        <w:spacing w:before="960"/>
        <w:jc w:val="left"/>
        <w:rPr>
          <w:rtl/>
        </w:rPr>
      </w:pPr>
      <w:r w:rsidRPr="00EA53F4">
        <w:rPr>
          <w:b/>
          <w:bCs/>
          <w:rtl/>
          <w:lang w:bidi="ar-EG"/>
        </w:rPr>
        <w:t>الملحق</w:t>
      </w:r>
      <w:r w:rsidRPr="00EA53F4">
        <w:rPr>
          <w:rtl/>
          <w:lang w:bidi="ar-EG"/>
        </w:rPr>
        <w:t xml:space="preserve">: </w:t>
      </w:r>
      <w:r w:rsidR="0046215F">
        <w:t>1</w:t>
      </w:r>
    </w:p>
    <w:p w:rsidR="005C771D" w:rsidRPr="006A1B33" w:rsidRDefault="005C771D" w:rsidP="00C278A3">
      <w:pPr>
        <w:tabs>
          <w:tab w:val="clear" w:pos="794"/>
          <w:tab w:val="left" w:pos="283"/>
        </w:tabs>
        <w:spacing w:before="6660"/>
        <w:jc w:val="left"/>
        <w:rPr>
          <w:sz w:val="16"/>
          <w:szCs w:val="22"/>
          <w:rtl/>
          <w:lang w:bidi="ar-EG"/>
        </w:rPr>
      </w:pPr>
      <w:r w:rsidRPr="006A1B33">
        <w:rPr>
          <w:b/>
          <w:bCs/>
          <w:sz w:val="16"/>
          <w:szCs w:val="22"/>
          <w:rtl/>
          <w:lang w:bidi="ar-EG"/>
        </w:rPr>
        <w:lastRenderedPageBreak/>
        <w:t>التوزيع</w:t>
      </w:r>
      <w:r w:rsidRPr="006A1B33">
        <w:rPr>
          <w:sz w:val="16"/>
          <w:szCs w:val="22"/>
          <w:rtl/>
          <w:lang w:bidi="ar-EG"/>
        </w:rPr>
        <w:t>:</w:t>
      </w:r>
      <w:bookmarkStart w:id="0" w:name="_GoBack"/>
      <w:bookmarkEnd w:id="0"/>
    </w:p>
    <w:p w:rsidR="00EA53F4" w:rsidRPr="006A1B33" w:rsidRDefault="00EA53F4" w:rsidP="0046215F">
      <w:pPr>
        <w:tabs>
          <w:tab w:val="left" w:pos="425"/>
        </w:tabs>
        <w:spacing w:before="60" w:line="168" w:lineRule="auto"/>
        <w:rPr>
          <w:sz w:val="16"/>
          <w:szCs w:val="22"/>
          <w:rtl/>
          <w:lang w:val="fr-CH" w:bidi="ar-EG"/>
        </w:rPr>
      </w:pPr>
      <w:r w:rsidRPr="006A1B33">
        <w:rPr>
          <w:sz w:val="16"/>
          <w:szCs w:val="22"/>
          <w:rtl/>
          <w:lang w:bidi="ar-EG"/>
        </w:rPr>
        <w:t>-</w:t>
      </w:r>
      <w:r w:rsidRPr="006A1B33">
        <w:rPr>
          <w:sz w:val="16"/>
          <w:szCs w:val="22"/>
          <w:rtl/>
          <w:lang w:bidi="ar-EG"/>
        </w:rPr>
        <w:tab/>
        <w:t>إدارات الدول الأعضاء</w:t>
      </w:r>
      <w:r w:rsidRPr="006A1B3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6A1B3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6A1B3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46215F" w:rsidRPr="006A1B33">
        <w:rPr>
          <w:sz w:val="16"/>
          <w:szCs w:val="22"/>
          <w:lang w:val="fr-CH" w:bidi="ar-EG"/>
        </w:rPr>
        <w:t>3</w:t>
      </w:r>
      <w:r w:rsidRPr="006A1B3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EA53F4" w:rsidRPr="006A1B33" w:rsidRDefault="00EA53F4" w:rsidP="0046215F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6A1B33">
        <w:rPr>
          <w:sz w:val="16"/>
          <w:szCs w:val="22"/>
          <w:rtl/>
          <w:lang w:bidi="ar-EG"/>
        </w:rPr>
        <w:t>-</w:t>
      </w:r>
      <w:r w:rsidRPr="006A1B3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46215F" w:rsidRPr="006A1B33">
        <w:rPr>
          <w:sz w:val="16"/>
          <w:szCs w:val="22"/>
          <w:lang w:bidi="ar-EG"/>
        </w:rPr>
        <w:t>3</w:t>
      </w:r>
      <w:r w:rsidRPr="006A1B33">
        <w:rPr>
          <w:sz w:val="16"/>
          <w:szCs w:val="22"/>
          <w:rtl/>
          <w:lang w:bidi="ar-EG"/>
        </w:rPr>
        <w:t xml:space="preserve"> للاتصالات الراديوية</w:t>
      </w:r>
    </w:p>
    <w:p w:rsidR="00EA53F4" w:rsidRPr="006A1B33" w:rsidRDefault="00EA53F4" w:rsidP="00D95B65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6A1B33">
        <w:rPr>
          <w:rFonts w:hint="cs"/>
          <w:sz w:val="16"/>
          <w:szCs w:val="22"/>
          <w:rtl/>
          <w:lang w:bidi="ar-EG"/>
        </w:rPr>
        <w:t>-</w:t>
      </w:r>
      <w:r w:rsidRPr="006A1B33">
        <w:rPr>
          <w:rFonts w:hint="cs"/>
          <w:sz w:val="16"/>
          <w:szCs w:val="22"/>
          <w:rtl/>
          <w:lang w:bidi="ar-EG"/>
        </w:rPr>
        <w:tab/>
      </w:r>
      <w:r w:rsidRPr="006A1B33">
        <w:rPr>
          <w:rFonts w:hint="cs"/>
          <w:sz w:val="16"/>
          <w:szCs w:val="22"/>
          <w:rtl/>
        </w:rPr>
        <w:t xml:space="preserve">الهيئات الأكاديمية المنضمة إلى </w:t>
      </w:r>
      <w:r w:rsidR="00D95B65" w:rsidRPr="006A1B33">
        <w:rPr>
          <w:rFonts w:hint="cs"/>
          <w:sz w:val="16"/>
          <w:szCs w:val="22"/>
          <w:rtl/>
        </w:rPr>
        <w:t>الاتحاد</w:t>
      </w:r>
    </w:p>
    <w:p w:rsidR="00EA53F4" w:rsidRPr="006A1B33" w:rsidRDefault="00EA53F4" w:rsidP="0046215F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6A1B33">
        <w:rPr>
          <w:sz w:val="16"/>
          <w:szCs w:val="22"/>
          <w:rtl/>
          <w:lang w:bidi="ar-EG"/>
        </w:rPr>
        <w:t>-</w:t>
      </w:r>
      <w:r w:rsidRPr="006A1B3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EA53F4" w:rsidRPr="006A1B33" w:rsidRDefault="00EA53F4" w:rsidP="00345067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6A1B33">
        <w:rPr>
          <w:sz w:val="16"/>
          <w:szCs w:val="22"/>
          <w:rtl/>
          <w:lang w:bidi="ar-EG"/>
        </w:rPr>
        <w:t>-</w:t>
      </w:r>
      <w:r w:rsidRPr="006A1B3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EA53F4" w:rsidRPr="006A1B33" w:rsidRDefault="00EA53F4" w:rsidP="00345067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6A1B33">
        <w:rPr>
          <w:sz w:val="16"/>
          <w:szCs w:val="22"/>
          <w:rtl/>
          <w:lang w:bidi="ar-EG"/>
        </w:rPr>
        <w:t>-</w:t>
      </w:r>
      <w:r w:rsidRPr="006A1B33">
        <w:rPr>
          <w:sz w:val="16"/>
          <w:szCs w:val="22"/>
          <w:rtl/>
          <w:lang w:bidi="ar-EG"/>
        </w:rPr>
        <w:tab/>
        <w:t>أعضاء لجنة لوائح الراديو</w:t>
      </w:r>
    </w:p>
    <w:p w:rsidR="00EA53F4" w:rsidRPr="006A1B33" w:rsidRDefault="00EA53F4" w:rsidP="00345067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6A1B33">
        <w:rPr>
          <w:sz w:val="16"/>
          <w:szCs w:val="22"/>
          <w:rtl/>
          <w:lang w:bidi="ar-EG"/>
        </w:rPr>
        <w:t>-</w:t>
      </w:r>
      <w:r w:rsidRPr="006A1B3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EA53F4" w:rsidRPr="00EA53F4" w:rsidRDefault="00BD33AA" w:rsidP="00A4369A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:rsidR="00EA53F4" w:rsidRPr="00EA53F4" w:rsidRDefault="00EA53F4" w:rsidP="00A4369A">
      <w:pPr>
        <w:pStyle w:val="Annextitle"/>
        <w:rPr>
          <w:rtl/>
        </w:rPr>
      </w:pPr>
      <w:r w:rsidRPr="00EA53F4">
        <w:rPr>
          <w:rFonts w:hint="cs"/>
          <w:rtl/>
        </w:rPr>
        <w:t xml:space="preserve">عناوين </w:t>
      </w:r>
      <w:r w:rsidR="00A4369A">
        <w:rPr>
          <w:rFonts w:hint="cs"/>
          <w:rtl/>
        </w:rPr>
        <w:t>توصيات قطاع الاتصالات الراديوية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</w:p>
    <w:p w:rsidR="0084203D" w:rsidRPr="0084203D" w:rsidRDefault="0084203D" w:rsidP="006C137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P.1057-</w:t>
      </w:r>
      <w:r w:rsidR="006C137F">
        <w:rPr>
          <w:u w:val="single"/>
        </w:rPr>
        <w:t>5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3/65</w:t>
      </w:r>
    </w:p>
    <w:p w:rsidR="0084203D" w:rsidRPr="0084203D" w:rsidRDefault="0084203D" w:rsidP="00714800">
      <w:pPr>
        <w:pStyle w:val="Rectitle"/>
        <w:keepNext w:val="0"/>
        <w:keepLines w:val="0"/>
        <w:overflowPunct w:val="0"/>
        <w:autoSpaceDE w:val="0"/>
        <w:autoSpaceDN w:val="0"/>
        <w:adjustRightInd w:val="0"/>
        <w:spacing w:before="360" w:after="120"/>
        <w:textAlignment w:val="baseline"/>
        <w:rPr>
          <w:rtl/>
          <w:lang w:bidi="ar-EG"/>
        </w:rPr>
      </w:pPr>
      <w:r w:rsidRPr="0084203D">
        <w:rPr>
          <w:rtl/>
          <w:lang w:bidi="ar-EG"/>
        </w:rPr>
        <w:t>التوزيعات الاحتمالية المتعلقة بنمذجة</w:t>
      </w:r>
      <w:r w:rsidRPr="0084203D">
        <w:rPr>
          <w:rFonts w:hint="cs"/>
          <w:rtl/>
          <w:lang w:bidi="ar-EG"/>
        </w:rPr>
        <w:t xml:space="preserve"> </w:t>
      </w:r>
      <w:r w:rsidRPr="0084203D">
        <w:rPr>
          <w:rtl/>
          <w:lang w:bidi="ar-EG"/>
        </w:rPr>
        <w:t>انتشار الموجات الراديوية</w:t>
      </w:r>
    </w:p>
    <w:p w:rsidR="0084203D" w:rsidRPr="0084203D" w:rsidRDefault="0084203D" w:rsidP="006C137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P.530-1</w:t>
      </w:r>
      <w:r w:rsidR="006C137F">
        <w:rPr>
          <w:u w:val="single"/>
        </w:rPr>
        <w:t>7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3/67</w:t>
      </w:r>
    </w:p>
    <w:p w:rsidR="006C137F" w:rsidRPr="0084203D" w:rsidRDefault="006C137F" w:rsidP="00714800">
      <w:pPr>
        <w:pStyle w:val="Rectitle"/>
        <w:keepNext w:val="0"/>
        <w:keepLines w:val="0"/>
        <w:overflowPunct w:val="0"/>
        <w:autoSpaceDE w:val="0"/>
        <w:autoSpaceDN w:val="0"/>
        <w:adjustRightInd w:val="0"/>
        <w:spacing w:before="360" w:after="120"/>
        <w:textAlignment w:val="baseline"/>
        <w:rPr>
          <w:rtl/>
        </w:rPr>
      </w:pPr>
      <w:r w:rsidRPr="006C137F">
        <w:rPr>
          <w:rtl/>
        </w:rPr>
        <w:t>بيانات الانتشار وطرائق التنبؤ المطلوبة</w:t>
      </w:r>
      <w:r w:rsidR="006A566A">
        <w:rPr>
          <w:rFonts w:hint="cs"/>
          <w:rtl/>
        </w:rPr>
        <w:t xml:space="preserve"> </w:t>
      </w:r>
      <w:r w:rsidR="00714800">
        <w:br/>
      </w:r>
      <w:r w:rsidRPr="006C137F">
        <w:rPr>
          <w:rtl/>
        </w:rPr>
        <w:t>لتصميم</w:t>
      </w:r>
      <w:r w:rsidRPr="006C137F">
        <w:t xml:space="preserve"> </w:t>
      </w:r>
      <w:r w:rsidRPr="006C137F">
        <w:rPr>
          <w:rtl/>
        </w:rPr>
        <w:t xml:space="preserve">أنظمة </w:t>
      </w:r>
      <w:r w:rsidRPr="006C137F">
        <w:rPr>
          <w:rFonts w:hint="cs"/>
          <w:rtl/>
        </w:rPr>
        <w:t xml:space="preserve">راديوية </w:t>
      </w:r>
      <w:r w:rsidRPr="006C137F">
        <w:rPr>
          <w:rtl/>
        </w:rPr>
        <w:t>للأرض</w:t>
      </w:r>
      <w:r w:rsidR="00714800">
        <w:rPr>
          <w:rFonts w:hint="cs"/>
          <w:rtl/>
          <w:lang w:bidi="ar-EG"/>
        </w:rPr>
        <w:t xml:space="preserve"> </w:t>
      </w:r>
      <w:r w:rsidRPr="006C137F">
        <w:rPr>
          <w:rtl/>
        </w:rPr>
        <w:t>في خط البصر</w:t>
      </w:r>
    </w:p>
    <w:p w:rsidR="0084203D" w:rsidRPr="0084203D" w:rsidRDefault="0084203D" w:rsidP="006A566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P.834-</w:t>
      </w:r>
      <w:r w:rsidR="006A566A">
        <w:rPr>
          <w:u w:val="single"/>
        </w:rPr>
        <w:t>9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3/69</w:t>
      </w:r>
    </w:p>
    <w:p w:rsidR="0084203D" w:rsidRPr="0084203D" w:rsidRDefault="0084203D" w:rsidP="00714800">
      <w:pPr>
        <w:pStyle w:val="Rectitle"/>
        <w:keepNext w:val="0"/>
        <w:keepLines w:val="0"/>
        <w:overflowPunct w:val="0"/>
        <w:autoSpaceDE w:val="0"/>
        <w:autoSpaceDN w:val="0"/>
        <w:adjustRightInd w:val="0"/>
        <w:spacing w:before="360" w:after="120"/>
        <w:textAlignment w:val="baseline"/>
        <w:rPr>
          <w:rtl/>
          <w:lang w:bidi="ar-EG"/>
        </w:rPr>
      </w:pPr>
      <w:r w:rsidRPr="0084203D">
        <w:rPr>
          <w:rFonts w:hint="cs"/>
          <w:rtl/>
        </w:rPr>
        <w:lastRenderedPageBreak/>
        <w:t>آثار الانكسار التروبوسفيري على انتشار الموجات الراديوية</w:t>
      </w:r>
    </w:p>
    <w:p w:rsidR="0084203D" w:rsidRPr="0084203D" w:rsidRDefault="0084203D" w:rsidP="006A566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P.453-1</w:t>
      </w:r>
      <w:r w:rsidR="006A566A">
        <w:rPr>
          <w:u w:val="single"/>
        </w:rPr>
        <w:t>3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3/70</w:t>
      </w:r>
    </w:p>
    <w:p w:rsidR="0084203D" w:rsidRPr="0084203D" w:rsidRDefault="0084203D" w:rsidP="00714800">
      <w:pPr>
        <w:pStyle w:val="Rectitle"/>
        <w:keepNext w:val="0"/>
        <w:keepLines w:val="0"/>
        <w:overflowPunct w:val="0"/>
        <w:autoSpaceDE w:val="0"/>
        <w:autoSpaceDN w:val="0"/>
        <w:adjustRightInd w:val="0"/>
        <w:spacing w:before="360" w:after="120"/>
        <w:textAlignment w:val="baseline"/>
        <w:rPr>
          <w:rtl/>
          <w:lang w:bidi="ar-EG"/>
        </w:rPr>
      </w:pPr>
      <w:r w:rsidRPr="0084203D">
        <w:rPr>
          <w:rtl/>
        </w:rPr>
        <w:t>دليل الانكسار الراديوي:</w:t>
      </w:r>
      <w:r w:rsidRPr="0084203D">
        <w:rPr>
          <w:rFonts w:hint="cs"/>
          <w:rtl/>
        </w:rPr>
        <w:t xml:space="preserve"> معادلاته وبيانات</w:t>
      </w:r>
      <w:r w:rsidRPr="0084203D">
        <w:rPr>
          <w:rtl/>
        </w:rPr>
        <w:t xml:space="preserve"> الانكسارية</w:t>
      </w:r>
    </w:p>
    <w:p w:rsidR="0084203D" w:rsidRPr="0084203D" w:rsidRDefault="0084203D" w:rsidP="006A566A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P.836-</w:t>
      </w:r>
      <w:r w:rsidR="006A566A">
        <w:rPr>
          <w:u w:val="single"/>
        </w:rPr>
        <w:t>6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3/73(Rev.1)</w:t>
      </w:r>
    </w:p>
    <w:p w:rsidR="0084203D" w:rsidRPr="0084203D" w:rsidRDefault="0084203D" w:rsidP="00714800">
      <w:pPr>
        <w:pStyle w:val="Rectitle"/>
        <w:keepNext w:val="0"/>
        <w:keepLines w:val="0"/>
        <w:overflowPunct w:val="0"/>
        <w:autoSpaceDE w:val="0"/>
        <w:autoSpaceDN w:val="0"/>
        <w:adjustRightInd w:val="0"/>
        <w:spacing w:before="360" w:after="120"/>
        <w:textAlignment w:val="baseline"/>
        <w:rPr>
          <w:rtl/>
          <w:lang w:bidi="ar-EG"/>
        </w:rPr>
      </w:pPr>
      <w:r w:rsidRPr="0084203D">
        <w:rPr>
          <w:rFonts w:hint="cs"/>
          <w:rtl/>
        </w:rPr>
        <w:t xml:space="preserve">بخار الماء: الكثافة عند سطح الأرض والمحتوى الإجمالي </w:t>
      </w:r>
      <w:r w:rsidR="00A4369A">
        <w:rPr>
          <w:rFonts w:hint="cs"/>
          <w:rtl/>
        </w:rPr>
        <w:t>العمودي</w:t>
      </w:r>
    </w:p>
    <w:p w:rsidR="0084203D" w:rsidRPr="0084203D" w:rsidRDefault="0084203D" w:rsidP="006A566A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P.840-</w:t>
      </w:r>
      <w:r w:rsidR="006A566A">
        <w:rPr>
          <w:u w:val="single"/>
        </w:rPr>
        <w:t>7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3/76(Rev.1)</w:t>
      </w:r>
    </w:p>
    <w:p w:rsidR="0084203D" w:rsidRPr="0084203D" w:rsidRDefault="0084203D" w:rsidP="00714800">
      <w:pPr>
        <w:pStyle w:val="Rectitle"/>
        <w:keepNext w:val="0"/>
        <w:keepLines w:val="0"/>
        <w:overflowPunct w:val="0"/>
        <w:autoSpaceDE w:val="0"/>
        <w:autoSpaceDN w:val="0"/>
        <w:adjustRightInd w:val="0"/>
        <w:spacing w:before="360" w:after="120"/>
        <w:textAlignment w:val="baseline"/>
        <w:rPr>
          <w:rtl/>
          <w:lang w:bidi="ar-EG"/>
        </w:rPr>
      </w:pPr>
      <w:r w:rsidRPr="0084203D">
        <w:rPr>
          <w:rFonts w:hint="cs"/>
          <w:rtl/>
          <w:lang w:bidi="ar-EG"/>
        </w:rPr>
        <w:t>التوهين الناجم عن السحب والضباب</w:t>
      </w:r>
    </w:p>
    <w:p w:rsidR="0084203D" w:rsidRPr="0084203D" w:rsidRDefault="0084203D" w:rsidP="005A589E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lastRenderedPageBreak/>
        <w:t xml:space="preserve">التوصية </w:t>
      </w:r>
      <w:r w:rsidRPr="0084203D">
        <w:rPr>
          <w:u w:val="single"/>
        </w:rPr>
        <w:t>ITU-R P.835-</w:t>
      </w:r>
      <w:r w:rsidR="005A589E">
        <w:rPr>
          <w:u w:val="single"/>
        </w:rPr>
        <w:t>6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3/77(Rev.1)</w:t>
      </w:r>
    </w:p>
    <w:p w:rsidR="0084203D" w:rsidRPr="0084203D" w:rsidRDefault="0084203D" w:rsidP="00714800">
      <w:pPr>
        <w:pStyle w:val="Rectitle"/>
        <w:keepNext w:val="0"/>
        <w:keepLines w:val="0"/>
        <w:overflowPunct w:val="0"/>
        <w:autoSpaceDE w:val="0"/>
        <w:autoSpaceDN w:val="0"/>
        <w:adjustRightInd w:val="0"/>
        <w:spacing w:before="360" w:after="120"/>
        <w:textAlignment w:val="baseline"/>
        <w:rPr>
          <w:rtl/>
          <w:lang w:bidi="ar-EG"/>
        </w:rPr>
      </w:pPr>
      <w:r w:rsidRPr="0084203D">
        <w:rPr>
          <w:rFonts w:hint="cs"/>
          <w:rtl/>
          <w:lang w:bidi="ar-EG"/>
        </w:rPr>
        <w:t>الأجواء المعيارية المرجعية</w:t>
      </w:r>
    </w:p>
    <w:p w:rsidR="0084203D" w:rsidRPr="0084203D" w:rsidRDefault="0084203D" w:rsidP="00714800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P.617-</w:t>
      </w:r>
      <w:r w:rsidR="005A589E">
        <w:rPr>
          <w:u w:val="single"/>
        </w:rPr>
        <w:t>4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3/80(Rev.1)</w:t>
      </w:r>
    </w:p>
    <w:p w:rsidR="0084203D" w:rsidRPr="0084203D" w:rsidRDefault="0084203D" w:rsidP="00714800">
      <w:pPr>
        <w:pStyle w:val="Rectitle"/>
        <w:rPr>
          <w:rtl/>
          <w:lang w:bidi="ar-EG"/>
        </w:rPr>
      </w:pPr>
      <w:r w:rsidRPr="0084203D">
        <w:rPr>
          <w:rFonts w:hint="cs"/>
          <w:rtl/>
          <w:lang w:bidi="ar-EG"/>
        </w:rPr>
        <w:t>تقنيات التنبؤ بالانتشار والبيانات المطلوبة</w:t>
      </w:r>
      <w:r w:rsidRPr="0084203D">
        <w:rPr>
          <w:rtl/>
          <w:lang w:bidi="ar-EG"/>
        </w:rPr>
        <w:br/>
      </w:r>
      <w:r w:rsidRPr="0084203D">
        <w:rPr>
          <w:rFonts w:hint="cs"/>
          <w:rtl/>
          <w:lang w:bidi="ar-EG"/>
        </w:rPr>
        <w:t>من أجل تصميم أنظمة الترحيل الراديوي العابرة للأفق</w:t>
      </w:r>
    </w:p>
    <w:p w:rsidR="0084203D" w:rsidRPr="0084203D" w:rsidRDefault="0084203D" w:rsidP="0071480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P.618-1</w:t>
      </w:r>
      <w:r w:rsidR="005A589E">
        <w:rPr>
          <w:u w:val="single"/>
        </w:rPr>
        <w:t>3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3/81</w:t>
      </w:r>
    </w:p>
    <w:p w:rsidR="0084203D" w:rsidRPr="0084203D" w:rsidRDefault="0084203D" w:rsidP="00714800">
      <w:pPr>
        <w:pStyle w:val="Rectitle"/>
        <w:rPr>
          <w:rtl/>
          <w:lang w:bidi="ar-EG"/>
        </w:rPr>
      </w:pPr>
      <w:r w:rsidRPr="0084203D">
        <w:rPr>
          <w:rFonts w:hint="cs"/>
          <w:rtl/>
        </w:rPr>
        <w:t>بيانات الانتشار وطرائق التنبؤ المطلوبة</w:t>
      </w:r>
      <w:r w:rsidRPr="0084203D">
        <w:rPr>
          <w:rtl/>
        </w:rPr>
        <w:br/>
      </w:r>
      <w:r w:rsidRPr="0084203D">
        <w:rPr>
          <w:rFonts w:hint="cs"/>
          <w:rtl/>
        </w:rPr>
        <w:t>لتصميم أنظمة الاتصالات أرض-فضاء</w:t>
      </w:r>
    </w:p>
    <w:p w:rsidR="0084203D" w:rsidRPr="0084203D" w:rsidRDefault="0084203D" w:rsidP="0071480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P.681-</w:t>
      </w:r>
      <w:r w:rsidR="005A589E">
        <w:rPr>
          <w:u w:val="single"/>
        </w:rPr>
        <w:t>10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3/82</w:t>
      </w:r>
    </w:p>
    <w:p w:rsidR="0084203D" w:rsidRPr="0084203D" w:rsidRDefault="0084203D" w:rsidP="00714800">
      <w:pPr>
        <w:pStyle w:val="Rectitle"/>
        <w:rPr>
          <w:rtl/>
          <w:lang w:bidi="ar-EG"/>
        </w:rPr>
      </w:pPr>
      <w:r w:rsidRPr="0084203D">
        <w:rPr>
          <w:rtl/>
        </w:rPr>
        <w:lastRenderedPageBreak/>
        <w:t>بيانات الانتشار المطلوبة</w:t>
      </w:r>
      <w:r w:rsidRPr="0084203D">
        <w:rPr>
          <w:rtl/>
        </w:rPr>
        <w:br/>
        <w:t>لتصميم أنظمة الاتصالات البرية المتنقلة أرض-فضاء</w:t>
      </w:r>
    </w:p>
    <w:p w:rsidR="0084203D" w:rsidRPr="0084203D" w:rsidRDefault="0084203D" w:rsidP="0071480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P.619-</w:t>
      </w:r>
      <w:r w:rsidR="005A589E">
        <w:rPr>
          <w:u w:val="single"/>
        </w:rPr>
        <w:t>3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3/84(Rev.</w:t>
      </w:r>
      <w:r w:rsidR="00714800">
        <w:rPr>
          <w:lang w:bidi="ar-EG"/>
        </w:rPr>
        <w:t>2</w:t>
      </w:r>
      <w:r w:rsidRPr="0084203D">
        <w:rPr>
          <w:lang w:bidi="ar-EG"/>
        </w:rPr>
        <w:t>)</w:t>
      </w:r>
    </w:p>
    <w:p w:rsidR="0084203D" w:rsidRPr="0084203D" w:rsidRDefault="0084203D" w:rsidP="00714800">
      <w:pPr>
        <w:pStyle w:val="Rectitle"/>
        <w:rPr>
          <w:rtl/>
          <w:lang w:bidi="ar-EG"/>
        </w:rPr>
      </w:pPr>
      <w:r w:rsidRPr="0084203D">
        <w:rPr>
          <w:rtl/>
        </w:rPr>
        <w:t>بيانات الانتشار المطلوبة لتقييم التداخل بين محطات</w:t>
      </w:r>
      <w:r w:rsidRPr="0084203D">
        <w:rPr>
          <w:rFonts w:hint="cs"/>
          <w:rtl/>
        </w:rPr>
        <w:t xml:space="preserve"> </w:t>
      </w:r>
      <w:r w:rsidRPr="0084203D">
        <w:rPr>
          <w:rtl/>
        </w:rPr>
        <w:t>في الفضاء</w:t>
      </w:r>
      <w:r w:rsidRPr="0084203D">
        <w:rPr>
          <w:rtl/>
        </w:rPr>
        <w:br/>
        <w:t>ومحطات على سطح الأرض</w:t>
      </w:r>
    </w:p>
    <w:p w:rsidR="0084203D" w:rsidRPr="0084203D" w:rsidRDefault="0084203D" w:rsidP="0071480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P.1144-</w:t>
      </w:r>
      <w:r w:rsidR="005A589E">
        <w:rPr>
          <w:u w:val="single"/>
        </w:rPr>
        <w:t>9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3/85(Rev.1)</w:t>
      </w:r>
    </w:p>
    <w:p w:rsidR="0084203D" w:rsidRPr="0084203D" w:rsidRDefault="0084203D" w:rsidP="00714800">
      <w:pPr>
        <w:pStyle w:val="Rectitle"/>
        <w:rPr>
          <w:rtl/>
          <w:lang w:bidi="ar-EG"/>
        </w:rPr>
      </w:pPr>
      <w:r w:rsidRPr="0084203D">
        <w:rPr>
          <w:rFonts w:hint="cs"/>
          <w:rtl/>
          <w:lang w:bidi="ar-EG"/>
        </w:rPr>
        <w:t>دليل تطبيق أساليب الانتشار للجنة الدراسات</w:t>
      </w:r>
      <w:r w:rsidRPr="0084203D">
        <w:rPr>
          <w:rFonts w:hint="eastAsia"/>
          <w:rtl/>
          <w:lang w:bidi="ar-EG"/>
        </w:rPr>
        <w:t> </w:t>
      </w:r>
      <w:r w:rsidRPr="0084203D">
        <w:t>3</w:t>
      </w:r>
      <w:r w:rsidRPr="0084203D">
        <w:rPr>
          <w:rFonts w:hint="cs"/>
          <w:rtl/>
          <w:lang w:bidi="ar-EG"/>
        </w:rPr>
        <w:t xml:space="preserve"> للاتصالات الراديوية</w:t>
      </w:r>
    </w:p>
    <w:p w:rsidR="0084203D" w:rsidRPr="0084203D" w:rsidRDefault="0084203D" w:rsidP="0071480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4203D">
        <w:rPr>
          <w:rFonts w:hint="cs"/>
          <w:u w:val="single"/>
          <w:rtl/>
        </w:rPr>
        <w:t xml:space="preserve">التوصية </w:t>
      </w:r>
      <w:r w:rsidRPr="0084203D">
        <w:rPr>
          <w:u w:val="single"/>
        </w:rPr>
        <w:t>ITU-R P.311-1</w:t>
      </w:r>
      <w:r w:rsidR="005A589E">
        <w:rPr>
          <w:u w:val="single"/>
        </w:rPr>
        <w:t>7</w:t>
      </w:r>
      <w:r w:rsidRPr="0084203D">
        <w:rPr>
          <w:rtl/>
          <w:lang w:bidi="ar-EG"/>
        </w:rPr>
        <w:tab/>
      </w:r>
      <w:r w:rsidRPr="0084203D">
        <w:rPr>
          <w:rFonts w:hint="cs"/>
          <w:rtl/>
          <w:lang w:bidi="ar-EG"/>
        </w:rPr>
        <w:t xml:space="preserve">الوثيقة </w:t>
      </w:r>
      <w:r w:rsidRPr="0084203D">
        <w:rPr>
          <w:lang w:bidi="ar-EG"/>
        </w:rPr>
        <w:t>3/86(Rev.1)</w:t>
      </w:r>
    </w:p>
    <w:p w:rsidR="0084203D" w:rsidRPr="0084203D" w:rsidRDefault="0084203D" w:rsidP="00714800">
      <w:pPr>
        <w:pStyle w:val="Rectitle"/>
        <w:rPr>
          <w:rtl/>
          <w:lang w:bidi="ar-EG"/>
        </w:rPr>
      </w:pPr>
      <w:r w:rsidRPr="0084203D">
        <w:rPr>
          <w:rtl/>
          <w:lang w:bidi="ar-EG"/>
        </w:rPr>
        <w:lastRenderedPageBreak/>
        <w:t xml:space="preserve">حيازة </w:t>
      </w:r>
      <w:r w:rsidRPr="0084203D">
        <w:rPr>
          <w:rFonts w:hint="cs"/>
          <w:rtl/>
          <w:lang w:bidi="ar-EG"/>
        </w:rPr>
        <w:t>البيانات</w:t>
      </w:r>
      <w:r w:rsidRPr="0084203D">
        <w:rPr>
          <w:rtl/>
          <w:lang w:bidi="ar-EG"/>
        </w:rPr>
        <w:t xml:space="preserve"> في الدراسات</w:t>
      </w:r>
      <w:r w:rsidRPr="0084203D">
        <w:rPr>
          <w:rFonts w:hint="cs"/>
          <w:rtl/>
          <w:lang w:bidi="ar-EG"/>
        </w:rPr>
        <w:t xml:space="preserve"> </w:t>
      </w:r>
      <w:r w:rsidRPr="0084203D">
        <w:rPr>
          <w:rtl/>
          <w:lang w:bidi="ar-EG"/>
        </w:rPr>
        <w:t>المتعلقة</w:t>
      </w:r>
      <w:r w:rsidRPr="0084203D">
        <w:rPr>
          <w:rtl/>
          <w:lang w:bidi="ar-EG"/>
        </w:rPr>
        <w:br/>
        <w:t>بانتشار الموجات</w:t>
      </w:r>
      <w:r w:rsidRPr="0084203D">
        <w:rPr>
          <w:rFonts w:hint="cs"/>
          <w:rtl/>
          <w:lang w:bidi="ar-EG"/>
        </w:rPr>
        <w:t xml:space="preserve"> الراديوية </w:t>
      </w:r>
      <w:r w:rsidRPr="0084203D">
        <w:rPr>
          <w:rtl/>
          <w:lang w:bidi="ar-EG"/>
        </w:rPr>
        <w:t>وتقديمها وتحليلها</w:t>
      </w:r>
    </w:p>
    <w:p w:rsidR="005C771D" w:rsidRPr="008D3F8E" w:rsidRDefault="0084203D" w:rsidP="0084203D">
      <w:pPr>
        <w:spacing w:before="600"/>
        <w:jc w:val="center"/>
        <w:rPr>
          <w:rtl/>
        </w:rPr>
      </w:pPr>
      <w:r w:rsidRPr="0084203D">
        <w:rPr>
          <w:rtl/>
          <w:lang w:bidi="ar-EG"/>
        </w:rPr>
        <w:t>___________</w:t>
      </w:r>
      <w:r w:rsidR="00017F30">
        <w:rPr>
          <w:rtl/>
        </w:rPr>
        <w:t>__</w:t>
      </w:r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5B" w:rsidRDefault="000D375B" w:rsidP="00F36590">
      <w:pPr>
        <w:spacing w:before="0" w:line="240" w:lineRule="auto"/>
      </w:pPr>
      <w:r>
        <w:separator/>
      </w:r>
    </w:p>
  </w:endnote>
  <w:end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4C4E77" w:rsidRDefault="004C4E77" w:rsidP="006A1B33">
    <w:pPr>
      <w:pStyle w:val="FirstFooter"/>
      <w:spacing w:line="240" w:lineRule="auto"/>
      <w:ind w:left="-397" w:right="-397"/>
      <w:jc w:val="center"/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  <w:r w:rsidR="006A1B33">
      <w:rPr>
        <w:sz w:val="18"/>
        <w:szCs w:val="18"/>
        <w:rtl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5B" w:rsidRDefault="000D375B" w:rsidP="00F36590">
      <w:pPr>
        <w:spacing w:before="0" w:line="240" w:lineRule="auto"/>
      </w:pPr>
      <w:r>
        <w:separator/>
      </w:r>
    </w:p>
  </w:footnote>
  <w:foot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F21262">
      <w:rPr>
        <w:rFonts w:cs="Calibri"/>
        <w:noProof/>
        <w:sz w:val="20"/>
        <w:szCs w:val="20"/>
        <w:lang w:val="en-GB"/>
      </w:rPr>
      <w:t>4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351267" w:rsidP="00083A9A">
          <w:pPr>
            <w:pStyle w:val="Header"/>
            <w:jc w:val="right"/>
            <w:rPr>
              <w:rtl/>
              <w:lang w:val="en-GB"/>
            </w:rPr>
          </w:pPr>
          <w:r w:rsidRPr="00A03501">
            <w:rPr>
              <w:noProof/>
              <w:lang w:val="en-GB"/>
            </w:rPr>
            <w:drawing>
              <wp:inline distT="0" distB="0" distL="0" distR="0" wp14:anchorId="054C0DFC" wp14:editId="51C1326B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B"/>
    <w:rsid w:val="00017F30"/>
    <w:rsid w:val="00083A9A"/>
    <w:rsid w:val="00090574"/>
    <w:rsid w:val="000B17A4"/>
    <w:rsid w:val="000B73F4"/>
    <w:rsid w:val="000D375B"/>
    <w:rsid w:val="000E4C54"/>
    <w:rsid w:val="001823F4"/>
    <w:rsid w:val="00185E59"/>
    <w:rsid w:val="00190E2F"/>
    <w:rsid w:val="001D1D7B"/>
    <w:rsid w:val="0023283D"/>
    <w:rsid w:val="00241274"/>
    <w:rsid w:val="002978F4"/>
    <w:rsid w:val="002B028D"/>
    <w:rsid w:val="002C5373"/>
    <w:rsid w:val="002E6541"/>
    <w:rsid w:val="002E6B4B"/>
    <w:rsid w:val="00311AE1"/>
    <w:rsid w:val="00335CE7"/>
    <w:rsid w:val="003403A3"/>
    <w:rsid w:val="00341FFF"/>
    <w:rsid w:val="00345067"/>
    <w:rsid w:val="00351267"/>
    <w:rsid w:val="003557F8"/>
    <w:rsid w:val="00357185"/>
    <w:rsid w:val="003B65BD"/>
    <w:rsid w:val="003C27E2"/>
    <w:rsid w:val="003D23A8"/>
    <w:rsid w:val="0040525C"/>
    <w:rsid w:val="0042686F"/>
    <w:rsid w:val="00426FFF"/>
    <w:rsid w:val="00443869"/>
    <w:rsid w:val="0046215F"/>
    <w:rsid w:val="004851F8"/>
    <w:rsid w:val="00485E78"/>
    <w:rsid w:val="004B2ED5"/>
    <w:rsid w:val="004B4D79"/>
    <w:rsid w:val="004C4E77"/>
    <w:rsid w:val="004C6CD2"/>
    <w:rsid w:val="004D3EAF"/>
    <w:rsid w:val="004D704B"/>
    <w:rsid w:val="0055516A"/>
    <w:rsid w:val="005A589E"/>
    <w:rsid w:val="005C771D"/>
    <w:rsid w:val="005F4897"/>
    <w:rsid w:val="006A1B33"/>
    <w:rsid w:val="006A566A"/>
    <w:rsid w:val="006C137F"/>
    <w:rsid w:val="006E1CFD"/>
    <w:rsid w:val="006F63F7"/>
    <w:rsid w:val="00706D7A"/>
    <w:rsid w:val="007125D6"/>
    <w:rsid w:val="00714800"/>
    <w:rsid w:val="00714C7B"/>
    <w:rsid w:val="00733D09"/>
    <w:rsid w:val="0075515A"/>
    <w:rsid w:val="00764F5F"/>
    <w:rsid w:val="007C22C8"/>
    <w:rsid w:val="007D2CB4"/>
    <w:rsid w:val="007E6E52"/>
    <w:rsid w:val="008235CD"/>
    <w:rsid w:val="0084203D"/>
    <w:rsid w:val="008513CB"/>
    <w:rsid w:val="00902F7B"/>
    <w:rsid w:val="00951EBA"/>
    <w:rsid w:val="00982B28"/>
    <w:rsid w:val="009F6A6D"/>
    <w:rsid w:val="00A0706D"/>
    <w:rsid w:val="00A4369A"/>
    <w:rsid w:val="00A97F94"/>
    <w:rsid w:val="00AB7CE2"/>
    <w:rsid w:val="00B11105"/>
    <w:rsid w:val="00B445FD"/>
    <w:rsid w:val="00B5527F"/>
    <w:rsid w:val="00BD33AA"/>
    <w:rsid w:val="00C0402D"/>
    <w:rsid w:val="00C278A3"/>
    <w:rsid w:val="00C674FE"/>
    <w:rsid w:val="00C75633"/>
    <w:rsid w:val="00CA306A"/>
    <w:rsid w:val="00CB3E2E"/>
    <w:rsid w:val="00CE2EE1"/>
    <w:rsid w:val="00CE68AF"/>
    <w:rsid w:val="00CF3FFD"/>
    <w:rsid w:val="00D42765"/>
    <w:rsid w:val="00D77D0F"/>
    <w:rsid w:val="00D95B65"/>
    <w:rsid w:val="00DA1CF0"/>
    <w:rsid w:val="00DC24B4"/>
    <w:rsid w:val="00DF16DC"/>
    <w:rsid w:val="00DF20E7"/>
    <w:rsid w:val="00E02604"/>
    <w:rsid w:val="00E13DB8"/>
    <w:rsid w:val="00E258C7"/>
    <w:rsid w:val="00E3407A"/>
    <w:rsid w:val="00E45211"/>
    <w:rsid w:val="00E64F8E"/>
    <w:rsid w:val="00E96F8D"/>
    <w:rsid w:val="00EA53F4"/>
    <w:rsid w:val="00F21262"/>
    <w:rsid w:val="00F3013C"/>
    <w:rsid w:val="00F36590"/>
    <w:rsid w:val="00F84366"/>
    <w:rsid w:val="00F85089"/>
    <w:rsid w:val="00F8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7B95E1C-34C8-4200-9C40-9069413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D3EA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numlev30">
    <w:name w:val="enumlev3"/>
    <w:basedOn w:val="Normal"/>
    <w:rsid w:val="004C4E7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80" w:lineRule="exact"/>
      <w:ind w:left="1588" w:hanging="397"/>
      <w:textAlignment w:val="baseline"/>
    </w:pPr>
    <w:rPr>
      <w:rFonts w:eastAsia="Times New Roman" w:cs="Calibri"/>
      <w:sz w:val="24"/>
      <w:szCs w:val="22"/>
      <w:lang w:eastAsia="en-US"/>
    </w:rPr>
  </w:style>
  <w:style w:type="paragraph" w:customStyle="1" w:styleId="FirstFooter">
    <w:name w:val="FirstFooter"/>
    <w:basedOn w:val="Normal"/>
    <w:rsid w:val="004C4E7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6FD3-7107-453E-B469-4AC944EE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3</cp:revision>
  <dcterms:created xsi:type="dcterms:W3CDTF">2017-12-06T08:11:00Z</dcterms:created>
  <dcterms:modified xsi:type="dcterms:W3CDTF">2017-12-06T08:11:00Z</dcterms:modified>
</cp:coreProperties>
</file>