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B17625" w:rsidRPr="007B3DB1" w:rsidTr="005B3159">
        <w:trPr>
          <w:jc w:val="center"/>
        </w:trPr>
        <w:tc>
          <w:tcPr>
            <w:tcW w:w="9889" w:type="dxa"/>
            <w:gridSpan w:val="3"/>
            <w:shd w:val="clear" w:color="auto" w:fill="auto"/>
          </w:tcPr>
          <w:p w:rsidR="00B17625" w:rsidRPr="009C6A12" w:rsidRDefault="00B17625" w:rsidP="00433E46">
            <w:pPr>
              <w:spacing w:beforeLines="50"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B17625" w:rsidRDefault="00B17625" w:rsidP="005B3159">
            <w:pPr>
              <w:spacing w:before="0"/>
              <w:jc w:val="left"/>
              <w:rPr>
                <w:rFonts w:cstheme="minorHAnsi"/>
                <w:b/>
                <w:bCs/>
                <w:color w:val="808080"/>
                <w:sz w:val="28"/>
                <w:szCs w:val="28"/>
                <w:lang w:val="en-GB"/>
              </w:rPr>
            </w:pPr>
          </w:p>
          <w:p w:rsidR="00B17625" w:rsidRPr="00AF70DA" w:rsidRDefault="00B17625" w:rsidP="005B3159">
            <w:pPr>
              <w:spacing w:before="0"/>
              <w:jc w:val="left"/>
              <w:rPr>
                <w:rFonts w:cs="Times New Roman Bold"/>
                <w:b/>
                <w:bCs/>
                <w:color w:val="808080"/>
                <w:sz w:val="28"/>
                <w:szCs w:val="28"/>
                <w:lang w:val="en-GB"/>
              </w:rPr>
            </w:pPr>
          </w:p>
        </w:tc>
      </w:tr>
      <w:tr w:rsidR="00B17625" w:rsidRPr="00334544" w:rsidTr="005B3159">
        <w:trPr>
          <w:jc w:val="center"/>
        </w:trPr>
        <w:tc>
          <w:tcPr>
            <w:tcW w:w="7054" w:type="dxa"/>
            <w:gridSpan w:val="2"/>
            <w:shd w:val="clear" w:color="auto" w:fill="auto"/>
          </w:tcPr>
          <w:p w:rsidR="00B17625" w:rsidRPr="00334544" w:rsidRDefault="00B17625" w:rsidP="005B3159">
            <w:pPr>
              <w:spacing w:before="0"/>
              <w:jc w:val="left"/>
              <w:rPr>
                <w:szCs w:val="24"/>
                <w:lang w:val="fr-CH"/>
              </w:rPr>
            </w:pPr>
            <w:r w:rsidRPr="00334544">
              <w:rPr>
                <w:rFonts w:ascii="SimSun" w:hAnsi="SimSun" w:hint="eastAsia"/>
                <w:szCs w:val="24"/>
                <w:lang w:eastAsia="zh-CN"/>
              </w:rPr>
              <w:t>行政通函</w:t>
            </w:r>
          </w:p>
          <w:p w:rsidR="00B17625" w:rsidRPr="00334544" w:rsidRDefault="00B17625" w:rsidP="00C80789">
            <w:pPr>
              <w:spacing w:before="0"/>
              <w:jc w:val="left"/>
              <w:rPr>
                <w:b/>
                <w:bCs/>
                <w:szCs w:val="24"/>
                <w:lang w:val="fr-CH"/>
              </w:rPr>
            </w:pPr>
            <w:proofErr w:type="spellStart"/>
            <w:r w:rsidRPr="00AD029D">
              <w:rPr>
                <w:b/>
                <w:bCs/>
                <w:szCs w:val="24"/>
                <w:lang w:val="fr-CH"/>
              </w:rPr>
              <w:t>CACE</w:t>
            </w:r>
            <w:proofErr w:type="spellEnd"/>
            <w:r w:rsidRPr="00AD029D">
              <w:rPr>
                <w:b/>
                <w:bCs/>
                <w:szCs w:val="24"/>
                <w:lang w:val="fr-CH"/>
              </w:rPr>
              <w:t>/</w:t>
            </w:r>
            <w:r>
              <w:rPr>
                <w:b/>
                <w:bCs/>
                <w:szCs w:val="24"/>
                <w:lang w:val="fr-CH"/>
              </w:rPr>
              <w:t>8</w:t>
            </w:r>
            <w:r w:rsidR="00C80789">
              <w:rPr>
                <w:b/>
                <w:bCs/>
                <w:szCs w:val="24"/>
                <w:lang w:val="fr-CH"/>
              </w:rPr>
              <w:t>47</w:t>
            </w:r>
          </w:p>
        </w:tc>
        <w:tc>
          <w:tcPr>
            <w:tcW w:w="2835" w:type="dxa"/>
            <w:shd w:val="clear" w:color="auto" w:fill="auto"/>
          </w:tcPr>
          <w:p w:rsidR="00B17625" w:rsidRPr="00334544" w:rsidRDefault="00B17625" w:rsidP="009C0CF0">
            <w:pPr>
              <w:spacing w:before="0"/>
              <w:jc w:val="right"/>
              <w:rPr>
                <w:szCs w:val="24"/>
                <w:lang w:val="en-GB"/>
              </w:rPr>
            </w:pPr>
            <w:r>
              <w:rPr>
                <w:rFonts w:hint="eastAsia"/>
                <w:szCs w:val="24"/>
                <w:lang w:eastAsia="zh-CN"/>
              </w:rPr>
              <w:t>2</w:t>
            </w:r>
            <w:r>
              <w:rPr>
                <w:szCs w:val="24"/>
                <w:lang w:eastAsia="zh-CN"/>
              </w:rPr>
              <w:t>017</w:t>
            </w:r>
            <w:r>
              <w:rPr>
                <w:rFonts w:hint="eastAsia"/>
                <w:szCs w:val="24"/>
                <w:lang w:eastAsia="zh-CN"/>
              </w:rPr>
              <w:t>年</w:t>
            </w:r>
            <w:r w:rsidR="008F34CA">
              <w:rPr>
                <w:szCs w:val="24"/>
                <w:lang w:eastAsia="zh-CN"/>
              </w:rPr>
              <w:t>11</w:t>
            </w:r>
            <w:r>
              <w:rPr>
                <w:rFonts w:hint="eastAsia"/>
                <w:szCs w:val="24"/>
                <w:lang w:eastAsia="zh-CN"/>
              </w:rPr>
              <w:t>月</w:t>
            </w:r>
            <w:r w:rsidR="009C0CF0">
              <w:rPr>
                <w:szCs w:val="24"/>
                <w:lang w:eastAsia="zh-CN"/>
              </w:rPr>
              <w:t>30</w:t>
            </w:r>
            <w:r>
              <w:rPr>
                <w:rFonts w:hint="eastAsia"/>
                <w:szCs w:val="24"/>
                <w:lang w:eastAsia="zh-CN"/>
              </w:rPr>
              <w:t>日</w:t>
            </w: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rFonts w:cs="Arial"/>
                <w:szCs w:val="24"/>
                <w:lang w:val="en-GB"/>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rPr>
            </w:pPr>
          </w:p>
        </w:tc>
      </w:tr>
      <w:tr w:rsidR="00B17625" w:rsidRPr="00334544" w:rsidTr="005B3159">
        <w:trPr>
          <w:jc w:val="center"/>
        </w:trPr>
        <w:tc>
          <w:tcPr>
            <w:tcW w:w="9889" w:type="dxa"/>
            <w:gridSpan w:val="3"/>
            <w:shd w:val="clear" w:color="auto" w:fill="auto"/>
          </w:tcPr>
          <w:p w:rsidR="00B17625" w:rsidRPr="00AD029D" w:rsidRDefault="00B17625" w:rsidP="005B3159">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Pr>
                <w:rFonts w:eastAsia="SimSun"/>
                <w:b/>
                <w:bCs/>
                <w:szCs w:val="24"/>
                <w:lang w:eastAsia="zh-CN"/>
              </w:rPr>
              <w:t>3</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B17625" w:rsidRPr="00334544" w:rsidRDefault="00B17625" w:rsidP="005B3159">
            <w:pPr>
              <w:spacing w:before="0"/>
              <w:jc w:val="left"/>
              <w:rPr>
                <w:b/>
                <w:bCs/>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szCs w:val="24"/>
                <w:lang w:eastAsia="zh-CN"/>
              </w:rPr>
            </w:pP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B17625" w:rsidRPr="00AD029D" w:rsidRDefault="00B17625" w:rsidP="005B3159">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Pr>
                <w:rFonts w:eastAsia="SimSun"/>
                <w:b/>
                <w:bCs/>
                <w:szCs w:val="24"/>
                <w:lang w:eastAsia="zh-CN"/>
              </w:rPr>
              <w:t>3</w:t>
            </w:r>
            <w:r w:rsidRPr="00AD029D">
              <w:rPr>
                <w:rFonts w:eastAsia="SimSun" w:hint="eastAsia"/>
                <w:b/>
                <w:bCs/>
                <w:szCs w:val="24"/>
                <w:lang w:eastAsia="zh-CN"/>
              </w:rPr>
              <w:t>研究组（</w:t>
            </w:r>
            <w:r>
              <w:rPr>
                <w:rFonts w:eastAsia="SimSun" w:hint="eastAsia"/>
                <w:b/>
                <w:bCs/>
                <w:szCs w:val="24"/>
                <w:lang w:eastAsia="zh-CN"/>
              </w:rPr>
              <w:t>无线电</w:t>
            </w:r>
            <w:r>
              <w:rPr>
                <w:rFonts w:eastAsia="SimSun"/>
                <w:b/>
                <w:bCs/>
                <w:szCs w:val="24"/>
                <w:lang w:eastAsia="zh-CN"/>
              </w:rPr>
              <w:t>波传播</w:t>
            </w:r>
            <w:r w:rsidRPr="00AD029D">
              <w:rPr>
                <w:rFonts w:eastAsia="SimSun" w:hint="eastAsia"/>
                <w:b/>
                <w:bCs/>
                <w:szCs w:val="24"/>
                <w:lang w:eastAsia="zh-CN"/>
              </w:rPr>
              <w:t>）</w:t>
            </w:r>
          </w:p>
          <w:p w:rsidR="00B17625" w:rsidRPr="00334544" w:rsidRDefault="00B17625" w:rsidP="00334C88">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00334C88" w:rsidRPr="002C7819">
              <w:rPr>
                <w:rFonts w:hint="eastAsia"/>
                <w:b/>
                <w:bCs/>
                <w:szCs w:val="24"/>
                <w:lang w:eastAsia="zh-CN"/>
              </w:rPr>
              <w:t>建议批准</w:t>
            </w:r>
            <w:r w:rsidR="00334C88">
              <w:rPr>
                <w:rFonts w:hint="eastAsia"/>
                <w:b/>
                <w:bCs/>
                <w:szCs w:val="24"/>
                <w:lang w:eastAsia="zh-CN"/>
              </w:rPr>
              <w:t>1</w:t>
            </w:r>
            <w:r w:rsidR="00334C88" w:rsidRPr="002C7819">
              <w:rPr>
                <w:rFonts w:hint="eastAsia"/>
                <w:b/>
                <w:bCs/>
                <w:szCs w:val="24"/>
                <w:lang w:eastAsia="zh-CN"/>
              </w:rPr>
              <w:t>份</w:t>
            </w:r>
            <w:r w:rsidR="00334C88" w:rsidRPr="002C7819">
              <w:rPr>
                <w:rFonts w:hint="eastAsia"/>
                <w:b/>
                <w:bCs/>
                <w:szCs w:val="24"/>
                <w:lang w:eastAsia="zh-CN"/>
              </w:rPr>
              <w:t>ITU-R</w:t>
            </w:r>
            <w:r w:rsidR="00334C88" w:rsidRPr="002C7819">
              <w:rPr>
                <w:rFonts w:hint="eastAsia"/>
                <w:b/>
                <w:bCs/>
                <w:szCs w:val="24"/>
                <w:lang w:eastAsia="zh-CN"/>
              </w:rPr>
              <w:t>修订建议书草案</w:t>
            </w: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b/>
                <w:bCs/>
                <w:szCs w:val="24"/>
                <w:lang w:val="en-GB" w:eastAsia="zh-CN"/>
              </w:rPr>
            </w:pPr>
          </w:p>
        </w:tc>
        <w:tc>
          <w:tcPr>
            <w:tcW w:w="8363" w:type="dxa"/>
            <w:gridSpan w:val="2"/>
            <w:vMerge/>
            <w:shd w:val="clear" w:color="auto" w:fill="auto"/>
          </w:tcPr>
          <w:p w:rsidR="00B17625" w:rsidRPr="00334544" w:rsidRDefault="00B17625" w:rsidP="005B3159">
            <w:pPr>
              <w:tabs>
                <w:tab w:val="clear" w:pos="1588"/>
                <w:tab w:val="left" w:pos="1560"/>
              </w:tabs>
              <w:spacing w:before="0"/>
              <w:rPr>
                <w:b/>
                <w:bCs/>
                <w:szCs w:val="24"/>
                <w:lang w:val="en-GB" w:eastAsia="zh-CN"/>
              </w:rPr>
            </w:pPr>
          </w:p>
        </w:tc>
      </w:tr>
      <w:tr w:rsidR="00B17625" w:rsidRPr="00334544" w:rsidTr="005B3159">
        <w:trPr>
          <w:jc w:val="center"/>
        </w:trPr>
        <w:tc>
          <w:tcPr>
            <w:tcW w:w="1526" w:type="dxa"/>
            <w:shd w:val="clear" w:color="auto" w:fill="auto"/>
          </w:tcPr>
          <w:p w:rsidR="00B17625" w:rsidRPr="00334544" w:rsidRDefault="00B17625" w:rsidP="005B3159">
            <w:pPr>
              <w:tabs>
                <w:tab w:val="clear" w:pos="1588"/>
                <w:tab w:val="left" w:pos="1560"/>
              </w:tabs>
              <w:spacing w:before="0"/>
              <w:jc w:val="left"/>
              <w:rPr>
                <w:b/>
                <w:bCs/>
                <w:szCs w:val="24"/>
                <w:lang w:val="en-GB" w:eastAsia="zh-CN"/>
              </w:rPr>
            </w:pPr>
          </w:p>
        </w:tc>
        <w:tc>
          <w:tcPr>
            <w:tcW w:w="8363" w:type="dxa"/>
            <w:gridSpan w:val="2"/>
            <w:vMerge/>
            <w:shd w:val="clear" w:color="auto" w:fill="auto"/>
          </w:tcPr>
          <w:p w:rsidR="00B17625" w:rsidRPr="00334544" w:rsidRDefault="00B17625" w:rsidP="005B3159">
            <w:pPr>
              <w:tabs>
                <w:tab w:val="clear" w:pos="1588"/>
                <w:tab w:val="left" w:pos="1560"/>
              </w:tabs>
              <w:spacing w:before="0"/>
              <w:rPr>
                <w:b/>
                <w:bCs/>
                <w:szCs w:val="24"/>
                <w:lang w:val="en-GB"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tabs>
                <w:tab w:val="clear" w:pos="1588"/>
                <w:tab w:val="left" w:pos="1560"/>
              </w:tabs>
              <w:spacing w:before="0"/>
              <w:jc w:val="left"/>
              <w:rPr>
                <w:szCs w:val="24"/>
                <w:lang w:eastAsia="zh-CN"/>
              </w:rPr>
            </w:pPr>
          </w:p>
        </w:tc>
      </w:tr>
      <w:tr w:rsidR="00B17625" w:rsidRPr="00334544" w:rsidTr="005B3159">
        <w:trPr>
          <w:jc w:val="center"/>
        </w:trPr>
        <w:tc>
          <w:tcPr>
            <w:tcW w:w="9889" w:type="dxa"/>
            <w:gridSpan w:val="3"/>
            <w:shd w:val="clear" w:color="auto" w:fill="auto"/>
          </w:tcPr>
          <w:p w:rsidR="00B17625" w:rsidRPr="00334544" w:rsidRDefault="00B17625" w:rsidP="005B3159">
            <w:pPr>
              <w:spacing w:before="0"/>
              <w:jc w:val="left"/>
              <w:rPr>
                <w:b/>
                <w:bCs/>
                <w:szCs w:val="24"/>
                <w:lang w:eastAsia="zh-CN"/>
              </w:rPr>
            </w:pPr>
          </w:p>
        </w:tc>
      </w:tr>
    </w:tbl>
    <w:p w:rsidR="00696FE9" w:rsidRPr="008D537A" w:rsidRDefault="00B17625" w:rsidP="00BE778C">
      <w:pPr>
        <w:spacing w:beforeLines="50" w:before="120" w:line="320" w:lineRule="exact"/>
        <w:ind w:firstLineChars="200" w:firstLine="480"/>
        <w:rPr>
          <w:rFonts w:eastAsia="SimSun"/>
          <w:lang w:eastAsia="zh-CN"/>
        </w:rPr>
      </w:pPr>
      <w:r>
        <w:rPr>
          <w:rFonts w:hint="eastAsia"/>
          <w:lang w:eastAsia="zh-CN"/>
        </w:rPr>
        <w:t>在</w:t>
      </w:r>
      <w:r>
        <w:rPr>
          <w:lang w:eastAsia="zh-CN"/>
        </w:rPr>
        <w:t>2017</w:t>
      </w:r>
      <w:r>
        <w:rPr>
          <w:rFonts w:hint="eastAsia"/>
          <w:lang w:eastAsia="zh-CN"/>
        </w:rPr>
        <w:t>年</w:t>
      </w:r>
      <w:r>
        <w:rPr>
          <w:lang w:eastAsia="zh-CN"/>
        </w:rPr>
        <w:t>9</w:t>
      </w:r>
      <w:r>
        <w:rPr>
          <w:rFonts w:hint="eastAsia"/>
          <w:lang w:eastAsia="zh-CN"/>
        </w:rPr>
        <w:t>月</w:t>
      </w:r>
      <w:r>
        <w:rPr>
          <w:lang w:eastAsia="zh-CN"/>
        </w:rPr>
        <w:t>1</w:t>
      </w:r>
      <w:r>
        <w:rPr>
          <w:rFonts w:hint="eastAsia"/>
          <w:lang w:eastAsia="zh-CN"/>
        </w:rPr>
        <w:t>日召开的无线电通信第</w:t>
      </w:r>
      <w:r>
        <w:rPr>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sidRPr="00003F16">
        <w:rPr>
          <w:rFonts w:cstheme="minorHAnsi"/>
          <w:lang w:eastAsia="zh-CN"/>
        </w:rPr>
        <w:t>A.2.6.2.2.3</w:t>
      </w:r>
      <w:proofErr w:type="spellEnd"/>
      <w:r>
        <w:rPr>
          <w:rFonts w:hint="eastAsia"/>
          <w:lang w:eastAsia="zh-CN"/>
        </w:rPr>
        <w:t>段</w:t>
      </w:r>
      <w:r w:rsidR="00BE778C" w:rsidRPr="008D537A">
        <w:rPr>
          <w:rFonts w:eastAsia="SimSun" w:hint="eastAsia"/>
          <w:lang w:eastAsia="zh-CN"/>
        </w:rPr>
        <w:t>，</w:t>
      </w:r>
      <w:r w:rsidR="00696FE9" w:rsidRPr="008D537A">
        <w:rPr>
          <w:rFonts w:eastAsia="SimSun" w:hint="eastAsia"/>
          <w:lang w:eastAsia="zh-CN"/>
        </w:rPr>
        <w:t>采用信函方式，寻求通过</w:t>
      </w:r>
      <w:r w:rsidR="00696FE9">
        <w:rPr>
          <w:rFonts w:eastAsia="SimSun"/>
          <w:lang w:eastAsia="zh-CN"/>
        </w:rPr>
        <w:t>1</w:t>
      </w:r>
      <w:r w:rsidR="00696FE9" w:rsidRPr="008D537A">
        <w:rPr>
          <w:rFonts w:eastAsia="SimSun" w:hint="eastAsia"/>
          <w:lang w:eastAsia="zh-CN"/>
        </w:rPr>
        <w:t>份</w:t>
      </w:r>
      <w:r w:rsidR="00696FE9" w:rsidRPr="008D537A">
        <w:rPr>
          <w:rFonts w:eastAsia="SimSun" w:cstheme="minorHAnsi"/>
          <w:lang w:eastAsia="zh-CN"/>
        </w:rPr>
        <w:t>ITU-R</w:t>
      </w:r>
      <w:r w:rsidR="00696FE9" w:rsidRPr="008D537A">
        <w:rPr>
          <w:rFonts w:eastAsia="SimSun" w:hint="eastAsia"/>
          <w:lang w:eastAsia="zh-CN"/>
        </w:rPr>
        <w:t>修订建议书草案。鉴于该建议书已经第</w:t>
      </w:r>
      <w:r w:rsidR="00696FE9">
        <w:rPr>
          <w:rFonts w:eastAsia="SimSun"/>
          <w:lang w:eastAsia="zh-CN"/>
        </w:rPr>
        <w:t>3</w:t>
      </w:r>
      <w:r w:rsidR="00696FE9" w:rsidRPr="008D537A">
        <w:rPr>
          <w:rFonts w:eastAsia="SimSun" w:hint="eastAsia"/>
          <w:lang w:eastAsia="zh-CN"/>
        </w:rPr>
        <w:t>研究组通过，因而将采用</w:t>
      </w:r>
      <w:r w:rsidR="00696FE9" w:rsidRPr="008D537A">
        <w:rPr>
          <w:rFonts w:eastAsia="SimSun"/>
          <w:lang w:eastAsia="zh-CN"/>
        </w:rPr>
        <w:t>ITU-R</w:t>
      </w:r>
      <w:r w:rsidR="00696FE9" w:rsidRPr="008D537A">
        <w:rPr>
          <w:rFonts w:eastAsia="SimSun" w:hint="eastAsia"/>
          <w:lang w:eastAsia="zh-CN"/>
        </w:rPr>
        <w:t>第</w:t>
      </w:r>
      <w:r w:rsidR="00696FE9" w:rsidRPr="008D537A">
        <w:rPr>
          <w:rFonts w:eastAsia="SimSun"/>
          <w:lang w:eastAsia="zh-CN"/>
        </w:rPr>
        <w:t>1-</w:t>
      </w:r>
      <w:r w:rsidR="00696FE9" w:rsidRPr="008D537A">
        <w:rPr>
          <w:rFonts w:eastAsia="SimSun" w:hint="eastAsia"/>
          <w:lang w:eastAsia="zh-CN"/>
        </w:rPr>
        <w:t>7</w:t>
      </w:r>
      <w:r w:rsidR="00696FE9" w:rsidRPr="008D537A">
        <w:rPr>
          <w:rFonts w:eastAsia="SimSun" w:hint="eastAsia"/>
          <w:lang w:eastAsia="zh-CN"/>
        </w:rPr>
        <w:t>号决议</w:t>
      </w:r>
      <w:proofErr w:type="spellStart"/>
      <w:r w:rsidR="00696FE9" w:rsidRPr="008D537A">
        <w:rPr>
          <w:rFonts w:eastAsia="SimSun" w:cstheme="minorHAnsi"/>
          <w:lang w:eastAsia="zh-CN"/>
        </w:rPr>
        <w:t>A.2.6.2.3</w:t>
      </w:r>
      <w:proofErr w:type="spellEnd"/>
      <w:r w:rsidR="00696FE9" w:rsidRPr="008D537A">
        <w:rPr>
          <w:rFonts w:eastAsia="SimSun" w:hint="eastAsia"/>
          <w:lang w:eastAsia="zh-CN"/>
        </w:rPr>
        <w:t>段的批准程序。建议书草案的标题和摘要见附件。请反对批准一建议书草案的成员国向主任和研究组主席阐明反对原因。</w:t>
      </w:r>
    </w:p>
    <w:p w:rsidR="00696FE9" w:rsidRPr="008D537A" w:rsidRDefault="00696FE9" w:rsidP="00BE778C">
      <w:pPr>
        <w:spacing w:beforeLines="50" w:before="120" w:line="320" w:lineRule="exact"/>
        <w:ind w:firstLineChars="200" w:firstLine="480"/>
        <w:rPr>
          <w:rFonts w:eastAsia="SimSun"/>
          <w:lang w:eastAsia="zh-CN"/>
        </w:rPr>
      </w:pPr>
      <w:r w:rsidRPr="008D537A">
        <w:rPr>
          <w:rFonts w:eastAsia="SimSun" w:hint="eastAsia"/>
          <w:lang w:eastAsia="zh-CN"/>
        </w:rPr>
        <w:t>如同</w:t>
      </w:r>
      <w:r w:rsidRPr="008D537A">
        <w:rPr>
          <w:rFonts w:eastAsia="SimSun"/>
          <w:lang w:eastAsia="zh-CN"/>
        </w:rPr>
        <w:t>201</w:t>
      </w:r>
      <w:r>
        <w:rPr>
          <w:rFonts w:eastAsia="SimSun"/>
          <w:lang w:eastAsia="zh-CN"/>
        </w:rPr>
        <w:t>7</w:t>
      </w:r>
      <w:r w:rsidRPr="008D537A">
        <w:rPr>
          <w:rFonts w:eastAsia="SimSun" w:hint="eastAsia"/>
          <w:lang w:eastAsia="zh-CN"/>
        </w:rPr>
        <w:t>年</w:t>
      </w:r>
      <w:r w:rsidR="00BE778C">
        <w:rPr>
          <w:rFonts w:eastAsia="SimSun" w:hint="eastAsia"/>
          <w:lang w:eastAsia="zh-CN"/>
        </w:rPr>
        <w:t>9</w:t>
      </w:r>
      <w:r w:rsidRPr="008D537A">
        <w:rPr>
          <w:rFonts w:eastAsia="SimSun" w:hint="eastAsia"/>
          <w:lang w:eastAsia="zh-CN"/>
        </w:rPr>
        <w:t>月</w:t>
      </w:r>
      <w:r w:rsidR="00BE778C">
        <w:rPr>
          <w:rFonts w:eastAsia="SimSun"/>
          <w:lang w:eastAsia="zh-CN"/>
        </w:rPr>
        <w:t>22</w:t>
      </w:r>
      <w:r w:rsidRPr="008D537A">
        <w:rPr>
          <w:rFonts w:eastAsia="SimSun" w:hint="eastAsia"/>
          <w:lang w:eastAsia="zh-CN"/>
        </w:rPr>
        <w:t>日</w:t>
      </w:r>
      <w:proofErr w:type="spellStart"/>
      <w:r w:rsidRPr="008D537A">
        <w:rPr>
          <w:rFonts w:eastAsia="SimSun"/>
          <w:lang w:eastAsia="zh-CN"/>
        </w:rPr>
        <w:t>CACE</w:t>
      </w:r>
      <w:proofErr w:type="spellEnd"/>
      <w:r w:rsidRPr="008D537A">
        <w:rPr>
          <w:rFonts w:eastAsia="SimSun"/>
          <w:lang w:eastAsia="zh-CN"/>
        </w:rPr>
        <w:t>/</w:t>
      </w:r>
      <w:r>
        <w:rPr>
          <w:rFonts w:eastAsia="SimSun" w:hint="eastAsia"/>
          <w:lang w:eastAsia="zh-CN"/>
        </w:rPr>
        <w:t>833</w:t>
      </w:r>
      <w:r w:rsidRPr="008D537A">
        <w:rPr>
          <w:rFonts w:eastAsia="SimSun" w:hint="eastAsia"/>
          <w:lang w:eastAsia="zh-CN"/>
        </w:rPr>
        <w:t>号行政通函所述，通过该建议书的磋商期将于</w:t>
      </w:r>
      <w:r w:rsidRPr="008D537A">
        <w:rPr>
          <w:rFonts w:eastAsia="SimSun"/>
          <w:lang w:eastAsia="zh-CN"/>
        </w:rPr>
        <w:t>201</w:t>
      </w:r>
      <w:r>
        <w:rPr>
          <w:rFonts w:eastAsia="SimSun" w:hint="eastAsia"/>
          <w:lang w:eastAsia="zh-CN"/>
        </w:rPr>
        <w:t>7</w:t>
      </w:r>
      <w:r w:rsidRPr="008D537A">
        <w:rPr>
          <w:rFonts w:eastAsia="SimSun" w:hint="eastAsia"/>
          <w:lang w:eastAsia="zh-CN"/>
        </w:rPr>
        <w:t>年</w:t>
      </w:r>
      <w:r>
        <w:rPr>
          <w:rFonts w:eastAsia="SimSun" w:hint="eastAsia"/>
          <w:lang w:eastAsia="zh-CN"/>
        </w:rPr>
        <w:t>11</w:t>
      </w:r>
      <w:r w:rsidRPr="008D537A">
        <w:rPr>
          <w:rFonts w:eastAsia="SimSun" w:hint="eastAsia"/>
          <w:lang w:eastAsia="zh-CN"/>
        </w:rPr>
        <w:t>月</w:t>
      </w:r>
      <w:r>
        <w:rPr>
          <w:rFonts w:eastAsia="SimSun" w:hint="eastAsia"/>
          <w:lang w:eastAsia="zh-CN"/>
        </w:rPr>
        <w:t>22</w:t>
      </w:r>
      <w:r w:rsidRPr="008D537A">
        <w:rPr>
          <w:rFonts w:eastAsia="SimSun" w:hint="eastAsia"/>
          <w:lang w:eastAsia="zh-CN"/>
        </w:rPr>
        <w:t>日截止。</w:t>
      </w:r>
    </w:p>
    <w:p w:rsidR="00696FE9" w:rsidRPr="008D537A" w:rsidRDefault="00696FE9" w:rsidP="009C0CF0">
      <w:pPr>
        <w:spacing w:beforeLines="50" w:before="120" w:line="320" w:lineRule="exact"/>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proofErr w:type="spellStart"/>
      <w:r w:rsidRPr="008D537A">
        <w:rPr>
          <w:rFonts w:eastAsia="SimSun" w:cstheme="minorHAnsi"/>
          <w:lang w:eastAsia="zh-CN"/>
        </w:rPr>
        <w:t>A.2.6.2.3</w:t>
      </w:r>
      <w:proofErr w:type="spellEnd"/>
      <w:r w:rsidRPr="008D537A">
        <w:rPr>
          <w:rFonts w:eastAsia="SimSun" w:hint="eastAsia"/>
          <w:lang w:eastAsia="zh-CN"/>
        </w:rPr>
        <w:t>段的规定，请成员国在</w:t>
      </w:r>
      <w:r w:rsidRPr="00BE778C">
        <w:rPr>
          <w:rFonts w:eastAsia="SimSun"/>
          <w:u w:val="single"/>
          <w:lang w:eastAsia="zh-CN"/>
        </w:rPr>
        <w:t>201</w:t>
      </w:r>
      <w:r w:rsidRPr="00BE778C">
        <w:rPr>
          <w:rFonts w:eastAsia="SimSun" w:hint="eastAsia"/>
          <w:u w:val="single"/>
          <w:lang w:eastAsia="zh-CN"/>
        </w:rPr>
        <w:t>8</w:t>
      </w:r>
      <w:r w:rsidRPr="00BE778C">
        <w:rPr>
          <w:rFonts w:eastAsia="SimSun" w:hint="eastAsia"/>
          <w:u w:val="single"/>
          <w:lang w:eastAsia="zh-CN"/>
        </w:rPr>
        <w:t>年</w:t>
      </w:r>
      <w:r w:rsidRPr="00BE778C">
        <w:rPr>
          <w:rFonts w:eastAsia="SimSun" w:hint="eastAsia"/>
          <w:u w:val="single"/>
          <w:lang w:eastAsia="zh-CN"/>
        </w:rPr>
        <w:t>1</w:t>
      </w:r>
      <w:r w:rsidRPr="00BE778C">
        <w:rPr>
          <w:rFonts w:eastAsia="SimSun" w:hint="eastAsia"/>
          <w:u w:val="single"/>
          <w:lang w:eastAsia="zh-CN"/>
        </w:rPr>
        <w:t>月</w:t>
      </w:r>
      <w:r w:rsidR="009C0CF0">
        <w:rPr>
          <w:rFonts w:eastAsia="SimSun"/>
          <w:u w:val="single"/>
          <w:lang w:eastAsia="zh-CN"/>
        </w:rPr>
        <w:t>30</w:t>
      </w:r>
      <w:r w:rsidRPr="00BE778C">
        <w:rPr>
          <w:rFonts w:eastAsia="SimSun" w:hint="eastAsia"/>
          <w:u w:val="single"/>
          <w:lang w:eastAsia="zh-CN"/>
        </w:rPr>
        <w:t>日</w:t>
      </w:r>
      <w:r w:rsidRPr="008D537A">
        <w:rPr>
          <w:rFonts w:eastAsia="SimSun" w:hint="eastAsia"/>
          <w:lang w:eastAsia="zh-CN"/>
        </w:rPr>
        <w:t>之前将是否批准上述建议的意见通知秘书处（</w:t>
      </w:r>
      <w:hyperlink r:id="rId8" w:history="1">
        <w:proofErr w:type="spellStart"/>
        <w:r w:rsidRPr="008D537A">
          <w:rPr>
            <w:rStyle w:val="Hyperlink"/>
            <w:rFonts w:eastAsia="SimSun"/>
            <w:lang w:eastAsia="zh-CN"/>
          </w:rPr>
          <w:t>brsgd@itu.int</w:t>
        </w:r>
        <w:proofErr w:type="spellEnd"/>
      </w:hyperlink>
      <w:r w:rsidRPr="008D537A">
        <w:rPr>
          <w:rFonts w:eastAsia="SimSun" w:hint="eastAsia"/>
          <w:lang w:eastAsia="zh-CN"/>
        </w:rPr>
        <w:t>）。</w:t>
      </w:r>
    </w:p>
    <w:p w:rsidR="00B17625" w:rsidRDefault="00696FE9" w:rsidP="002D17F7">
      <w:pPr>
        <w:spacing w:beforeLines="50" w:before="120" w:line="320" w:lineRule="exact"/>
        <w:ind w:firstLineChars="200" w:firstLine="480"/>
        <w:rPr>
          <w:lang w:eastAsia="zh-CN"/>
        </w:rPr>
      </w:pPr>
      <w:proofErr w:type="spellStart"/>
      <w:r w:rsidRPr="008D537A">
        <w:rPr>
          <w:rFonts w:eastAsia="SimSun" w:hint="eastAsia"/>
        </w:rPr>
        <w:t>在上述截止期限之后，将</w:t>
      </w:r>
      <w:proofErr w:type="spellEnd"/>
      <w:r w:rsidRPr="008D537A">
        <w:rPr>
          <w:rFonts w:eastAsia="SimSun" w:hint="eastAsia"/>
          <w:lang w:eastAsia="zh-CN"/>
        </w:rPr>
        <w:t>在一份</w:t>
      </w:r>
      <w:proofErr w:type="spellStart"/>
      <w:r w:rsidRPr="008D537A">
        <w:rPr>
          <w:rFonts w:eastAsia="SimSun" w:hint="eastAsia"/>
        </w:rPr>
        <w:t>行政通函</w:t>
      </w:r>
      <w:proofErr w:type="spellEnd"/>
      <w:r w:rsidRPr="008D537A">
        <w:rPr>
          <w:rFonts w:eastAsia="SimSun" w:hint="eastAsia"/>
          <w:lang w:eastAsia="zh-CN"/>
        </w:rPr>
        <w:t>中宣布此磋商</w:t>
      </w:r>
      <w:proofErr w:type="spellStart"/>
      <w:r w:rsidRPr="008D537A">
        <w:rPr>
          <w:rFonts w:eastAsia="SimSun" w:hint="eastAsia"/>
        </w:rPr>
        <w:t>的结果，并尽可能快地</w:t>
      </w:r>
      <w:proofErr w:type="spellEnd"/>
      <w:r w:rsidRPr="008D537A">
        <w:rPr>
          <w:rFonts w:eastAsia="SimSun" w:hint="eastAsia"/>
          <w:lang w:eastAsia="zh-CN"/>
        </w:rPr>
        <w:t>公布</w:t>
      </w:r>
      <w:proofErr w:type="spellStart"/>
      <w:r w:rsidRPr="008D537A">
        <w:rPr>
          <w:rFonts w:eastAsia="SimSun" w:hint="eastAsia"/>
        </w:rPr>
        <w:t>已经批准的</w:t>
      </w:r>
      <w:proofErr w:type="spellEnd"/>
      <w:r w:rsidR="002D17F7" w:rsidRPr="008D537A">
        <w:rPr>
          <w:rFonts w:eastAsia="SimSun" w:hint="eastAsia"/>
          <w:lang w:eastAsia="zh-CN"/>
        </w:rPr>
        <w:t>建议书</w:t>
      </w:r>
      <w:r w:rsidRPr="008D537A">
        <w:rPr>
          <w:rFonts w:eastAsia="SimSun" w:hint="eastAsia"/>
        </w:rPr>
        <w:t>（</w:t>
      </w:r>
      <w:proofErr w:type="spellStart"/>
      <w:r w:rsidRPr="008D537A">
        <w:rPr>
          <w:rFonts w:eastAsia="SimSun" w:hint="eastAsia"/>
        </w:rPr>
        <w:t>见</w:t>
      </w:r>
      <w:hyperlink r:id="rId9" w:history="1">
        <w:r w:rsidRPr="008D537A">
          <w:rPr>
            <w:rFonts w:eastAsia="SimSun"/>
            <w:color w:val="0000FF"/>
            <w:u w:val="single"/>
          </w:rPr>
          <w:t>http</w:t>
        </w:r>
        <w:proofErr w:type="spellEnd"/>
        <w:r w:rsidRPr="008D537A">
          <w:rPr>
            <w:rFonts w:eastAsia="SimSun"/>
            <w:color w:val="0000FF"/>
            <w:u w:val="single"/>
          </w:rPr>
          <w:t>://</w:t>
        </w:r>
        <w:proofErr w:type="spellStart"/>
        <w:r w:rsidRPr="008D537A">
          <w:rPr>
            <w:rFonts w:eastAsia="SimSun"/>
            <w:color w:val="0000FF"/>
            <w:u w:val="single"/>
          </w:rPr>
          <w:t>www.itu.int</w:t>
        </w:r>
        <w:proofErr w:type="spellEnd"/>
        <w:r w:rsidRPr="008D537A">
          <w:rPr>
            <w:rFonts w:eastAsia="SimSun"/>
            <w:color w:val="0000FF"/>
            <w:u w:val="single"/>
          </w:rPr>
          <w:t>/ITU-R/go/que-</w:t>
        </w:r>
        <w:proofErr w:type="spellStart"/>
        <w:r w:rsidRPr="008D537A">
          <w:rPr>
            <w:rFonts w:eastAsia="SimSun"/>
            <w:color w:val="0000FF"/>
            <w:u w:val="single"/>
          </w:rPr>
          <w:t>rsgX</w:t>
        </w:r>
        <w:proofErr w:type="spellEnd"/>
        <w:r w:rsidRPr="008D537A">
          <w:rPr>
            <w:rFonts w:eastAsia="SimSun"/>
            <w:color w:val="0000FF"/>
            <w:u w:val="single"/>
          </w:rPr>
          <w:t>/</w:t>
        </w:r>
        <w:proofErr w:type="spellStart"/>
        <w:r w:rsidRPr="008D537A">
          <w:rPr>
            <w:rFonts w:eastAsia="SimSun"/>
            <w:color w:val="0000FF"/>
            <w:u w:val="single"/>
          </w:rPr>
          <w:t>en</w:t>
        </w:r>
        <w:proofErr w:type="spellEnd"/>
      </w:hyperlink>
      <w:r w:rsidRPr="008D537A">
        <w:rPr>
          <w:rFonts w:eastAsia="SimSun" w:hint="eastAsia"/>
        </w:rPr>
        <w:t>）。</w:t>
      </w:r>
    </w:p>
    <w:p w:rsidR="00641D99" w:rsidRDefault="00641D9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17625" w:rsidRDefault="00696FE9" w:rsidP="00641D99">
      <w:pPr>
        <w:ind w:firstLineChars="200" w:firstLine="480"/>
        <w:rPr>
          <w:lang w:eastAsia="zh-CN"/>
        </w:rPr>
      </w:pPr>
      <w:r w:rsidRPr="008D537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8D537A">
        <w:rPr>
          <w:rFonts w:eastAsia="SimSun"/>
          <w:lang w:eastAsia="zh-CN"/>
        </w:rPr>
        <w:t>ITU-T/ITU-R/ISO/</w:t>
      </w:r>
      <w:proofErr w:type="spellStart"/>
      <w:r w:rsidRPr="008D537A">
        <w:rPr>
          <w:rFonts w:eastAsia="SimSun"/>
          <w:lang w:eastAsia="zh-CN"/>
        </w:rPr>
        <w:t>IEC</w:t>
      </w:r>
      <w:proofErr w:type="spellEnd"/>
      <w:r w:rsidRPr="008D537A">
        <w:rPr>
          <w:rFonts w:eastAsia="SimSun" w:hint="eastAsia"/>
          <w:lang w:eastAsia="zh-CN"/>
        </w:rPr>
        <w:t>通用专利政策见：</w:t>
      </w:r>
      <w:r>
        <w:fldChar w:fldCharType="begin"/>
      </w:r>
      <w:r>
        <w:rPr>
          <w:lang w:eastAsia="zh-CN"/>
        </w:rPr>
        <w:instrText xml:space="preserve"> HYPERLINK "http://www.itu.int/ITU-T/dbase/patent/patent-policy.html" </w:instrText>
      </w:r>
      <w:r>
        <w:fldChar w:fldCharType="separate"/>
      </w:r>
      <w:r w:rsidRPr="008D537A">
        <w:rPr>
          <w:rStyle w:val="Hyperlink"/>
          <w:rFonts w:eastAsia="SimSun"/>
          <w:lang w:eastAsia="zh-CN"/>
        </w:rPr>
        <w:t>http://</w:t>
      </w:r>
      <w:proofErr w:type="spellStart"/>
      <w:r w:rsidRPr="008D537A">
        <w:rPr>
          <w:rStyle w:val="Hyperlink"/>
          <w:rFonts w:eastAsia="SimSun"/>
          <w:lang w:eastAsia="zh-CN"/>
        </w:rPr>
        <w:t>www.itu.int</w:t>
      </w:r>
      <w:proofErr w:type="spellEnd"/>
      <w:r w:rsidRPr="008D537A">
        <w:rPr>
          <w:rStyle w:val="Hyperlink"/>
          <w:rFonts w:eastAsia="SimSun"/>
          <w:lang w:eastAsia="zh-CN"/>
        </w:rPr>
        <w:t>/ITU</w:t>
      </w:r>
      <w:r w:rsidRPr="008D537A">
        <w:rPr>
          <w:rStyle w:val="Hyperlink"/>
          <w:rFonts w:eastAsia="SimSun"/>
          <w:lang w:eastAsia="zh-CN"/>
        </w:rPr>
        <w:noBreakHyphen/>
        <w:t>T/dbase/patent/patent-</w:t>
      </w:r>
      <w:proofErr w:type="spellStart"/>
      <w:r w:rsidRPr="008D537A">
        <w:rPr>
          <w:rStyle w:val="Hyperlink"/>
          <w:rFonts w:eastAsia="SimSun"/>
          <w:lang w:eastAsia="zh-CN"/>
        </w:rPr>
        <w:t>policy.html</w:t>
      </w:r>
      <w:proofErr w:type="spellEnd"/>
      <w:r>
        <w:rPr>
          <w:rStyle w:val="Hyperlink"/>
          <w:rFonts w:eastAsia="SimSun"/>
          <w:lang w:eastAsia="zh-CN"/>
        </w:rPr>
        <w:fldChar w:fldCharType="end"/>
      </w:r>
      <w:r w:rsidRPr="008D537A">
        <w:rPr>
          <w:rFonts w:eastAsia="SimSun" w:hint="eastAsia"/>
          <w:lang w:eastAsia="zh-CN"/>
        </w:rPr>
        <w:t>。</w:t>
      </w:r>
    </w:p>
    <w:p w:rsidR="00B17625" w:rsidRDefault="00B17625" w:rsidP="001C3993">
      <w:pPr>
        <w:spacing w:before="2400"/>
        <w:jc w:val="left"/>
        <w:rPr>
          <w:lang w:eastAsia="zh-CN"/>
        </w:rPr>
      </w:pPr>
      <w:r>
        <w:rPr>
          <w:rFonts w:hint="eastAsia"/>
          <w:lang w:eastAsia="zh-CN"/>
        </w:rPr>
        <w:t>无线电通信局主任</w:t>
      </w:r>
      <w:r>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1C3993" w:rsidRDefault="001C3993" w:rsidP="00B17625">
      <w:pPr>
        <w:rPr>
          <w:rFonts w:eastAsia="SimSun"/>
          <w:b/>
          <w:lang w:eastAsia="zh-CN"/>
        </w:rPr>
      </w:pPr>
    </w:p>
    <w:p w:rsidR="00641D99" w:rsidRDefault="00641D99" w:rsidP="00B17625">
      <w:pPr>
        <w:rPr>
          <w:rFonts w:eastAsia="SimSun"/>
          <w:b/>
          <w:lang w:eastAsia="zh-CN"/>
        </w:rPr>
      </w:pPr>
    </w:p>
    <w:p w:rsidR="00B17625" w:rsidRDefault="00B17625" w:rsidP="00B17625">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2472F4" w:rsidRDefault="00B17625" w:rsidP="002472F4">
      <w:pPr>
        <w:spacing w:before="360"/>
        <w:jc w:val="left"/>
        <w:rPr>
          <w:rFonts w:eastAsia="SimSun"/>
          <w:lang w:eastAsia="zh-CN"/>
        </w:rPr>
      </w:pPr>
      <w:r w:rsidRPr="00115C83">
        <w:rPr>
          <w:rFonts w:eastAsia="SimSun" w:hint="eastAsia"/>
          <w:lang w:eastAsia="zh-CN"/>
        </w:rPr>
        <w:t>第</w:t>
      </w:r>
      <w:r w:rsidR="00BE778C">
        <w:fldChar w:fldCharType="begin"/>
      </w:r>
      <w:r w:rsidR="00BE778C">
        <w:instrText xml:space="preserve"> HYPERLINK "https://www.itu.int/md/R15-SG03-C-0071/en" </w:instrText>
      </w:r>
      <w:r w:rsidR="00BE778C">
        <w:fldChar w:fldCharType="separate"/>
      </w:r>
      <w:r w:rsidR="00003F16" w:rsidRPr="002D73B8">
        <w:rPr>
          <w:rStyle w:val="Hyperlink"/>
          <w:lang w:val="en-GB"/>
        </w:rPr>
        <w:t>3/71(</w:t>
      </w:r>
      <w:proofErr w:type="spellStart"/>
      <w:r w:rsidR="00003F16" w:rsidRPr="002D73B8">
        <w:rPr>
          <w:rStyle w:val="Hyperlink"/>
          <w:lang w:val="en-GB"/>
        </w:rPr>
        <w:t>Rev.1</w:t>
      </w:r>
      <w:proofErr w:type="spellEnd"/>
      <w:r w:rsidR="00003F16" w:rsidRPr="002D73B8">
        <w:rPr>
          <w:rStyle w:val="Hyperlink"/>
          <w:lang w:val="en-GB"/>
        </w:rPr>
        <w:t>)</w:t>
      </w:r>
      <w:r w:rsidR="00BE778C">
        <w:rPr>
          <w:rStyle w:val="Hyperlink"/>
          <w:lang w:val="en-GB"/>
        </w:rPr>
        <w:fldChar w:fldCharType="end"/>
      </w:r>
      <w:r w:rsidRPr="00115C83">
        <w:rPr>
          <w:rFonts w:eastAsia="SimSun" w:hint="eastAsia"/>
          <w:lang w:eastAsia="zh-CN"/>
        </w:rPr>
        <w:t>号文件</w:t>
      </w:r>
    </w:p>
    <w:p w:rsidR="00641D99" w:rsidRDefault="00641D99" w:rsidP="002472F4">
      <w:pPr>
        <w:spacing w:before="360"/>
        <w:jc w:val="left"/>
        <w:rPr>
          <w:rFonts w:eastAsia="SimSun"/>
          <w:lang w:eastAsia="zh-CN"/>
        </w:rPr>
      </w:pPr>
    </w:p>
    <w:p w:rsidR="00B17625" w:rsidRDefault="00B17625" w:rsidP="002472F4">
      <w:pPr>
        <w:spacing w:before="360"/>
        <w:jc w:val="left"/>
        <w:rPr>
          <w:lang w:eastAsia="zh-CN"/>
        </w:rPr>
      </w:pPr>
      <w:r>
        <w:rPr>
          <w:rFonts w:hint="eastAsia"/>
          <w:lang w:eastAsia="zh-CN"/>
        </w:rPr>
        <w:t>可在此处查到该文件的电子版：</w:t>
      </w:r>
      <w:hyperlink r:id="rId10" w:history="1">
        <w:r w:rsidR="005E2C5F" w:rsidRPr="00752589">
          <w:rPr>
            <w:rStyle w:val="Hyperlink"/>
          </w:rPr>
          <w:t>https://</w:t>
        </w:r>
        <w:proofErr w:type="spellStart"/>
        <w:r w:rsidR="005E2C5F" w:rsidRPr="00752589">
          <w:rPr>
            <w:rStyle w:val="Hyperlink"/>
          </w:rPr>
          <w:t>www.itu.int</w:t>
        </w:r>
        <w:proofErr w:type="spellEnd"/>
        <w:r w:rsidR="005E2C5F" w:rsidRPr="00752589">
          <w:rPr>
            <w:rStyle w:val="Hyperlink"/>
          </w:rPr>
          <w:t>/md/</w:t>
        </w:r>
        <w:proofErr w:type="spellStart"/>
        <w:r w:rsidR="005E2C5F" w:rsidRPr="00752589">
          <w:rPr>
            <w:rStyle w:val="Hyperlink"/>
          </w:rPr>
          <w:t>R15</w:t>
        </w:r>
        <w:proofErr w:type="spellEnd"/>
        <w:r w:rsidR="005E2C5F" w:rsidRPr="00752589">
          <w:rPr>
            <w:rStyle w:val="Hyperlink"/>
          </w:rPr>
          <w:t>-</w:t>
        </w:r>
        <w:proofErr w:type="spellStart"/>
        <w:r w:rsidR="005E2C5F" w:rsidRPr="00752589">
          <w:rPr>
            <w:rStyle w:val="Hyperlink"/>
          </w:rPr>
          <w:t>SG03</w:t>
        </w:r>
        <w:proofErr w:type="spellEnd"/>
        <w:r w:rsidR="005E2C5F" w:rsidRPr="00752589">
          <w:rPr>
            <w:rStyle w:val="Hyperlink"/>
          </w:rPr>
          <w:t>-C/</w:t>
        </w:r>
        <w:proofErr w:type="spellStart"/>
        <w:r w:rsidR="005E2C5F" w:rsidRPr="00752589">
          <w:rPr>
            <w:rStyle w:val="Hyperlink"/>
          </w:rPr>
          <w:t>en</w:t>
        </w:r>
        <w:proofErr w:type="spellEnd"/>
      </w:hyperlink>
    </w:p>
    <w:p w:rsidR="00B17625" w:rsidRPr="00115C83" w:rsidRDefault="00B17625" w:rsidP="001C3993">
      <w:pPr>
        <w:pStyle w:val="enumlev1"/>
        <w:ind w:left="32474"/>
        <w:rPr>
          <w:rFonts w:eastAsia="SimSun"/>
          <w:sz w:val="18"/>
          <w:szCs w:val="18"/>
          <w:lang w:eastAsia="zh-CN"/>
        </w:rPr>
      </w:pPr>
      <w:r w:rsidRPr="00115C83">
        <w:rPr>
          <w:rFonts w:eastAsia="SimSun" w:hint="eastAsia"/>
          <w:sz w:val="18"/>
          <w:szCs w:val="18"/>
          <w:lang w:eastAsia="zh-CN"/>
        </w:rPr>
        <w:t>分发</w:t>
      </w:r>
      <w:bookmarkStart w:id="0" w:name="_GoBack"/>
      <w:bookmarkEnd w:id="0"/>
      <w:r w:rsidRPr="00115C83">
        <w:rPr>
          <w:rFonts w:eastAsia="SimSun" w:hint="eastAsia"/>
          <w:sz w:val="18"/>
          <w:szCs w:val="18"/>
          <w:lang w:eastAsia="zh-CN"/>
        </w:rPr>
        <w:t>：</w:t>
      </w:r>
    </w:p>
    <w:p w:rsidR="00641D99" w:rsidRDefault="00641D99" w:rsidP="001C3993">
      <w:pPr>
        <w:pStyle w:val="enumlev1"/>
        <w:spacing w:before="2640"/>
        <w:rPr>
          <w:b/>
          <w:bCs/>
          <w:sz w:val="18"/>
          <w:szCs w:val="18"/>
          <w:lang w:eastAsia="zh-CN"/>
        </w:rPr>
      </w:pPr>
      <w:r w:rsidRPr="00F1692B">
        <w:rPr>
          <w:rFonts w:hint="eastAsia"/>
          <w:b/>
          <w:bCs/>
          <w:sz w:val="18"/>
          <w:szCs w:val="18"/>
          <w:lang w:eastAsia="zh-CN"/>
        </w:rPr>
        <w:t>分发：</w:t>
      </w:r>
    </w:p>
    <w:p w:rsidR="00B17625" w:rsidRPr="00115C83" w:rsidRDefault="00B17625" w:rsidP="00B73035">
      <w:pPr>
        <w:pStyle w:val="enumlev1"/>
        <w:tabs>
          <w:tab w:val="clear" w:pos="794"/>
        </w:tabs>
        <w:spacing w:beforeLines="50" w:before="1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Pr>
          <w:rFonts w:eastAsia="SimSun"/>
          <w:sz w:val="18"/>
          <w:szCs w:val="18"/>
          <w:lang w:eastAsia="zh-CN"/>
        </w:rPr>
        <w:t>3</w:t>
      </w:r>
      <w:r w:rsidRPr="00115C83">
        <w:rPr>
          <w:rFonts w:eastAsia="SimSun" w:hint="eastAsia"/>
          <w:sz w:val="18"/>
          <w:szCs w:val="18"/>
          <w:lang w:eastAsia="zh-CN"/>
        </w:rPr>
        <w:t>研究组工作的无线电通信部门成员</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Pr>
          <w:rFonts w:eastAsia="SimSun"/>
          <w:sz w:val="18"/>
          <w:szCs w:val="18"/>
          <w:lang w:eastAsia="zh-CN"/>
        </w:rPr>
        <w:t>3</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无线电通信第</w:t>
      </w:r>
      <w:r>
        <w:rPr>
          <w:rFonts w:eastAsia="SimSun"/>
          <w:sz w:val="18"/>
          <w:szCs w:val="18"/>
          <w:lang w:eastAsia="zh-CN"/>
        </w:rPr>
        <w:t>3</w:t>
      </w:r>
      <w:r w:rsidRPr="00115C83">
        <w:rPr>
          <w:rFonts w:eastAsia="SimSun" w:hint="eastAsia"/>
          <w:sz w:val="18"/>
          <w:szCs w:val="18"/>
          <w:lang w:eastAsia="zh-CN"/>
        </w:rPr>
        <w:t>研究组的正副主席</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B17625" w:rsidRPr="00115C83" w:rsidRDefault="00B17625" w:rsidP="00B73035">
      <w:pPr>
        <w:pStyle w:val="enumlev1"/>
        <w:tabs>
          <w:tab w:val="clear" w:pos="794"/>
        </w:tabs>
        <w:spacing w:before="4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B17625" w:rsidRDefault="00B17625" w:rsidP="00B17625">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B17625" w:rsidRPr="00373204" w:rsidRDefault="00B17625" w:rsidP="00696FE9">
      <w:pPr>
        <w:pStyle w:val="AnnexNotitle0"/>
        <w:rPr>
          <w:rFonts w:ascii="Calibri" w:hAnsi="Calibri"/>
          <w:lang w:eastAsia="zh-CN"/>
        </w:rPr>
      </w:pPr>
      <w:r w:rsidRPr="00373204">
        <w:rPr>
          <w:rFonts w:ascii="Calibri" w:hAnsi="Calibri"/>
          <w:lang w:eastAsia="zh-CN"/>
        </w:rPr>
        <w:lastRenderedPageBreak/>
        <w:t>附件</w:t>
      </w:r>
      <w:r w:rsidRPr="00373204">
        <w:rPr>
          <w:rFonts w:ascii="Calibri" w:hAnsi="Calibri"/>
          <w:lang w:eastAsia="zh-CN"/>
        </w:rPr>
        <w:br/>
      </w:r>
      <w:r w:rsidRPr="00373204">
        <w:rPr>
          <w:rFonts w:ascii="Calibri" w:hAnsi="Calibri"/>
          <w:lang w:eastAsia="zh-CN"/>
        </w:rPr>
        <w:br/>
      </w:r>
      <w:r w:rsidR="00696FE9" w:rsidRPr="00373204">
        <w:rPr>
          <w:rFonts w:ascii="Calibri" w:eastAsia="SimSun" w:hAnsi="Calibri"/>
          <w:szCs w:val="28"/>
          <w:lang w:eastAsia="zh-CN"/>
        </w:rPr>
        <w:t>无线电通信第</w:t>
      </w:r>
      <w:r w:rsidR="00696FE9" w:rsidRPr="00373204">
        <w:rPr>
          <w:rFonts w:ascii="Calibri" w:eastAsia="SimSun" w:hAnsi="Calibri"/>
          <w:szCs w:val="28"/>
          <w:lang w:eastAsia="zh-CN"/>
        </w:rPr>
        <w:t>3</w:t>
      </w:r>
      <w:r w:rsidR="00696FE9" w:rsidRPr="00373204">
        <w:rPr>
          <w:rFonts w:ascii="Calibri" w:eastAsia="SimSun" w:hAnsi="Calibri"/>
          <w:szCs w:val="28"/>
          <w:lang w:eastAsia="zh-CN"/>
        </w:rPr>
        <w:t>研究组通过的建议书草案的标题和摘要</w:t>
      </w:r>
    </w:p>
    <w:p w:rsidR="00B17625" w:rsidRDefault="00B17625" w:rsidP="00387EB3">
      <w:pPr>
        <w:tabs>
          <w:tab w:val="left" w:pos="7513"/>
        </w:tabs>
        <w:spacing w:before="240"/>
        <w:rPr>
          <w:lang w:eastAsia="zh-CN"/>
        </w:rPr>
      </w:pPr>
      <w:r w:rsidRPr="00972089">
        <w:rPr>
          <w:u w:val="single"/>
          <w:lang w:eastAsia="zh-CN"/>
        </w:rPr>
        <w:t xml:space="preserve">ITU-R </w:t>
      </w:r>
      <w:proofErr w:type="spellStart"/>
      <w:r>
        <w:rPr>
          <w:u w:val="single"/>
          <w:lang w:eastAsia="zh-CN"/>
        </w:rPr>
        <w:t>P.526</w:t>
      </w:r>
      <w:proofErr w:type="spellEnd"/>
      <w:r>
        <w:rPr>
          <w:u w:val="single"/>
          <w:lang w:eastAsia="zh-CN"/>
        </w:rPr>
        <w:t>-13</w:t>
      </w:r>
      <w:r w:rsidRPr="00497A1A">
        <w:rPr>
          <w:rFonts w:hint="eastAsia"/>
          <w:u w:val="single"/>
          <w:lang w:eastAsia="zh-CN"/>
        </w:rPr>
        <w:t>修订建议书草案</w:t>
      </w:r>
      <w:r>
        <w:rPr>
          <w:lang w:eastAsia="zh-CN"/>
        </w:rPr>
        <w:tab/>
      </w:r>
      <w:r w:rsidR="00387EB3" w:rsidRPr="00B73035">
        <w:rPr>
          <w:lang w:val="en-GB" w:eastAsia="zh-CN"/>
        </w:rPr>
        <w:t>3/71(</w:t>
      </w:r>
      <w:proofErr w:type="spellStart"/>
      <w:r w:rsidR="00387EB3" w:rsidRPr="00B73035">
        <w:rPr>
          <w:lang w:val="en-GB" w:eastAsia="zh-CN"/>
        </w:rPr>
        <w:t>Rev.1</w:t>
      </w:r>
      <w:proofErr w:type="spellEnd"/>
      <w:proofErr w:type="gramStart"/>
      <w:r w:rsidR="00387EB3" w:rsidRPr="00B73035">
        <w:rPr>
          <w:lang w:val="en-GB" w:eastAsia="zh-CN"/>
        </w:rPr>
        <w:t>)</w:t>
      </w:r>
      <w:r>
        <w:rPr>
          <w:rFonts w:hint="eastAsia"/>
          <w:lang w:eastAsia="zh-CN"/>
        </w:rPr>
        <w:t>号文件</w:t>
      </w:r>
      <w:proofErr w:type="gramEnd"/>
    </w:p>
    <w:p w:rsidR="00B17625" w:rsidRDefault="00B17625" w:rsidP="00B17625">
      <w:pPr>
        <w:pStyle w:val="Rectitle"/>
        <w:rPr>
          <w:lang w:eastAsia="zh-CN"/>
        </w:rPr>
      </w:pPr>
      <w:r>
        <w:rPr>
          <w:rFonts w:hint="eastAsia"/>
          <w:lang w:eastAsia="zh-CN"/>
        </w:rPr>
        <w:t>绕射</w:t>
      </w:r>
      <w:r>
        <w:rPr>
          <w:lang w:eastAsia="zh-CN"/>
        </w:rPr>
        <w:t>传播</w:t>
      </w:r>
    </w:p>
    <w:p w:rsidR="00B17625" w:rsidRDefault="00B17625" w:rsidP="001C3993">
      <w:pPr>
        <w:ind w:firstLineChars="200" w:firstLine="480"/>
        <w:rPr>
          <w:lang w:eastAsia="zh-CN"/>
        </w:rPr>
      </w:pPr>
      <w:r>
        <w:rPr>
          <w:rFonts w:hint="eastAsia"/>
          <w:lang w:eastAsia="zh-CN"/>
        </w:rPr>
        <w:t>目前</w:t>
      </w:r>
      <w:r>
        <w:rPr>
          <w:lang w:eastAsia="zh-CN"/>
        </w:rPr>
        <w:t>的</w:t>
      </w:r>
      <w:r w:rsidRPr="00E24990">
        <w:rPr>
          <w:lang w:eastAsia="zh-CN"/>
        </w:rPr>
        <w:t xml:space="preserve">ITU-R </w:t>
      </w:r>
      <w:proofErr w:type="spellStart"/>
      <w:r w:rsidRPr="00E3594B">
        <w:rPr>
          <w:lang w:eastAsia="zh-CN"/>
        </w:rPr>
        <w:t>P.526</w:t>
      </w:r>
      <w:proofErr w:type="spellEnd"/>
      <w:r w:rsidRPr="00E3594B">
        <w:rPr>
          <w:lang w:eastAsia="zh-CN"/>
        </w:rPr>
        <w:t>-13</w:t>
      </w:r>
      <w:r>
        <w:rPr>
          <w:rFonts w:hint="eastAsia"/>
          <w:lang w:eastAsia="zh-CN"/>
        </w:rPr>
        <w:t>建议书包含</w:t>
      </w:r>
      <w:r>
        <w:rPr>
          <w:lang w:eastAsia="zh-CN"/>
        </w:rPr>
        <w:t>仅对垂直于</w:t>
      </w:r>
      <w:r>
        <w:rPr>
          <w:rFonts w:hint="eastAsia"/>
          <w:lang w:eastAsia="zh-CN"/>
        </w:rPr>
        <w:t>屏幕的</w:t>
      </w:r>
      <w:r>
        <w:rPr>
          <w:lang w:eastAsia="zh-CN"/>
        </w:rPr>
        <w:t>发射有效</w:t>
      </w:r>
      <w:r>
        <w:rPr>
          <w:rFonts w:hint="eastAsia"/>
          <w:lang w:eastAsia="zh-CN"/>
        </w:rPr>
        <w:t>的</w:t>
      </w:r>
      <w:r>
        <w:rPr>
          <w:lang w:eastAsia="zh-CN"/>
        </w:rPr>
        <w:t>各种孔径和屏幕的绕射模型</w:t>
      </w:r>
      <w:r>
        <w:rPr>
          <w:rFonts w:hint="eastAsia"/>
          <w:lang w:eastAsia="zh-CN"/>
        </w:rPr>
        <w:t>。</w:t>
      </w:r>
      <w:r>
        <w:rPr>
          <w:lang w:eastAsia="zh-CN"/>
        </w:rPr>
        <w:t>本</w:t>
      </w:r>
      <w:r>
        <w:rPr>
          <w:rFonts w:hint="eastAsia"/>
          <w:lang w:eastAsia="zh-CN"/>
        </w:rPr>
        <w:t>提案</w:t>
      </w:r>
      <w:r>
        <w:rPr>
          <w:lang w:eastAsia="zh-CN"/>
        </w:rPr>
        <w:t>将</w:t>
      </w:r>
      <w:r>
        <w:rPr>
          <w:rFonts w:hint="eastAsia"/>
          <w:lang w:eastAsia="zh-CN"/>
        </w:rPr>
        <w:t>在</w:t>
      </w:r>
      <w:r>
        <w:rPr>
          <w:lang w:eastAsia="zh-CN"/>
        </w:rPr>
        <w:t>发射机和</w:t>
      </w:r>
      <w:r>
        <w:rPr>
          <w:rFonts w:hint="eastAsia"/>
          <w:lang w:eastAsia="zh-CN"/>
        </w:rPr>
        <w:t>/</w:t>
      </w:r>
      <w:r>
        <w:rPr>
          <w:rFonts w:hint="eastAsia"/>
          <w:lang w:eastAsia="zh-CN"/>
        </w:rPr>
        <w:t>或</w:t>
      </w:r>
      <w:r>
        <w:rPr>
          <w:lang w:eastAsia="zh-CN"/>
        </w:rPr>
        <w:t>接收机</w:t>
      </w:r>
      <w:r>
        <w:rPr>
          <w:rFonts w:hint="eastAsia"/>
          <w:lang w:eastAsia="zh-CN"/>
        </w:rPr>
        <w:t>靠近</w:t>
      </w:r>
      <w:r>
        <w:rPr>
          <w:lang w:eastAsia="zh-CN"/>
        </w:rPr>
        <w:t>孔径</w:t>
      </w:r>
      <w:r>
        <w:rPr>
          <w:rFonts w:hint="eastAsia"/>
          <w:lang w:eastAsia="zh-CN"/>
        </w:rPr>
        <w:t>或</w:t>
      </w:r>
      <w:r>
        <w:rPr>
          <w:lang w:eastAsia="zh-CN"/>
        </w:rPr>
        <w:t>屏幕时改进</w:t>
      </w:r>
      <w:r>
        <w:rPr>
          <w:rFonts w:hint="eastAsia"/>
          <w:lang w:eastAsia="zh-CN"/>
        </w:rPr>
        <w:t>模型</w:t>
      </w:r>
      <w:r>
        <w:rPr>
          <w:lang w:eastAsia="zh-CN"/>
        </w:rPr>
        <w:t>的精确度并补充一个</w:t>
      </w:r>
      <w:r>
        <w:rPr>
          <w:rFonts w:hint="eastAsia"/>
          <w:lang w:eastAsia="zh-CN"/>
        </w:rPr>
        <w:t>对于</w:t>
      </w:r>
      <w:r>
        <w:rPr>
          <w:lang w:eastAsia="zh-CN"/>
        </w:rPr>
        <w:t>所有发射角度以及发射机或接收机与屏幕或孔径的距离均有效的近似方法</w:t>
      </w:r>
      <w:r>
        <w:rPr>
          <w:rFonts w:hint="eastAsia"/>
          <w:lang w:eastAsia="zh-CN"/>
        </w:rPr>
        <w:t>。</w:t>
      </w:r>
    </w:p>
    <w:p w:rsidR="00B17625" w:rsidRDefault="00B17625" w:rsidP="001C3993">
      <w:pPr>
        <w:ind w:firstLineChars="200" w:firstLine="480"/>
        <w:rPr>
          <w:lang w:eastAsia="zh-CN"/>
        </w:rPr>
      </w:pPr>
      <w:r>
        <w:rPr>
          <w:rFonts w:hint="eastAsia"/>
          <w:lang w:eastAsia="zh-CN"/>
        </w:rPr>
        <w:t>建议书</w:t>
      </w:r>
      <w:r>
        <w:rPr>
          <w:lang w:eastAsia="zh-CN"/>
        </w:rPr>
        <w:t>第</w:t>
      </w:r>
      <w:r>
        <w:rPr>
          <w:rFonts w:hint="eastAsia"/>
          <w:lang w:eastAsia="zh-CN"/>
        </w:rPr>
        <w:t>4</w:t>
      </w:r>
      <w:r>
        <w:rPr>
          <w:rFonts w:hint="eastAsia"/>
          <w:lang w:eastAsia="zh-CN"/>
        </w:rPr>
        <w:t>节</w:t>
      </w:r>
      <w:r>
        <w:rPr>
          <w:lang w:eastAsia="zh-CN"/>
        </w:rPr>
        <w:t>的地形模型未考虑到与传播方向相交叉的地形高度变化，因此，</w:t>
      </w:r>
      <w:r>
        <w:rPr>
          <w:rFonts w:hint="eastAsia"/>
          <w:lang w:eastAsia="zh-CN"/>
        </w:rPr>
        <w:t>提案通过</w:t>
      </w:r>
      <w:r>
        <w:rPr>
          <w:lang w:eastAsia="zh-CN"/>
        </w:rPr>
        <w:t>新的案文</w:t>
      </w:r>
      <w:r>
        <w:rPr>
          <w:rFonts w:hint="eastAsia"/>
          <w:lang w:eastAsia="zh-CN"/>
        </w:rPr>
        <w:t>提请</w:t>
      </w:r>
      <w:r>
        <w:rPr>
          <w:lang w:eastAsia="zh-CN"/>
        </w:rPr>
        <w:t>建议书使用者</w:t>
      </w:r>
      <w:r>
        <w:rPr>
          <w:rFonts w:hint="eastAsia"/>
          <w:lang w:eastAsia="zh-CN"/>
        </w:rPr>
        <w:t>予以</w:t>
      </w:r>
      <w:r>
        <w:rPr>
          <w:lang w:eastAsia="zh-CN"/>
        </w:rPr>
        <w:t>关注。</w:t>
      </w:r>
    </w:p>
    <w:p w:rsidR="00B17625" w:rsidRPr="00D0628D" w:rsidRDefault="00B17625" w:rsidP="001C3993">
      <w:pPr>
        <w:ind w:firstLineChars="200" w:firstLine="480"/>
        <w:rPr>
          <w:lang w:eastAsia="zh-CN"/>
        </w:rPr>
      </w:pPr>
      <w:r>
        <w:rPr>
          <w:rFonts w:hint="eastAsia"/>
          <w:lang w:eastAsia="zh-CN"/>
        </w:rPr>
        <w:t>提案</w:t>
      </w:r>
      <w:r>
        <w:rPr>
          <w:lang w:eastAsia="zh-CN"/>
        </w:rPr>
        <w:t>还建议修正</w:t>
      </w:r>
      <w:r>
        <w:rPr>
          <w:rFonts w:hint="eastAsia"/>
          <w:lang w:eastAsia="zh-CN"/>
        </w:rPr>
        <w:t>建议书</w:t>
      </w:r>
      <w:r>
        <w:rPr>
          <w:lang w:eastAsia="zh-CN"/>
        </w:rPr>
        <w:t>第</w:t>
      </w:r>
      <w:r>
        <w:rPr>
          <w:rFonts w:hint="eastAsia"/>
          <w:lang w:eastAsia="zh-CN"/>
        </w:rPr>
        <w:t>4</w:t>
      </w:r>
      <w:r>
        <w:rPr>
          <w:rFonts w:hint="eastAsia"/>
          <w:lang w:eastAsia="zh-CN"/>
        </w:rPr>
        <w:t>节</w:t>
      </w:r>
      <w:r>
        <w:rPr>
          <w:lang w:eastAsia="zh-CN"/>
        </w:rPr>
        <w:t>第一段以及</w:t>
      </w:r>
      <w:r>
        <w:rPr>
          <w:rFonts w:hint="eastAsia"/>
          <w:lang w:eastAsia="zh-CN"/>
        </w:rPr>
        <w:t>第</w:t>
      </w:r>
      <w:r>
        <w:rPr>
          <w:rFonts w:hint="eastAsia"/>
          <w:lang w:eastAsia="zh-CN"/>
        </w:rPr>
        <w:t>5.2</w:t>
      </w:r>
      <w:r>
        <w:rPr>
          <w:rFonts w:hint="eastAsia"/>
          <w:lang w:eastAsia="zh-CN"/>
        </w:rPr>
        <w:t>节</w:t>
      </w:r>
      <w:r>
        <w:rPr>
          <w:lang w:eastAsia="zh-CN"/>
        </w:rPr>
        <w:t>。</w:t>
      </w:r>
    </w:p>
    <w:p w:rsidR="005E2C5F" w:rsidRDefault="005E2C5F" w:rsidP="0032202E">
      <w:pPr>
        <w:pStyle w:val="Reasons"/>
        <w:rPr>
          <w:lang w:eastAsia="zh-CN"/>
        </w:rPr>
      </w:pPr>
    </w:p>
    <w:p w:rsidR="00E970E9" w:rsidRDefault="00E970E9" w:rsidP="0032202E">
      <w:pPr>
        <w:pStyle w:val="Reasons"/>
        <w:rPr>
          <w:lang w:eastAsia="zh-CN"/>
        </w:rPr>
      </w:pPr>
    </w:p>
    <w:p w:rsidR="005E2C5F" w:rsidRDefault="005E2C5F">
      <w:pPr>
        <w:jc w:val="center"/>
      </w:pPr>
      <w:r>
        <w:t>______________</w:t>
      </w:r>
    </w:p>
    <w:sectPr w:rsidR="005E2C5F" w:rsidSect="001C3993">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25" w:rsidRDefault="00B17625">
      <w:r>
        <w:separator/>
      </w:r>
    </w:p>
  </w:endnote>
  <w:endnote w:type="continuationSeparator" w:id="0">
    <w:p w:rsidR="00B17625" w:rsidRDefault="00B1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93" w:rsidRDefault="001C3993" w:rsidP="001C3993">
    <w:pPr>
      <w:pStyle w:val="Foote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009C0CF0">
      <w:rPr>
        <w:noProof/>
        <w:sz w:val="16"/>
        <w:szCs w:val="16"/>
      </w:rPr>
      <w:t>Y:\APP\BR\CIRCS_DMS\CACE\800\847\847c.docx</w:t>
    </w:r>
    <w:r w:rsidRPr="00286889">
      <w:rPr>
        <w:noProof/>
        <w:sz w:val="16"/>
        <w:szCs w:val="16"/>
      </w:rPr>
      <w:fldChar w:fldCharType="end"/>
    </w:r>
    <w:r>
      <w:rPr>
        <w:noProof/>
        <w:sz w:val="16"/>
        <w:szCs w:val="16"/>
      </w:rPr>
      <w:t xml:space="preserve"> (424195)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1F" w:rsidRDefault="009E3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ED20E1" w:rsidRPr="007B52D4" w:rsidRDefault="00D34BDC"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25" w:rsidRDefault="00B17625">
      <w:r>
        <w:t>____________________</w:t>
      </w:r>
    </w:p>
  </w:footnote>
  <w:footnote w:type="continuationSeparator" w:id="0">
    <w:p w:rsidR="00B17625" w:rsidRDefault="00B1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1C3993">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C3993" w:rsidRDefault="001C3993" w:rsidP="009E361F">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C0CF0">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34BDC"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17625"/>
    <w:rsid w:val="00003F1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3993"/>
    <w:rsid w:val="001C6971"/>
    <w:rsid w:val="001D2785"/>
    <w:rsid w:val="001D7070"/>
    <w:rsid w:val="001F2170"/>
    <w:rsid w:val="001F3948"/>
    <w:rsid w:val="001F5A49"/>
    <w:rsid w:val="00201097"/>
    <w:rsid w:val="00201B6E"/>
    <w:rsid w:val="002302B3"/>
    <w:rsid w:val="00230C66"/>
    <w:rsid w:val="00235A29"/>
    <w:rsid w:val="00241526"/>
    <w:rsid w:val="002443A2"/>
    <w:rsid w:val="002472F4"/>
    <w:rsid w:val="00266E74"/>
    <w:rsid w:val="00272C87"/>
    <w:rsid w:val="00283C3B"/>
    <w:rsid w:val="002861E6"/>
    <w:rsid w:val="00287D18"/>
    <w:rsid w:val="002A2618"/>
    <w:rsid w:val="002A5DD7"/>
    <w:rsid w:val="002B0CAC"/>
    <w:rsid w:val="002D17F7"/>
    <w:rsid w:val="002D5A15"/>
    <w:rsid w:val="002D5BDD"/>
    <w:rsid w:val="002E0DC8"/>
    <w:rsid w:val="002E3D27"/>
    <w:rsid w:val="002F0890"/>
    <w:rsid w:val="002F2531"/>
    <w:rsid w:val="002F4967"/>
    <w:rsid w:val="00316935"/>
    <w:rsid w:val="003266ED"/>
    <w:rsid w:val="00326C68"/>
    <w:rsid w:val="00334544"/>
    <w:rsid w:val="00334C88"/>
    <w:rsid w:val="003370B8"/>
    <w:rsid w:val="00345D38"/>
    <w:rsid w:val="00352097"/>
    <w:rsid w:val="003617B6"/>
    <w:rsid w:val="003666FF"/>
    <w:rsid w:val="0037309C"/>
    <w:rsid w:val="00373204"/>
    <w:rsid w:val="00380A6E"/>
    <w:rsid w:val="003836D4"/>
    <w:rsid w:val="00387EB3"/>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3E46"/>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31C2"/>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09"/>
    <w:rsid w:val="0056741E"/>
    <w:rsid w:val="0057325A"/>
    <w:rsid w:val="0057469A"/>
    <w:rsid w:val="00580814"/>
    <w:rsid w:val="00583A0B"/>
    <w:rsid w:val="005A03A3"/>
    <w:rsid w:val="005A2B92"/>
    <w:rsid w:val="005A3F66"/>
    <w:rsid w:val="005A79E9"/>
    <w:rsid w:val="005B214C"/>
    <w:rsid w:val="005B4CDA"/>
    <w:rsid w:val="005D3669"/>
    <w:rsid w:val="005E2C5F"/>
    <w:rsid w:val="005E5C29"/>
    <w:rsid w:val="005E5EB3"/>
    <w:rsid w:val="005F3CB6"/>
    <w:rsid w:val="005F657C"/>
    <w:rsid w:val="00602D53"/>
    <w:rsid w:val="006047E5"/>
    <w:rsid w:val="00641D99"/>
    <w:rsid w:val="0064371D"/>
    <w:rsid w:val="00650543"/>
    <w:rsid w:val="00650B2A"/>
    <w:rsid w:val="00651777"/>
    <w:rsid w:val="006550F8"/>
    <w:rsid w:val="006829F3"/>
    <w:rsid w:val="00686E65"/>
    <w:rsid w:val="00696FE9"/>
    <w:rsid w:val="006A518B"/>
    <w:rsid w:val="006B0590"/>
    <w:rsid w:val="006B49DA"/>
    <w:rsid w:val="006C53F8"/>
    <w:rsid w:val="006C7CDE"/>
    <w:rsid w:val="007234B1"/>
    <w:rsid w:val="00723D08"/>
    <w:rsid w:val="007253AF"/>
    <w:rsid w:val="00725FDA"/>
    <w:rsid w:val="00727816"/>
    <w:rsid w:val="00730B9A"/>
    <w:rsid w:val="00750CFA"/>
    <w:rsid w:val="007522E0"/>
    <w:rsid w:val="007553DA"/>
    <w:rsid w:val="007616E7"/>
    <w:rsid w:val="00775DB8"/>
    <w:rsid w:val="00782354"/>
    <w:rsid w:val="007921A7"/>
    <w:rsid w:val="00796CD6"/>
    <w:rsid w:val="007B1A50"/>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4CA"/>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CF0"/>
    <w:rsid w:val="009C161F"/>
    <w:rsid w:val="009C56B4"/>
    <w:rsid w:val="009C6A12"/>
    <w:rsid w:val="009D51A2"/>
    <w:rsid w:val="009E04A8"/>
    <w:rsid w:val="009E361F"/>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17625"/>
    <w:rsid w:val="00B34CF9"/>
    <w:rsid w:val="00B37559"/>
    <w:rsid w:val="00B4054B"/>
    <w:rsid w:val="00B579B0"/>
    <w:rsid w:val="00B57D11"/>
    <w:rsid w:val="00B649D7"/>
    <w:rsid w:val="00B73035"/>
    <w:rsid w:val="00B81C2F"/>
    <w:rsid w:val="00B90743"/>
    <w:rsid w:val="00B90C45"/>
    <w:rsid w:val="00B933BE"/>
    <w:rsid w:val="00BD6738"/>
    <w:rsid w:val="00BD7E5E"/>
    <w:rsid w:val="00BE0C92"/>
    <w:rsid w:val="00BE63DB"/>
    <w:rsid w:val="00BE6574"/>
    <w:rsid w:val="00BE74DC"/>
    <w:rsid w:val="00BE778C"/>
    <w:rsid w:val="00C07319"/>
    <w:rsid w:val="00C16FD2"/>
    <w:rsid w:val="00C4395E"/>
    <w:rsid w:val="00C47FFD"/>
    <w:rsid w:val="00C51E92"/>
    <w:rsid w:val="00C57E2C"/>
    <w:rsid w:val="00C608B7"/>
    <w:rsid w:val="00C66F24"/>
    <w:rsid w:val="00C76D7F"/>
    <w:rsid w:val="00C80789"/>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0E9"/>
    <w:rsid w:val="00EA15B3"/>
    <w:rsid w:val="00EB0516"/>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1F7FE92-AE82-482B-83D5-010600B3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2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B17625"/>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B17625"/>
    <w:rPr>
      <w:b/>
      <w:sz w:val="28"/>
      <w:szCs w:val="22"/>
      <w:lang w:val="en-US" w:eastAsia="en-US"/>
    </w:rPr>
  </w:style>
  <w:style w:type="paragraph" w:customStyle="1" w:styleId="Reasons">
    <w:name w:val="Reasons"/>
    <w:basedOn w:val="Normal"/>
    <w:qFormat/>
    <w:rsid w:val="005E2C5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3-C/en" TargetMode="External"/><Relationship Id="rId4" Type="http://schemas.openxmlformats.org/officeDocument/2006/relationships/settings" Target="settings.xml"/><Relationship Id="rId9" Type="http://schemas.openxmlformats.org/officeDocument/2006/relationships/hyperlink" Target="http://www.itu.int/ITU-R/go/que-rsgX/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6857-3F16-47AC-9293-CF63DDA8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90</TotalTime>
  <Pages>3</Pages>
  <Words>868</Words>
  <Characters>681</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18</cp:revision>
  <cp:lastPrinted>2017-11-29T14:57:00Z</cp:lastPrinted>
  <dcterms:created xsi:type="dcterms:W3CDTF">2017-11-27T11:49:00Z</dcterms:created>
  <dcterms:modified xsi:type="dcterms:W3CDTF">2017-11-29T15:08:00Z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