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00AD1" w:rsidTr="00306452">
        <w:trPr>
          <w:jc w:val="center"/>
        </w:trPr>
        <w:tc>
          <w:tcPr>
            <w:tcW w:w="9889" w:type="dxa"/>
            <w:gridSpan w:val="3"/>
            <w:shd w:val="clear" w:color="auto" w:fill="auto"/>
          </w:tcPr>
          <w:p w:rsidR="00E53DCE" w:rsidRPr="00D00AD1" w:rsidRDefault="00A96D3A" w:rsidP="00CD1697">
            <w:pPr>
              <w:spacing w:before="0"/>
              <w:jc w:val="left"/>
              <w:rPr>
                <w:rFonts w:cstheme="minorHAnsi"/>
                <w:b/>
                <w:bCs/>
                <w:color w:val="808080"/>
                <w:sz w:val="28"/>
                <w:szCs w:val="28"/>
                <w:lang w:val="es-ES_tradnl"/>
              </w:rPr>
            </w:pPr>
            <w:r w:rsidRPr="00D00AD1">
              <w:rPr>
                <w:rFonts w:cstheme="minorHAnsi"/>
                <w:b/>
                <w:bCs/>
                <w:color w:val="808080"/>
                <w:sz w:val="28"/>
                <w:szCs w:val="28"/>
                <w:lang w:val="es-ES_tradnl"/>
              </w:rPr>
              <w:t>Oficina de Radiocomunicaciones (BR)</w:t>
            </w:r>
          </w:p>
          <w:p w:rsidR="00E53DCE" w:rsidRPr="00D00AD1" w:rsidRDefault="00E53DCE" w:rsidP="00CD1697">
            <w:pPr>
              <w:spacing w:before="0"/>
              <w:jc w:val="left"/>
              <w:rPr>
                <w:rFonts w:cstheme="minorHAnsi"/>
                <w:b/>
                <w:bCs/>
                <w:color w:val="808080"/>
                <w:sz w:val="28"/>
                <w:szCs w:val="28"/>
                <w:lang w:val="es-ES_tradnl"/>
              </w:rPr>
            </w:pPr>
          </w:p>
          <w:p w:rsidR="00E53DCE" w:rsidRPr="00D00AD1" w:rsidRDefault="00E53DCE" w:rsidP="00CD1697">
            <w:pPr>
              <w:spacing w:before="0"/>
              <w:jc w:val="left"/>
              <w:rPr>
                <w:rFonts w:cs="Times New Roman Bold"/>
                <w:b/>
                <w:bCs/>
                <w:color w:val="808080"/>
                <w:sz w:val="28"/>
                <w:szCs w:val="28"/>
                <w:lang w:val="es-ES_tradnl"/>
              </w:rPr>
            </w:pPr>
          </w:p>
        </w:tc>
      </w:tr>
      <w:tr w:rsidR="00E53DCE" w:rsidRPr="00D00AD1" w:rsidTr="00306452">
        <w:trPr>
          <w:jc w:val="center"/>
        </w:trPr>
        <w:tc>
          <w:tcPr>
            <w:tcW w:w="7054" w:type="dxa"/>
            <w:gridSpan w:val="2"/>
            <w:shd w:val="clear" w:color="auto" w:fill="auto"/>
          </w:tcPr>
          <w:p w:rsidR="00E53DCE" w:rsidRPr="00D00AD1" w:rsidRDefault="00A96D3A" w:rsidP="00CD1697">
            <w:pPr>
              <w:spacing w:before="0"/>
              <w:jc w:val="left"/>
              <w:rPr>
                <w:szCs w:val="24"/>
                <w:lang w:val="es-ES_tradnl"/>
              </w:rPr>
            </w:pPr>
            <w:r w:rsidRPr="00D00AD1">
              <w:rPr>
                <w:szCs w:val="24"/>
                <w:lang w:val="es-ES_tradnl"/>
              </w:rPr>
              <w:t>Circular Administrativa</w:t>
            </w:r>
          </w:p>
          <w:p w:rsidR="00E53DCE" w:rsidRPr="00D00AD1" w:rsidRDefault="00E53DCE" w:rsidP="00CD1697">
            <w:pPr>
              <w:spacing w:before="0"/>
              <w:jc w:val="left"/>
              <w:rPr>
                <w:b/>
                <w:bCs/>
                <w:szCs w:val="24"/>
                <w:lang w:val="es-ES_tradnl"/>
              </w:rPr>
            </w:pPr>
            <w:r w:rsidRPr="00D00AD1">
              <w:rPr>
                <w:b/>
                <w:bCs/>
                <w:szCs w:val="24"/>
                <w:lang w:val="es-ES_tradnl"/>
              </w:rPr>
              <w:t>CA</w:t>
            </w:r>
            <w:r w:rsidR="002E6646" w:rsidRPr="00D00AD1">
              <w:rPr>
                <w:b/>
                <w:bCs/>
                <w:szCs w:val="24"/>
                <w:lang w:val="es-ES_tradnl"/>
              </w:rPr>
              <w:t>CE</w:t>
            </w:r>
            <w:r w:rsidRPr="00D00AD1">
              <w:rPr>
                <w:b/>
                <w:bCs/>
                <w:szCs w:val="24"/>
                <w:lang w:val="es-ES_tradnl"/>
              </w:rPr>
              <w:t>/</w:t>
            </w:r>
            <w:r w:rsidR="00D3777F">
              <w:rPr>
                <w:b/>
                <w:bCs/>
                <w:szCs w:val="24"/>
                <w:lang w:val="es-ES_tradnl"/>
              </w:rPr>
              <w:t>842</w:t>
            </w:r>
          </w:p>
        </w:tc>
        <w:tc>
          <w:tcPr>
            <w:tcW w:w="2835" w:type="dxa"/>
            <w:shd w:val="clear" w:color="auto" w:fill="auto"/>
          </w:tcPr>
          <w:p w:rsidR="00E53DCE" w:rsidRPr="00D00AD1" w:rsidRDefault="00392833" w:rsidP="00CD1697">
            <w:pPr>
              <w:spacing w:before="0"/>
              <w:jc w:val="right"/>
              <w:rPr>
                <w:szCs w:val="24"/>
                <w:lang w:val="es-ES_tradnl"/>
              </w:rPr>
            </w:pPr>
            <w:r>
              <w:rPr>
                <w:bCs/>
                <w:szCs w:val="24"/>
                <w:lang w:val="es-ES_tradnl"/>
              </w:rPr>
              <w:t xml:space="preserve">15 de </w:t>
            </w:r>
            <w:r w:rsidRPr="00787424">
              <w:rPr>
                <w:bCs/>
                <w:szCs w:val="24"/>
                <w:lang w:val="es-ES_tradnl"/>
              </w:rPr>
              <w:t>noviembre</w:t>
            </w:r>
            <w:r>
              <w:rPr>
                <w:bCs/>
                <w:szCs w:val="24"/>
                <w:lang w:val="es-ES_tradnl"/>
              </w:rPr>
              <w:t xml:space="preserve"> de 2017</w:t>
            </w: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rFonts w:cs="Arial"/>
                <w:szCs w:val="24"/>
                <w:lang w:val="es-ES_tradnl"/>
              </w:rPr>
            </w:pP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4E61C7" w:rsidTr="00306452">
        <w:trPr>
          <w:jc w:val="center"/>
        </w:trPr>
        <w:tc>
          <w:tcPr>
            <w:tcW w:w="9889" w:type="dxa"/>
            <w:gridSpan w:val="3"/>
            <w:shd w:val="clear" w:color="auto" w:fill="auto"/>
          </w:tcPr>
          <w:p w:rsidR="00E53DCE" w:rsidRPr="00D00AD1" w:rsidRDefault="002E6646" w:rsidP="00392833">
            <w:pPr>
              <w:spacing w:before="0"/>
              <w:jc w:val="left"/>
              <w:rPr>
                <w:b/>
                <w:bCs/>
                <w:szCs w:val="24"/>
                <w:lang w:val="es-ES_tradnl"/>
              </w:rPr>
            </w:pPr>
            <w:r w:rsidRPr="00D00AD1">
              <w:rPr>
                <w:b/>
                <w:bCs/>
                <w:lang w:val="es-ES_tradnl"/>
              </w:rPr>
              <w:t xml:space="preserve">A las Administraciones de los Estados Miembros de la UIT, a los Miembros del Sector de Radiocomunicaciones, a los Asociados del UIT-R que participan en los trabajos de la Comisión de Estudio </w:t>
            </w:r>
            <w:r w:rsidR="00392833">
              <w:rPr>
                <w:b/>
                <w:bCs/>
                <w:lang w:val="es-ES_tradnl"/>
              </w:rPr>
              <w:t>4</w:t>
            </w:r>
            <w:r w:rsidRPr="00D00AD1">
              <w:rPr>
                <w:b/>
                <w:bCs/>
                <w:lang w:val="es-ES_tradnl"/>
              </w:rPr>
              <w:t xml:space="preserve"> de Radiocomunicaciones y a las Instituciones Académicas de la UIT</w:t>
            </w:r>
          </w:p>
        </w:tc>
      </w:tr>
      <w:tr w:rsidR="00E53DCE" w:rsidRPr="004E61C7"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4E61C7"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4E61C7" w:rsidTr="00306452">
        <w:trPr>
          <w:jc w:val="center"/>
        </w:trPr>
        <w:tc>
          <w:tcPr>
            <w:tcW w:w="1526" w:type="dxa"/>
            <w:shd w:val="clear" w:color="auto" w:fill="auto"/>
          </w:tcPr>
          <w:p w:rsidR="00E53DCE" w:rsidRPr="00D00AD1" w:rsidRDefault="002E6646" w:rsidP="00CD1697">
            <w:pPr>
              <w:tabs>
                <w:tab w:val="clear" w:pos="1588"/>
                <w:tab w:val="left" w:pos="1560"/>
              </w:tabs>
              <w:spacing w:before="0"/>
              <w:jc w:val="left"/>
              <w:rPr>
                <w:szCs w:val="24"/>
                <w:lang w:val="es-ES_tradnl"/>
              </w:rPr>
            </w:pPr>
            <w:r w:rsidRPr="003428EF">
              <w:rPr>
                <w:szCs w:val="24"/>
                <w:lang w:val="es-ES_tradnl"/>
              </w:rPr>
              <w:t>Asunto</w:t>
            </w:r>
            <w:r w:rsidR="00A96D3A" w:rsidRPr="003428EF">
              <w:rPr>
                <w:szCs w:val="24"/>
                <w:lang w:val="es-ES_tradnl"/>
              </w:rPr>
              <w:t>:</w:t>
            </w:r>
          </w:p>
        </w:tc>
        <w:tc>
          <w:tcPr>
            <w:tcW w:w="8363" w:type="dxa"/>
            <w:gridSpan w:val="2"/>
            <w:vMerge w:val="restart"/>
            <w:shd w:val="clear" w:color="auto" w:fill="auto"/>
          </w:tcPr>
          <w:p w:rsidR="00E53DCE" w:rsidRPr="00D00AD1" w:rsidRDefault="002E6646" w:rsidP="00392833">
            <w:pPr>
              <w:tabs>
                <w:tab w:val="clear" w:pos="1588"/>
                <w:tab w:val="left" w:pos="1560"/>
              </w:tabs>
              <w:spacing w:before="0"/>
              <w:rPr>
                <w:b/>
                <w:lang w:val="es-ES_tradnl"/>
              </w:rPr>
            </w:pPr>
            <w:r w:rsidRPr="00D00AD1">
              <w:rPr>
                <w:b/>
                <w:lang w:val="es-ES_tradnl"/>
              </w:rPr>
              <w:t xml:space="preserve">Comisión de Estudio </w:t>
            </w:r>
            <w:r w:rsidR="00392833">
              <w:rPr>
                <w:b/>
                <w:lang w:val="es-ES_tradnl"/>
              </w:rPr>
              <w:t>4</w:t>
            </w:r>
            <w:r w:rsidRPr="00D00AD1">
              <w:rPr>
                <w:b/>
                <w:lang w:val="es-ES_tradnl"/>
              </w:rPr>
              <w:t xml:space="preserve"> de Radiocomunicaciones</w:t>
            </w:r>
            <w:r w:rsidR="00470826">
              <w:rPr>
                <w:b/>
                <w:lang w:val="es-ES_tradnl"/>
              </w:rPr>
              <w:t xml:space="preserve"> (</w:t>
            </w:r>
            <w:r w:rsidR="00392833" w:rsidRPr="00860BF3">
              <w:rPr>
                <w:b/>
                <w:bCs/>
                <w:lang w:val="es-ES_tradnl"/>
              </w:rPr>
              <w:t>Servicios por satélite</w:t>
            </w:r>
            <w:r w:rsidR="00470826">
              <w:rPr>
                <w:b/>
                <w:lang w:val="es-ES_tradnl"/>
              </w:rPr>
              <w:t>)</w:t>
            </w:r>
          </w:p>
          <w:p w:rsidR="002E6646" w:rsidRPr="00D00AD1" w:rsidRDefault="002E6646" w:rsidP="003B0C82">
            <w:pPr>
              <w:tabs>
                <w:tab w:val="clear" w:pos="794"/>
              </w:tabs>
              <w:spacing w:before="120"/>
              <w:ind w:left="493" w:hanging="493"/>
              <w:jc w:val="left"/>
              <w:rPr>
                <w:b/>
                <w:bCs/>
                <w:szCs w:val="24"/>
                <w:lang w:val="es-ES_tradnl"/>
              </w:rPr>
            </w:pPr>
            <w:r w:rsidRPr="003428EF">
              <w:rPr>
                <w:b/>
                <w:bCs/>
                <w:lang w:val="es-ES"/>
              </w:rPr>
              <w:t>–</w:t>
            </w:r>
            <w:r w:rsidRPr="003428EF">
              <w:rPr>
                <w:b/>
                <w:bCs/>
                <w:lang w:val="es-ES"/>
              </w:rPr>
              <w:tab/>
              <w:t xml:space="preserve">Propuesta de adopción </w:t>
            </w:r>
            <w:r w:rsidR="00392833">
              <w:rPr>
                <w:b/>
                <w:bCs/>
                <w:lang w:val="es-ES"/>
              </w:rPr>
              <w:t xml:space="preserve">de </w:t>
            </w:r>
            <w:r w:rsidR="003B0C82">
              <w:rPr>
                <w:b/>
                <w:bCs/>
                <w:lang w:val="es-ES"/>
              </w:rPr>
              <w:t>1</w:t>
            </w:r>
            <w:r w:rsidR="003B0C82" w:rsidRPr="003428EF">
              <w:rPr>
                <w:b/>
                <w:bCs/>
                <w:lang w:val="es-ES"/>
              </w:rPr>
              <w:t xml:space="preserve"> proyecto</w:t>
            </w:r>
            <w:r w:rsidR="003B0C82">
              <w:rPr>
                <w:b/>
                <w:bCs/>
                <w:lang w:val="es-ES"/>
              </w:rPr>
              <w:t xml:space="preserve"> de nueva Recomendación </w:t>
            </w:r>
            <w:proofErr w:type="spellStart"/>
            <w:r w:rsidRPr="003428EF">
              <w:rPr>
                <w:b/>
                <w:bCs/>
                <w:lang w:val="es-ES"/>
              </w:rPr>
              <w:t>UIT</w:t>
            </w:r>
            <w:proofErr w:type="spellEnd"/>
            <w:r w:rsidRPr="003428EF">
              <w:rPr>
                <w:b/>
                <w:bCs/>
                <w:lang w:val="es-ES"/>
              </w:rPr>
              <w:t xml:space="preserve">-R y </w:t>
            </w:r>
            <w:r w:rsidR="003B0C82">
              <w:rPr>
                <w:b/>
                <w:bCs/>
                <w:lang w:val="es-ES"/>
              </w:rPr>
              <w:t>2</w:t>
            </w:r>
            <w:r w:rsidR="003B0C82" w:rsidRPr="003428EF">
              <w:rPr>
                <w:b/>
                <w:bCs/>
                <w:lang w:val="es-ES"/>
              </w:rPr>
              <w:t xml:space="preserve"> proyectos de Recomendaciones </w:t>
            </w:r>
            <w:proofErr w:type="spellStart"/>
            <w:r w:rsidR="003B0C82" w:rsidRPr="003428EF">
              <w:rPr>
                <w:b/>
                <w:bCs/>
                <w:lang w:val="es-ES"/>
              </w:rPr>
              <w:t>UIT</w:t>
            </w:r>
            <w:proofErr w:type="spellEnd"/>
            <w:r w:rsidR="003B0C82" w:rsidRPr="003428EF">
              <w:rPr>
                <w:b/>
                <w:bCs/>
                <w:lang w:val="es-ES"/>
              </w:rPr>
              <w:t>-R revisadas y</w:t>
            </w:r>
            <w:r w:rsidR="003B0C82">
              <w:rPr>
                <w:b/>
                <w:bCs/>
                <w:lang w:val="es-ES"/>
              </w:rPr>
              <w:t xml:space="preserve"> </w:t>
            </w:r>
            <w:r w:rsidRPr="003428EF">
              <w:rPr>
                <w:b/>
                <w:bCs/>
                <w:lang w:val="es-ES"/>
              </w:rPr>
              <w:t>su aprobación simultánea por correspondencia de conformidad con el § A2.6.2.4 de la Resolución UIT</w:t>
            </w:r>
            <w:r w:rsidRPr="003428EF">
              <w:rPr>
                <w:b/>
                <w:bCs/>
                <w:lang w:val="es-ES"/>
              </w:rPr>
              <w:noBreakHyphen/>
              <w:t>R 1</w:t>
            </w:r>
            <w:r w:rsidRPr="003428EF">
              <w:rPr>
                <w:b/>
                <w:bCs/>
                <w:lang w:val="es-ES"/>
              </w:rPr>
              <w:noBreakHyphen/>
              <w:t>7 (Procedimiento para la adopción y aprobación simultánea por correspondencia)</w:t>
            </w:r>
          </w:p>
        </w:tc>
      </w:tr>
      <w:tr w:rsidR="00E53DCE" w:rsidRPr="004E61C7"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4E61C7"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4E61C7" w:rsidTr="00306452">
        <w:trPr>
          <w:jc w:val="center"/>
        </w:trPr>
        <w:tc>
          <w:tcPr>
            <w:tcW w:w="9889" w:type="dxa"/>
            <w:gridSpan w:val="3"/>
            <w:shd w:val="clear" w:color="auto" w:fill="auto"/>
          </w:tcPr>
          <w:p w:rsidR="00E53DCE" w:rsidRPr="00D00AD1" w:rsidRDefault="00E53DCE" w:rsidP="00E53DCE">
            <w:pPr>
              <w:tabs>
                <w:tab w:val="clear" w:pos="1588"/>
                <w:tab w:val="left" w:pos="1560"/>
              </w:tabs>
              <w:spacing w:before="0"/>
              <w:jc w:val="left"/>
              <w:rPr>
                <w:szCs w:val="24"/>
                <w:lang w:val="es-ES_tradnl"/>
              </w:rPr>
            </w:pPr>
          </w:p>
        </w:tc>
      </w:tr>
      <w:tr w:rsidR="00E53DCE" w:rsidRPr="004E61C7" w:rsidTr="00306452">
        <w:trPr>
          <w:jc w:val="center"/>
        </w:trPr>
        <w:tc>
          <w:tcPr>
            <w:tcW w:w="9889" w:type="dxa"/>
            <w:gridSpan w:val="3"/>
            <w:shd w:val="clear" w:color="auto" w:fill="auto"/>
          </w:tcPr>
          <w:p w:rsidR="00E53DCE" w:rsidRPr="00D00AD1" w:rsidRDefault="00E53DCE" w:rsidP="00CD1697">
            <w:pPr>
              <w:spacing w:before="0"/>
              <w:jc w:val="left"/>
              <w:rPr>
                <w:b/>
                <w:bCs/>
                <w:szCs w:val="24"/>
                <w:lang w:val="es-ES_tradnl"/>
              </w:rPr>
            </w:pPr>
          </w:p>
        </w:tc>
      </w:tr>
    </w:tbl>
    <w:p w:rsidR="00470826" w:rsidRDefault="002E6646" w:rsidP="003B0C82">
      <w:pPr>
        <w:rPr>
          <w:lang w:val="es-ES_tradnl"/>
        </w:rPr>
      </w:pPr>
      <w:r w:rsidRPr="00D00AD1">
        <w:rPr>
          <w:lang w:val="es-ES_tradnl"/>
        </w:rPr>
        <w:t xml:space="preserve">En la reunión de la Comisión de Estudio </w:t>
      </w:r>
      <w:r w:rsidR="00392833">
        <w:rPr>
          <w:lang w:val="es-ES_tradnl"/>
        </w:rPr>
        <w:t>4</w:t>
      </w:r>
      <w:r w:rsidRPr="00D00AD1">
        <w:rPr>
          <w:lang w:val="es-ES_tradnl"/>
        </w:rPr>
        <w:t xml:space="preserve"> de Radiocomunicaciones celebrada de</w:t>
      </w:r>
      <w:r w:rsidR="00392833">
        <w:rPr>
          <w:lang w:val="es-ES_tradnl"/>
        </w:rPr>
        <w:t xml:space="preserve"> 27 de octubre de 2017</w:t>
      </w:r>
      <w:r w:rsidRPr="00D00AD1">
        <w:rPr>
          <w:lang w:val="es-ES_tradnl"/>
        </w:rPr>
        <w:t xml:space="preserve">, la Comisión de Estudio decidió solicitar la adopción de </w:t>
      </w:r>
      <w:r w:rsidR="003B0C82">
        <w:rPr>
          <w:lang w:val="es-ES_tradnl"/>
        </w:rPr>
        <w:t>1</w:t>
      </w:r>
      <w:r w:rsidRPr="00D00AD1">
        <w:rPr>
          <w:lang w:val="es-ES_tradnl"/>
        </w:rPr>
        <w:t xml:space="preserve"> proyecto de nueva </w:t>
      </w:r>
      <w:r w:rsidR="003B0C82" w:rsidRPr="00D00AD1">
        <w:rPr>
          <w:lang w:val="es-ES_tradnl"/>
        </w:rPr>
        <w:t>Recomendación</w:t>
      </w:r>
      <w:r w:rsidRPr="00D00AD1">
        <w:rPr>
          <w:lang w:val="es-ES_tradnl"/>
        </w:rPr>
        <w:t xml:space="preserve"> </w:t>
      </w:r>
      <w:proofErr w:type="spellStart"/>
      <w:r w:rsidRPr="00D00AD1">
        <w:rPr>
          <w:lang w:val="es-ES_tradnl"/>
        </w:rPr>
        <w:t>UIT</w:t>
      </w:r>
      <w:proofErr w:type="spellEnd"/>
      <w:r w:rsidRPr="00D00AD1">
        <w:rPr>
          <w:lang w:val="es-ES_tradnl"/>
        </w:rPr>
        <w:t xml:space="preserve">-R y de </w:t>
      </w:r>
      <w:r w:rsidR="003B0C82">
        <w:rPr>
          <w:lang w:val="es-ES_tradnl"/>
        </w:rPr>
        <w:t>2</w:t>
      </w:r>
      <w:r w:rsidRPr="00D00AD1">
        <w:rPr>
          <w:lang w:val="es-ES_tradnl"/>
        </w:rPr>
        <w:t xml:space="preserve"> proyectos de Recomendaciones UIT-R revisadas por correspondencia (§ A2.6.2 de la Resolución UIT</w:t>
      </w:r>
      <w:r w:rsidRPr="00D00AD1">
        <w:rPr>
          <w:lang w:val="es-ES_tradnl"/>
        </w:rPr>
        <w:noBreakHyphen/>
        <w:t>R 1</w:t>
      </w:r>
      <w:r w:rsidRPr="00D00AD1">
        <w:rPr>
          <w:lang w:val="es-ES_tradnl"/>
        </w:rPr>
        <w:noBreakHyphen/>
        <w:t>7) y además decidió aplicar el procedimiento de adopción y aprobación simultáneas por correspondencia (PAAS</w:t>
      </w:r>
      <w:r w:rsidR="00470826">
        <w:rPr>
          <w:lang w:val="es-ES_tradnl"/>
        </w:rPr>
        <w:t xml:space="preserve">, </w:t>
      </w:r>
      <w:r w:rsidRPr="00D00AD1">
        <w:rPr>
          <w:lang w:val="es-ES_tradnl"/>
        </w:rPr>
        <w:t>§ A2.6.2.4 de la Resolución UIT</w:t>
      </w:r>
      <w:r w:rsidRPr="00D00AD1">
        <w:rPr>
          <w:lang w:val="es-ES_tradnl"/>
        </w:rPr>
        <w:noBreakHyphen/>
        <w:t>R 1</w:t>
      </w:r>
      <w:r w:rsidRPr="00D00AD1">
        <w:rPr>
          <w:lang w:val="es-ES_tradnl"/>
        </w:rPr>
        <w:noBreakHyphen/>
        <w:t xml:space="preserve">7). Los títulos y resúmenes de los proyectos de Recomendaciones aparecen en el Anexo a la presente </w:t>
      </w:r>
      <w:r w:rsidR="00D51756" w:rsidRPr="00D00AD1">
        <w:rPr>
          <w:lang w:val="es-ES_tradnl"/>
        </w:rPr>
        <w:t>carta</w:t>
      </w:r>
      <w:r w:rsidRPr="00D00AD1">
        <w:rPr>
          <w:lang w:val="es-ES_tradnl"/>
        </w:rPr>
        <w:t>. Todo Estado Miembro que objete la adopción de un proyecto de Recomendación debe informar al Director y al Presidente de la Comisión de Estudio de los motivos de dicha objeción.</w:t>
      </w:r>
      <w:r w:rsidR="001D522A">
        <w:rPr>
          <w:lang w:val="es-ES_tradnl"/>
        </w:rPr>
        <w:t xml:space="preserve"> </w:t>
      </w:r>
    </w:p>
    <w:p w:rsidR="002E6646" w:rsidRPr="00D00AD1" w:rsidRDefault="00CD1697" w:rsidP="004F1719">
      <w:pPr>
        <w:rPr>
          <w:lang w:val="es-ES_tradnl"/>
        </w:rPr>
      </w:pPr>
      <w:r w:rsidRPr="00CD1697">
        <w:rPr>
          <w:lang w:val="es-ES_tradnl"/>
        </w:rPr>
        <w:t>El periodo de consideración se extenderá durante 2 meses finalizando el</w:t>
      </w:r>
      <w:r>
        <w:rPr>
          <w:lang w:val="es-ES_tradnl"/>
        </w:rPr>
        <w:t xml:space="preserve"> </w:t>
      </w:r>
      <w:r w:rsidR="005A027A">
        <w:rPr>
          <w:u w:val="single"/>
          <w:lang w:val="es-ES"/>
        </w:rPr>
        <w:t>15</w:t>
      </w:r>
      <w:r w:rsidR="005A027A" w:rsidRPr="00B7378A">
        <w:rPr>
          <w:u w:val="single"/>
          <w:lang w:val="es-ES"/>
        </w:rPr>
        <w:t xml:space="preserve"> de </w:t>
      </w:r>
      <w:r w:rsidR="005A027A">
        <w:rPr>
          <w:u w:val="single"/>
          <w:lang w:val="es-ES"/>
        </w:rPr>
        <w:t>enero</w:t>
      </w:r>
      <w:r w:rsidR="005A027A" w:rsidRPr="00B7378A">
        <w:rPr>
          <w:u w:val="single"/>
          <w:lang w:val="es-ES"/>
        </w:rPr>
        <w:t xml:space="preserve"> de 201</w:t>
      </w:r>
      <w:r w:rsidR="005A027A">
        <w:rPr>
          <w:u w:val="single"/>
          <w:lang w:val="es-ES"/>
        </w:rPr>
        <w:t>8</w:t>
      </w:r>
      <w:r>
        <w:rPr>
          <w:lang w:val="es-ES_tradnl"/>
        </w:rPr>
        <w:t xml:space="preserve">. </w:t>
      </w:r>
      <w:r w:rsidRPr="00CD1697">
        <w:rPr>
          <w:lang w:val="es-ES_tradnl"/>
        </w:rPr>
        <w:t>Si durante este periodo no se reciben objeciones de los Estados Miembros, se considerará</w:t>
      </w:r>
      <w:r>
        <w:rPr>
          <w:lang w:val="es-ES_tradnl"/>
        </w:rPr>
        <w:t>n</w:t>
      </w:r>
      <w:r w:rsidRPr="00CD1697">
        <w:rPr>
          <w:lang w:val="es-ES_tradnl"/>
        </w:rPr>
        <w:t xml:space="preserve"> </w:t>
      </w:r>
      <w:r w:rsidR="003B0C82">
        <w:rPr>
          <w:lang w:val="es-ES_tradnl"/>
        </w:rPr>
        <w:t>adoptado</w:t>
      </w:r>
      <w:r>
        <w:rPr>
          <w:lang w:val="es-ES_tradnl"/>
        </w:rPr>
        <w:t>s</w:t>
      </w:r>
      <w:r w:rsidRPr="00CD1697">
        <w:rPr>
          <w:lang w:val="es-ES_tradnl"/>
        </w:rPr>
        <w:t xml:space="preserve"> los proyectos de Recomendación por la Comisión de Estudio </w:t>
      </w:r>
      <w:r w:rsidR="003B0C82">
        <w:rPr>
          <w:lang w:val="es-ES_tradnl"/>
        </w:rPr>
        <w:t>4</w:t>
      </w:r>
      <w:r w:rsidRPr="00CD1697">
        <w:rPr>
          <w:lang w:val="es-ES_tradnl"/>
        </w:rPr>
        <w:t xml:space="preserve">. Además, </w:t>
      </w:r>
      <w:r>
        <w:rPr>
          <w:lang w:val="es-ES_tradnl"/>
        </w:rPr>
        <w:t xml:space="preserve">dado que </w:t>
      </w:r>
      <w:r w:rsidRPr="00CD1697">
        <w:rPr>
          <w:lang w:val="es-ES_tradnl"/>
        </w:rPr>
        <w:t xml:space="preserve">se ha seguido el </w:t>
      </w:r>
      <w:r>
        <w:rPr>
          <w:lang w:val="es-ES_tradnl"/>
        </w:rPr>
        <w:t xml:space="preserve">procedimiento de </w:t>
      </w:r>
      <w:proofErr w:type="spellStart"/>
      <w:r w:rsidRPr="00CD1697">
        <w:rPr>
          <w:lang w:val="es-ES_tradnl"/>
        </w:rPr>
        <w:t>PAAS</w:t>
      </w:r>
      <w:proofErr w:type="spellEnd"/>
      <w:r w:rsidRPr="00CD1697">
        <w:rPr>
          <w:lang w:val="es-ES_tradnl"/>
        </w:rPr>
        <w:t>, los proyectos de Recomendación también se considerarán aprobados.</w:t>
      </w:r>
    </w:p>
    <w:p w:rsidR="002E6646" w:rsidRPr="00D00AD1" w:rsidRDefault="002E6646" w:rsidP="003B0C82">
      <w:pPr>
        <w:rPr>
          <w:lang w:val="es-ES_tradnl"/>
        </w:rPr>
      </w:pPr>
      <w:r w:rsidRPr="00D00AD1">
        <w:rPr>
          <w:lang w:val="es-ES_tradnl"/>
        </w:rPr>
        <w:t xml:space="preserve">Tras la fecha límite mencionada, los resultados </w:t>
      </w:r>
      <w:r w:rsidR="005A027A">
        <w:rPr>
          <w:lang w:val="es-ES_tradnl"/>
        </w:rPr>
        <w:t>de</w:t>
      </w:r>
      <w:r w:rsidR="00F570C1">
        <w:rPr>
          <w:lang w:val="es-ES_tradnl"/>
        </w:rPr>
        <w:t xml:space="preserve"> </w:t>
      </w:r>
      <w:r w:rsidR="004B6204">
        <w:rPr>
          <w:lang w:val="es-ES_tradnl"/>
        </w:rPr>
        <w:t>los procedimientos arriba citados</w:t>
      </w:r>
      <w:r w:rsidRPr="00D00AD1">
        <w:rPr>
          <w:lang w:val="es-ES_tradnl"/>
        </w:rPr>
        <w:t xml:space="preserve"> se comunicarán mediante Circular Administrativa y se publicarán las Recomendaci</w:t>
      </w:r>
      <w:r w:rsidR="003B0C82">
        <w:rPr>
          <w:lang w:val="es-ES_tradnl"/>
        </w:rPr>
        <w:t>o</w:t>
      </w:r>
      <w:r w:rsidRPr="00D00AD1">
        <w:rPr>
          <w:lang w:val="es-ES_tradnl"/>
        </w:rPr>
        <w:t xml:space="preserve">nes aprobadas tan pronto como sea posible (véase </w:t>
      </w:r>
      <w:r w:rsidR="009F1A2F">
        <w:fldChar w:fldCharType="begin"/>
      </w:r>
      <w:r w:rsidR="009F1A2F" w:rsidRPr="000273C1">
        <w:rPr>
          <w:lang w:val="es-ES_tradnl"/>
          <w:rPrChange w:id="0" w:author="^_^" w:date="2017-05-03T12:34:00Z">
            <w:rPr/>
          </w:rPrChange>
        </w:rPr>
        <w:instrText xml:space="preserve"> HYPERLINK "http://www.itu.int/pub/R-REC" </w:instrText>
      </w:r>
      <w:r w:rsidR="009F1A2F">
        <w:fldChar w:fldCharType="separate"/>
      </w:r>
      <w:r w:rsidRPr="00D00AD1">
        <w:rPr>
          <w:color w:val="0000FF"/>
          <w:u w:val="single"/>
          <w:lang w:val="es-ES_tradnl"/>
        </w:rPr>
        <w:t>http://</w:t>
      </w:r>
      <w:proofErr w:type="spellStart"/>
      <w:r w:rsidRPr="00D00AD1">
        <w:rPr>
          <w:color w:val="0000FF"/>
          <w:u w:val="single"/>
          <w:lang w:val="es-ES_tradnl"/>
        </w:rPr>
        <w:t>www.itu.int</w:t>
      </w:r>
      <w:proofErr w:type="spellEnd"/>
      <w:r w:rsidRPr="00D00AD1">
        <w:rPr>
          <w:color w:val="0000FF"/>
          <w:u w:val="single"/>
          <w:lang w:val="es-ES_tradnl"/>
        </w:rPr>
        <w:t>/pub/R-</w:t>
      </w:r>
      <w:proofErr w:type="spellStart"/>
      <w:r w:rsidRPr="00D00AD1">
        <w:rPr>
          <w:color w:val="0000FF"/>
          <w:u w:val="single"/>
          <w:lang w:val="es-ES_tradnl"/>
        </w:rPr>
        <w:t>REC</w:t>
      </w:r>
      <w:proofErr w:type="spellEnd"/>
      <w:r w:rsidR="009F1A2F">
        <w:rPr>
          <w:color w:val="0000FF"/>
          <w:u w:val="single"/>
          <w:lang w:val="es-ES_tradnl"/>
        </w:rPr>
        <w:fldChar w:fldCharType="end"/>
      </w:r>
      <w:r w:rsidRPr="00D00AD1">
        <w:rPr>
          <w:lang w:val="es-ES_tradnl"/>
        </w:rPr>
        <w:t>).</w:t>
      </w:r>
    </w:p>
    <w:p w:rsidR="004D0CD8" w:rsidRDefault="004D0CD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6A124F" w:rsidRDefault="002E6646" w:rsidP="004F1719">
      <w:pPr>
        <w:keepLines/>
        <w:rPr>
          <w:lang w:val="es-ES_tradnl"/>
        </w:rPr>
      </w:pPr>
      <w:r w:rsidRPr="00D00AD1">
        <w:rPr>
          <w:lang w:val="es-ES_tradnl"/>
        </w:rPr>
        <w:lastRenderedPageBreak/>
        <w:t xml:space="preserve">Se solicita a toda organización miembro de la UIT que tenga conocimiento de una patente, de su propiedad o de propiedad ajena, que cubra total o parcialmente elementos del proyecto o proyectos de </w:t>
      </w:r>
      <w:r w:rsidR="004F1719" w:rsidRPr="00B03A7B">
        <w:rPr>
          <w:lang w:val="es-ES_tradnl"/>
        </w:rPr>
        <w:t>Recomendaci</w:t>
      </w:r>
      <w:r w:rsidR="004F1719">
        <w:rPr>
          <w:lang w:val="es-ES_tradnl"/>
        </w:rPr>
        <w:t>ón</w:t>
      </w:r>
      <w:r w:rsidRPr="00D00AD1">
        <w:rPr>
          <w:lang w:val="es-ES_tradnl"/>
        </w:rPr>
        <w:t xml:space="preserve"> mencionados en esta carta, que comunique dicha información a la Secretaría tan pronto como sea posible. La Política común en materia de patentes para UIT-T/UIT-R/ISO/CEI puede consultarse en</w:t>
      </w:r>
      <w:r w:rsidR="006A124F">
        <w:rPr>
          <w:lang w:val="es-ES_tradnl"/>
        </w:rPr>
        <w:t xml:space="preserve"> </w:t>
      </w:r>
      <w:r w:rsidR="009F1A2F">
        <w:fldChar w:fldCharType="begin"/>
      </w:r>
      <w:r w:rsidR="009F1A2F" w:rsidRPr="000273C1">
        <w:rPr>
          <w:lang w:val="es-ES_tradnl"/>
          <w:rPrChange w:id="1" w:author="^_^" w:date="2017-05-03T12:34:00Z">
            <w:rPr/>
          </w:rPrChange>
        </w:rPr>
        <w:instrText xml:space="preserve"> HYPERLINK "http://www.itu.int/en/ITU-T/ipr/Pages/policy.aspx" </w:instrText>
      </w:r>
      <w:r w:rsidR="009F1A2F">
        <w:fldChar w:fldCharType="separate"/>
      </w:r>
      <w:r w:rsidR="006A124F" w:rsidRPr="006A124F">
        <w:rPr>
          <w:rStyle w:val="Hyperlink"/>
          <w:lang w:val="es-ES_tradnl"/>
        </w:rPr>
        <w:t>http://</w:t>
      </w:r>
      <w:proofErr w:type="spellStart"/>
      <w:r w:rsidR="006A124F" w:rsidRPr="006A124F">
        <w:rPr>
          <w:rStyle w:val="Hyperlink"/>
          <w:lang w:val="es-ES_tradnl"/>
        </w:rPr>
        <w:t>www.itu.int</w:t>
      </w:r>
      <w:proofErr w:type="spellEnd"/>
      <w:r w:rsidR="006A124F" w:rsidRPr="006A124F">
        <w:rPr>
          <w:rStyle w:val="Hyperlink"/>
          <w:lang w:val="es-ES_tradnl"/>
        </w:rPr>
        <w:t>/en/</w:t>
      </w:r>
      <w:proofErr w:type="spellStart"/>
      <w:r w:rsidR="006A124F" w:rsidRPr="006A124F">
        <w:rPr>
          <w:rStyle w:val="Hyperlink"/>
          <w:lang w:val="es-ES_tradnl"/>
        </w:rPr>
        <w:t>ITU</w:t>
      </w:r>
      <w:proofErr w:type="spellEnd"/>
      <w:r w:rsidR="006A124F" w:rsidRPr="006A124F">
        <w:rPr>
          <w:rStyle w:val="Hyperlink"/>
          <w:lang w:val="es-ES_tradnl"/>
        </w:rPr>
        <w:t>-T/</w:t>
      </w:r>
      <w:proofErr w:type="spellStart"/>
      <w:r w:rsidR="006A124F" w:rsidRPr="006A124F">
        <w:rPr>
          <w:rStyle w:val="Hyperlink"/>
          <w:lang w:val="es-ES_tradnl"/>
        </w:rPr>
        <w:t>ipr</w:t>
      </w:r>
      <w:proofErr w:type="spellEnd"/>
      <w:r w:rsidR="006A124F" w:rsidRPr="006A124F">
        <w:rPr>
          <w:rStyle w:val="Hyperlink"/>
          <w:lang w:val="es-ES_tradnl"/>
        </w:rPr>
        <w:t>/</w:t>
      </w:r>
      <w:proofErr w:type="spellStart"/>
      <w:r w:rsidR="006A124F" w:rsidRPr="006A124F">
        <w:rPr>
          <w:rStyle w:val="Hyperlink"/>
          <w:lang w:val="es-ES_tradnl"/>
        </w:rPr>
        <w:t>Pages</w:t>
      </w:r>
      <w:proofErr w:type="spellEnd"/>
      <w:r w:rsidR="006A124F" w:rsidRPr="006A124F">
        <w:rPr>
          <w:rStyle w:val="Hyperlink"/>
          <w:lang w:val="es-ES_tradnl"/>
        </w:rPr>
        <w:t>/</w:t>
      </w:r>
      <w:proofErr w:type="spellStart"/>
      <w:r w:rsidR="006A124F" w:rsidRPr="006A124F">
        <w:rPr>
          <w:rStyle w:val="Hyperlink"/>
          <w:lang w:val="es-ES_tradnl"/>
        </w:rPr>
        <w:t>policy.aspx</w:t>
      </w:r>
      <w:proofErr w:type="spellEnd"/>
      <w:r w:rsidR="009F1A2F">
        <w:rPr>
          <w:rStyle w:val="Hyperlink"/>
          <w:lang w:val="es-ES_tradnl"/>
        </w:rPr>
        <w:fldChar w:fldCharType="end"/>
      </w:r>
      <w:r w:rsidR="006A124F">
        <w:rPr>
          <w:lang w:val="es-ES_tradnl"/>
        </w:rPr>
        <w:t>.</w:t>
      </w:r>
    </w:p>
    <w:p w:rsidR="002E6646" w:rsidRPr="0062522E" w:rsidRDefault="002E6646" w:rsidP="009F1A2F">
      <w:pPr>
        <w:spacing w:before="1440" w:line="240" w:lineRule="auto"/>
        <w:jc w:val="left"/>
        <w:rPr>
          <w:szCs w:val="24"/>
          <w:lang w:val="es-ES_tradnl"/>
        </w:rPr>
      </w:pPr>
      <w:r w:rsidRPr="0012191D">
        <w:rPr>
          <w:szCs w:val="24"/>
          <w:lang w:val="es-ES_tradnl"/>
        </w:rPr>
        <w:t>François Rancy</w:t>
      </w:r>
      <w:r w:rsidR="0062522E" w:rsidRPr="0012191D">
        <w:rPr>
          <w:szCs w:val="24"/>
          <w:lang w:val="es-ES_tradnl"/>
        </w:rPr>
        <w:br/>
      </w:r>
      <w:r w:rsidRPr="0062522E">
        <w:rPr>
          <w:szCs w:val="24"/>
          <w:lang w:val="es-ES_tradnl"/>
        </w:rPr>
        <w:t>Director</w:t>
      </w:r>
    </w:p>
    <w:p w:rsidR="002E6646" w:rsidRPr="00D00AD1" w:rsidRDefault="002E6646" w:rsidP="005A027A">
      <w:pPr>
        <w:spacing w:before="1560"/>
        <w:rPr>
          <w:lang w:val="es-ES_tradnl"/>
        </w:rPr>
      </w:pPr>
      <w:r w:rsidRPr="00D00AD1">
        <w:rPr>
          <w:b/>
          <w:bCs/>
          <w:lang w:val="es-ES_tradnl"/>
        </w:rPr>
        <w:t>Anexo:</w:t>
      </w:r>
      <w:r w:rsidRPr="00D00AD1">
        <w:rPr>
          <w:lang w:val="es-ES_tradnl"/>
        </w:rPr>
        <w:t xml:space="preserve"> </w:t>
      </w:r>
      <w:r w:rsidR="001F1D56">
        <w:rPr>
          <w:lang w:val="es-ES_tradnl"/>
        </w:rPr>
        <w:tab/>
      </w:r>
      <w:r w:rsidR="005A027A">
        <w:rPr>
          <w:lang w:val="es-ES_tradnl"/>
        </w:rPr>
        <w:t>Título</w:t>
      </w:r>
      <w:r w:rsidRPr="00D00AD1">
        <w:rPr>
          <w:lang w:val="es-ES_tradnl"/>
        </w:rPr>
        <w:t>s y res</w:t>
      </w:r>
      <w:r w:rsidR="005A027A">
        <w:rPr>
          <w:lang w:val="es-ES_tradnl"/>
        </w:rPr>
        <w:t>ú</w:t>
      </w:r>
      <w:r w:rsidRPr="00D00AD1">
        <w:rPr>
          <w:lang w:val="es-ES_tradnl"/>
        </w:rPr>
        <w:t>menes de los proyectos de Recomendación</w:t>
      </w:r>
    </w:p>
    <w:p w:rsidR="002E6646" w:rsidRPr="00D00AD1" w:rsidRDefault="005A027A" w:rsidP="00A25788">
      <w:pPr>
        <w:tabs>
          <w:tab w:val="clear" w:pos="1588"/>
          <w:tab w:val="left" w:pos="1843"/>
        </w:tabs>
        <w:spacing w:before="1080"/>
        <w:rPr>
          <w:lang w:val="es-ES_tradnl"/>
        </w:rPr>
      </w:pPr>
      <w:r>
        <w:rPr>
          <w:b/>
          <w:bCs/>
          <w:lang w:val="es-ES_tradnl"/>
        </w:rPr>
        <w:t>Documento</w:t>
      </w:r>
      <w:r w:rsidR="002E6646" w:rsidRPr="00D00AD1">
        <w:rPr>
          <w:b/>
          <w:bCs/>
          <w:lang w:val="es-ES_tradnl"/>
        </w:rPr>
        <w:t>s:</w:t>
      </w:r>
      <w:r w:rsidR="002E6646" w:rsidRPr="00D00AD1">
        <w:rPr>
          <w:lang w:val="es-ES_tradnl"/>
        </w:rPr>
        <w:t xml:space="preserve"> </w:t>
      </w:r>
      <w:r w:rsidR="001F1D56">
        <w:rPr>
          <w:lang w:val="es-ES_tradnl"/>
        </w:rPr>
        <w:tab/>
      </w:r>
      <w:r w:rsidR="00F570C1" w:rsidRPr="00F570C1">
        <w:rPr>
          <w:lang w:val="es-ES_tradnl"/>
        </w:rPr>
        <w:t>Documentos</w:t>
      </w:r>
      <w:r w:rsidR="00F570C1" w:rsidRPr="004E61C7">
        <w:rPr>
          <w:lang w:val="es-ES_tradnl"/>
        </w:rPr>
        <w:t xml:space="preserve"> </w:t>
      </w:r>
      <w:hyperlink r:id="rId8" w:history="1">
        <w:r w:rsidRPr="005A027A">
          <w:rPr>
            <w:rStyle w:val="Hyperlink"/>
            <w:szCs w:val="24"/>
            <w:lang w:val="es-ES"/>
          </w:rPr>
          <w:t>4/40(</w:t>
        </w:r>
        <w:proofErr w:type="spellStart"/>
        <w:r w:rsidRPr="005A027A">
          <w:rPr>
            <w:rStyle w:val="Hyperlink"/>
            <w:szCs w:val="24"/>
            <w:lang w:val="es-ES"/>
          </w:rPr>
          <w:t>Rev.1</w:t>
        </w:r>
        <w:proofErr w:type="spellEnd"/>
        <w:r w:rsidRPr="005A027A">
          <w:rPr>
            <w:rStyle w:val="Hyperlink"/>
            <w:szCs w:val="24"/>
            <w:lang w:val="es-ES"/>
          </w:rPr>
          <w:t>)</w:t>
        </w:r>
      </w:hyperlink>
      <w:r w:rsidRPr="005A027A">
        <w:rPr>
          <w:szCs w:val="24"/>
          <w:lang w:val="es-ES"/>
        </w:rPr>
        <w:t xml:space="preserve">, </w:t>
      </w:r>
      <w:hyperlink r:id="rId9" w:history="1">
        <w:r w:rsidRPr="005A027A">
          <w:rPr>
            <w:rStyle w:val="Hyperlink"/>
            <w:szCs w:val="24"/>
            <w:lang w:val="es-ES"/>
          </w:rPr>
          <w:t>4/37</w:t>
        </w:r>
      </w:hyperlink>
      <w:r w:rsidRPr="005A027A">
        <w:rPr>
          <w:szCs w:val="24"/>
          <w:lang w:val="es-ES"/>
        </w:rPr>
        <w:t xml:space="preserve"> </w:t>
      </w:r>
      <w:r>
        <w:rPr>
          <w:szCs w:val="24"/>
          <w:lang w:val="es-ES"/>
        </w:rPr>
        <w:t xml:space="preserve">y </w:t>
      </w:r>
      <w:hyperlink r:id="rId10" w:history="1">
        <w:r w:rsidRPr="005A027A">
          <w:rPr>
            <w:rStyle w:val="Hyperlink"/>
            <w:szCs w:val="24"/>
            <w:lang w:val="es-ES"/>
          </w:rPr>
          <w:t>4/41</w:t>
        </w:r>
      </w:hyperlink>
    </w:p>
    <w:p w:rsidR="002E6646" w:rsidRPr="00D00AD1" w:rsidRDefault="002E6646" w:rsidP="00CD1697">
      <w:pPr>
        <w:rPr>
          <w:lang w:val="es-ES_tradnl"/>
        </w:rPr>
      </w:pPr>
      <w:r w:rsidRPr="00D00AD1">
        <w:rPr>
          <w:lang w:val="es-ES_tradnl"/>
        </w:rPr>
        <w:t>Dichos documentos están disponibles en formato electrónico en la dirección:</w:t>
      </w:r>
      <w:r w:rsidR="005A027A">
        <w:rPr>
          <w:lang w:val="es-ES_tradnl"/>
        </w:rPr>
        <w:t xml:space="preserve"> </w:t>
      </w:r>
      <w:hyperlink r:id="rId11" w:history="1">
        <w:r w:rsidR="005A027A" w:rsidRPr="005A027A">
          <w:rPr>
            <w:rStyle w:val="Hyperlink"/>
            <w:szCs w:val="24"/>
            <w:lang w:val="es-ES"/>
          </w:rPr>
          <w:t>https://</w:t>
        </w:r>
        <w:proofErr w:type="spellStart"/>
        <w:r w:rsidR="005A027A" w:rsidRPr="005A027A">
          <w:rPr>
            <w:rStyle w:val="Hyperlink"/>
            <w:szCs w:val="24"/>
            <w:lang w:val="es-ES"/>
          </w:rPr>
          <w:t>www.itu.int</w:t>
        </w:r>
        <w:proofErr w:type="spellEnd"/>
        <w:r w:rsidR="005A027A" w:rsidRPr="005A027A">
          <w:rPr>
            <w:rStyle w:val="Hyperlink"/>
            <w:szCs w:val="24"/>
            <w:lang w:val="es-ES"/>
          </w:rPr>
          <w:t>/md/</w:t>
        </w:r>
        <w:proofErr w:type="spellStart"/>
        <w:r w:rsidR="005A027A" w:rsidRPr="005A027A">
          <w:rPr>
            <w:rStyle w:val="Hyperlink"/>
            <w:szCs w:val="24"/>
            <w:lang w:val="es-ES"/>
          </w:rPr>
          <w:t>R15</w:t>
        </w:r>
        <w:proofErr w:type="spellEnd"/>
        <w:r w:rsidR="005A027A" w:rsidRPr="005A027A">
          <w:rPr>
            <w:rStyle w:val="Hyperlink"/>
            <w:szCs w:val="24"/>
            <w:lang w:val="es-ES"/>
          </w:rPr>
          <w:t>-</w:t>
        </w:r>
        <w:proofErr w:type="spellStart"/>
        <w:r w:rsidR="005A027A" w:rsidRPr="005A027A">
          <w:rPr>
            <w:rStyle w:val="Hyperlink"/>
            <w:szCs w:val="24"/>
            <w:lang w:val="es-ES"/>
          </w:rPr>
          <w:t>sg04</w:t>
        </w:r>
        <w:proofErr w:type="spellEnd"/>
        <w:r w:rsidR="005A027A" w:rsidRPr="005A027A">
          <w:rPr>
            <w:rStyle w:val="Hyperlink"/>
            <w:szCs w:val="24"/>
            <w:lang w:val="es-ES"/>
          </w:rPr>
          <w:t>-C/</w:t>
        </w:r>
      </w:hyperlink>
    </w:p>
    <w:p w:rsidR="002E6646" w:rsidRPr="00D00AD1" w:rsidRDefault="002E6646" w:rsidP="009F1A2F">
      <w:pPr>
        <w:tabs>
          <w:tab w:val="left" w:pos="284"/>
          <w:tab w:val="left" w:pos="568"/>
        </w:tabs>
        <w:spacing w:before="3840" w:after="40"/>
        <w:rPr>
          <w:b/>
          <w:bCs/>
          <w:sz w:val="18"/>
          <w:szCs w:val="18"/>
          <w:lang w:val="es-ES_tradnl"/>
        </w:rPr>
      </w:pPr>
      <w:r w:rsidRPr="00D00AD1">
        <w:rPr>
          <w:b/>
          <w:bCs/>
          <w:sz w:val="18"/>
          <w:szCs w:val="18"/>
          <w:lang w:val="es-ES_tradnl"/>
        </w:rPr>
        <w:t>Distribución:</w:t>
      </w:r>
    </w:p>
    <w:p w:rsidR="002E6646" w:rsidRPr="00D00AD1" w:rsidRDefault="002E6646" w:rsidP="00BA6BBC">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w:t>
      </w:r>
      <w:r w:rsidR="00421D59">
        <w:rPr>
          <w:sz w:val="18"/>
          <w:szCs w:val="18"/>
          <w:lang w:val="es-ES_tradnl"/>
        </w:rPr>
        <w:t xml:space="preserve">Miembros de la UIT y </w:t>
      </w:r>
      <w:r w:rsidRPr="00D00AD1">
        <w:rPr>
          <w:sz w:val="18"/>
          <w:szCs w:val="18"/>
          <w:lang w:val="es-ES_tradnl"/>
        </w:rPr>
        <w:t xml:space="preserve">Miembros del Sector de Radiocomunicaciones que participan en los trabajos de la Comisión de Estudio </w:t>
      </w:r>
      <w:r w:rsidR="00BA6BBC">
        <w:rPr>
          <w:sz w:val="18"/>
          <w:szCs w:val="18"/>
          <w:lang w:val="es-ES_tradnl"/>
        </w:rPr>
        <w:t>4</w:t>
      </w:r>
      <w:r w:rsidRPr="00D00AD1">
        <w:rPr>
          <w:sz w:val="18"/>
          <w:szCs w:val="18"/>
          <w:lang w:val="es-ES_tradnl"/>
        </w:rPr>
        <w:t xml:space="preserve"> de Radiocomunicaciones</w:t>
      </w:r>
    </w:p>
    <w:p w:rsidR="002E6646" w:rsidRPr="00D00AD1" w:rsidRDefault="002E6646" w:rsidP="00BA6BBC">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Asociados del UIT-R que participan en los trabajos de la Comisión de Estudio </w:t>
      </w:r>
      <w:r w:rsidR="00BA6BBC">
        <w:rPr>
          <w:sz w:val="18"/>
          <w:szCs w:val="18"/>
          <w:lang w:val="es-ES_tradnl"/>
        </w:rPr>
        <w:t>4</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Instituciones Académicas de la UIT</w:t>
      </w:r>
    </w:p>
    <w:p w:rsidR="002E6646" w:rsidRPr="00D00AD1" w:rsidRDefault="002E6646" w:rsidP="004B6204">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Presidentes y Vicepresidentes de las Comisiones de Estudio de Radiocomunicaciones </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51672E" w:rsidRPr="00D00AD1" w:rsidRDefault="002E6646" w:rsidP="009F1A2F">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Secretario General de la UIT, Director de la Oficina de Normalización de las Telecomunicaciones, Director de la Oficina de Desarrollo de Telecomunicaciones</w:t>
      </w:r>
      <w:r w:rsidR="00623AE3">
        <w:rPr>
          <w:sz w:val="18"/>
          <w:szCs w:val="18"/>
          <w:lang w:val="es-ES_tradnl"/>
        </w:rPr>
        <w:br w:type="page"/>
      </w:r>
    </w:p>
    <w:p w:rsidR="002A0CAC" w:rsidRPr="004D0CD8" w:rsidRDefault="004D0CD8" w:rsidP="004D0CD8">
      <w:pPr>
        <w:pStyle w:val="AnnexNotitle0"/>
        <w:rPr>
          <w:rFonts w:ascii="Calibri" w:hAnsi="Calibri"/>
        </w:rPr>
      </w:pPr>
      <w:r w:rsidRPr="004D0CD8">
        <w:rPr>
          <w:rFonts w:ascii="Calibri" w:hAnsi="Calibri"/>
          <w:bCs/>
        </w:rPr>
        <w:lastRenderedPageBreak/>
        <w:t>Anexo</w:t>
      </w:r>
      <w:r w:rsidRPr="004D0CD8">
        <w:rPr>
          <w:rFonts w:ascii="Calibri" w:hAnsi="Calibri"/>
        </w:rPr>
        <w:br/>
      </w:r>
      <w:r w:rsidRPr="004D0CD8">
        <w:rPr>
          <w:rFonts w:ascii="Calibri" w:hAnsi="Calibri"/>
        </w:rPr>
        <w:br/>
      </w:r>
      <w:r w:rsidR="002A0CAC" w:rsidRPr="004D0CD8">
        <w:rPr>
          <w:rFonts w:ascii="Calibri" w:hAnsi="Calibri"/>
        </w:rPr>
        <w:t>Títulos y resúmenes de los proyectos de Recomendación</w:t>
      </w:r>
    </w:p>
    <w:p w:rsidR="002A0CAC" w:rsidRPr="00B03A7B" w:rsidRDefault="002A0CAC" w:rsidP="00F570C1">
      <w:pPr>
        <w:tabs>
          <w:tab w:val="right" w:pos="9639"/>
        </w:tabs>
        <w:spacing w:before="360"/>
        <w:rPr>
          <w:rFonts w:asciiTheme="minorHAnsi" w:hAnsiTheme="minorHAnsi" w:cstheme="minorHAnsi"/>
          <w:szCs w:val="24"/>
          <w:lang w:val="es-ES_tradnl"/>
        </w:rPr>
      </w:pPr>
      <w:r w:rsidRPr="00B03A7B">
        <w:rPr>
          <w:rFonts w:asciiTheme="minorHAnsi" w:hAnsiTheme="minorHAnsi" w:cstheme="minorHAnsi"/>
          <w:szCs w:val="24"/>
          <w:u w:val="single"/>
          <w:lang w:val="es-ES_tradnl"/>
        </w:rPr>
        <w:t xml:space="preserve">Proyecto de nueva Recomendación </w:t>
      </w:r>
      <w:proofErr w:type="spellStart"/>
      <w:r w:rsidRPr="00B03A7B">
        <w:rPr>
          <w:rFonts w:asciiTheme="minorHAnsi" w:hAnsiTheme="minorHAnsi" w:cstheme="minorHAnsi"/>
          <w:szCs w:val="24"/>
          <w:u w:val="single"/>
          <w:lang w:val="es-ES_tradnl"/>
        </w:rPr>
        <w:t>UIT</w:t>
      </w:r>
      <w:proofErr w:type="spellEnd"/>
      <w:r w:rsidRPr="00B03A7B">
        <w:rPr>
          <w:rFonts w:asciiTheme="minorHAnsi" w:hAnsiTheme="minorHAnsi" w:cstheme="minorHAnsi"/>
          <w:szCs w:val="24"/>
          <w:u w:val="single"/>
          <w:lang w:val="es-ES_tradnl"/>
        </w:rPr>
        <w:t xml:space="preserve">-R </w:t>
      </w:r>
      <w:r w:rsidRPr="00B03A7B">
        <w:rPr>
          <w:rFonts w:asciiTheme="minorHAnsi" w:hAnsiTheme="minorHAnsi"/>
          <w:szCs w:val="24"/>
          <w:u w:val="single"/>
          <w:lang w:val="es-ES_tradnl"/>
        </w:rPr>
        <w:t>S</w:t>
      </w:r>
      <w:proofErr w:type="gramStart"/>
      <w:r w:rsidRPr="00B03A7B">
        <w:rPr>
          <w:rFonts w:asciiTheme="minorHAnsi" w:hAnsiTheme="minorHAnsi"/>
          <w:szCs w:val="24"/>
          <w:u w:val="single"/>
          <w:lang w:val="es-ES_tradnl"/>
        </w:rPr>
        <w:t>.[</w:t>
      </w:r>
      <w:proofErr w:type="spellStart"/>
      <w:proofErr w:type="gramEnd"/>
      <w:r w:rsidR="00F570C1" w:rsidRPr="00F570C1">
        <w:rPr>
          <w:rFonts w:asciiTheme="minorHAnsi" w:hAnsiTheme="minorHAnsi"/>
          <w:szCs w:val="24"/>
          <w:u w:val="single"/>
          <w:lang w:val="es-ES"/>
        </w:rPr>
        <w:t>GUIDELINES</w:t>
      </w:r>
      <w:proofErr w:type="spellEnd"/>
      <w:r w:rsidRPr="00B03A7B">
        <w:rPr>
          <w:rFonts w:asciiTheme="minorHAnsi" w:hAnsiTheme="minorHAnsi"/>
          <w:szCs w:val="24"/>
          <w:u w:val="single"/>
          <w:lang w:val="es-ES_tradnl"/>
        </w:rPr>
        <w:t>_14,5-14,8 GHz]</w:t>
      </w:r>
      <w:r w:rsidRPr="00B03A7B">
        <w:rPr>
          <w:rFonts w:asciiTheme="minorHAnsi" w:hAnsiTheme="minorHAnsi" w:cstheme="minorHAnsi"/>
          <w:szCs w:val="24"/>
          <w:lang w:val="es-ES_tradnl"/>
        </w:rPr>
        <w:tab/>
      </w:r>
      <w:r w:rsidRPr="004D0CD8">
        <w:rPr>
          <w:rFonts w:asciiTheme="minorHAnsi" w:hAnsiTheme="minorHAnsi" w:cstheme="minorHAnsi"/>
          <w:szCs w:val="24"/>
          <w:lang w:val="es-ES_tradnl"/>
        </w:rPr>
        <w:t>Doc. 4/40(</w:t>
      </w:r>
      <w:proofErr w:type="spellStart"/>
      <w:r w:rsidRPr="004D0CD8">
        <w:rPr>
          <w:rFonts w:asciiTheme="minorHAnsi" w:hAnsiTheme="minorHAnsi" w:cstheme="minorHAnsi"/>
          <w:szCs w:val="24"/>
          <w:lang w:val="es-ES_tradnl"/>
        </w:rPr>
        <w:t>Rev.1</w:t>
      </w:r>
      <w:proofErr w:type="spellEnd"/>
      <w:r w:rsidRPr="004D0CD8">
        <w:rPr>
          <w:rFonts w:asciiTheme="minorHAnsi" w:hAnsiTheme="minorHAnsi" w:cstheme="minorHAnsi"/>
          <w:szCs w:val="24"/>
          <w:lang w:val="es-ES_tradnl"/>
        </w:rPr>
        <w:t>)</w:t>
      </w:r>
    </w:p>
    <w:p w:rsidR="007F7DA6" w:rsidRDefault="002A0CAC" w:rsidP="002A0CAC">
      <w:pPr>
        <w:tabs>
          <w:tab w:val="right" w:pos="9639"/>
        </w:tabs>
        <w:spacing w:before="360"/>
        <w:jc w:val="center"/>
        <w:rPr>
          <w:b/>
          <w:bCs/>
          <w:sz w:val="28"/>
          <w:szCs w:val="28"/>
          <w:lang w:val="es-ES_tradnl"/>
        </w:rPr>
      </w:pPr>
      <w:r w:rsidRPr="00B03A7B">
        <w:rPr>
          <w:b/>
          <w:bCs/>
          <w:sz w:val="28"/>
          <w:szCs w:val="28"/>
          <w:lang w:val="es-ES_tradnl"/>
        </w:rPr>
        <w:t xml:space="preserve">Directrices para llevar a cabo la coordinación bilateral para acuerdos explícitos, </w:t>
      </w:r>
      <w:r>
        <w:rPr>
          <w:b/>
          <w:bCs/>
          <w:sz w:val="28"/>
          <w:szCs w:val="28"/>
          <w:lang w:val="es-ES_tradnl"/>
        </w:rPr>
        <w:t>en la banda de frecuencias 14,5-</w:t>
      </w:r>
      <w:r w:rsidR="00F570C1">
        <w:rPr>
          <w:b/>
          <w:bCs/>
          <w:sz w:val="28"/>
          <w:szCs w:val="28"/>
          <w:lang w:val="es-ES_tradnl"/>
        </w:rPr>
        <w:t>14,75 GHz</w:t>
      </w:r>
      <w:r w:rsidRPr="00B03A7B">
        <w:rPr>
          <w:b/>
          <w:bCs/>
          <w:sz w:val="28"/>
          <w:szCs w:val="28"/>
          <w:lang w:val="es-ES_tradnl"/>
        </w:rPr>
        <w:t xml:space="preserve"> para los países de las Regiones 1 y 2, o </w:t>
      </w:r>
      <w:r>
        <w:rPr>
          <w:b/>
          <w:bCs/>
          <w:sz w:val="28"/>
          <w:szCs w:val="28"/>
          <w:lang w:val="es-ES_tradnl"/>
        </w:rPr>
        <w:t>en la banda de frecuencias 14,5-</w:t>
      </w:r>
      <w:r w:rsidR="00F570C1">
        <w:rPr>
          <w:b/>
          <w:bCs/>
          <w:sz w:val="28"/>
          <w:szCs w:val="28"/>
          <w:lang w:val="es-ES_tradnl"/>
        </w:rPr>
        <w:t>14,8 GHz</w:t>
      </w:r>
      <w:r w:rsidRPr="00B03A7B">
        <w:rPr>
          <w:b/>
          <w:bCs/>
          <w:sz w:val="28"/>
          <w:szCs w:val="28"/>
          <w:lang w:val="es-ES_tradnl"/>
        </w:rPr>
        <w:t xml:space="preserve"> para los países de la Región 3, en el servicio fijo por satélite (Tierra-espacio) para un uso distinto de los enlaces de conexión para el servicio de radiodifusión por satélite, a fin de proteger a todos los sistemas existentes y planificados de l</w:t>
      </w:r>
      <w:r>
        <w:rPr>
          <w:b/>
          <w:bCs/>
          <w:sz w:val="28"/>
          <w:szCs w:val="28"/>
          <w:lang w:val="es-ES_tradnl"/>
        </w:rPr>
        <w:t>os servicios atribuidos en 14,5-</w:t>
      </w:r>
      <w:r w:rsidRPr="00B03A7B">
        <w:rPr>
          <w:b/>
          <w:bCs/>
          <w:sz w:val="28"/>
          <w:szCs w:val="28"/>
          <w:lang w:val="es-ES_tradnl"/>
        </w:rPr>
        <w:t>14,8 GHz en los territorios de aquellas administraciones que se impliquen en tales acuerdos</w:t>
      </w:r>
    </w:p>
    <w:p w:rsidR="002A0CAC" w:rsidRPr="00B03A7B" w:rsidRDefault="002A0CAC" w:rsidP="007F7DA6">
      <w:pPr>
        <w:spacing w:before="240"/>
        <w:rPr>
          <w:rFonts w:asciiTheme="majorBidi" w:hAnsiTheme="majorBidi" w:cstheme="majorBidi"/>
          <w:szCs w:val="24"/>
          <w:lang w:val="es-ES_tradnl"/>
        </w:rPr>
      </w:pPr>
      <w:r>
        <w:rPr>
          <w:szCs w:val="24"/>
          <w:lang w:val="es-ES_tradnl" w:eastAsia="zh-CN"/>
        </w:rPr>
        <w:t>Esta</w:t>
      </w:r>
      <w:r w:rsidRPr="00B03A7B">
        <w:rPr>
          <w:szCs w:val="24"/>
          <w:lang w:val="es-ES_tradnl" w:eastAsia="zh-CN"/>
        </w:rPr>
        <w:t xml:space="preserve"> Recomendación tiene por objeto proporcionar directrices a las administraciones que participan en la coordinación bilateral para acuerdos explícitos, en virtud </w:t>
      </w:r>
      <w:proofErr w:type="gramStart"/>
      <w:r w:rsidRPr="00B03A7B">
        <w:rPr>
          <w:szCs w:val="24"/>
          <w:lang w:val="es-ES_tradnl" w:eastAsia="zh-CN"/>
        </w:rPr>
        <w:t xml:space="preserve">del número </w:t>
      </w:r>
      <w:proofErr w:type="spellStart"/>
      <w:r w:rsidRPr="00B03A7B">
        <w:rPr>
          <w:b/>
          <w:bCs/>
          <w:szCs w:val="24"/>
          <w:lang w:val="es-ES_tradnl" w:eastAsia="zh-CN"/>
        </w:rPr>
        <w:t>5.509E</w:t>
      </w:r>
      <w:proofErr w:type="spellEnd"/>
      <w:r w:rsidRPr="00B03A7B">
        <w:rPr>
          <w:b/>
          <w:bCs/>
          <w:szCs w:val="24"/>
          <w:lang w:val="es-ES_tradnl" w:eastAsia="zh-CN"/>
        </w:rPr>
        <w:t xml:space="preserve"> </w:t>
      </w:r>
      <w:r w:rsidRPr="00B03A7B">
        <w:rPr>
          <w:szCs w:val="24"/>
          <w:lang w:val="es-ES_tradnl" w:eastAsia="zh-CN"/>
        </w:rPr>
        <w:t xml:space="preserve">del </w:t>
      </w:r>
      <w:proofErr w:type="spellStart"/>
      <w:r w:rsidRPr="00B03A7B">
        <w:rPr>
          <w:szCs w:val="24"/>
          <w:lang w:val="es-ES_tradnl" w:eastAsia="zh-CN"/>
        </w:rPr>
        <w:t>RR</w:t>
      </w:r>
      <w:proofErr w:type="spellEnd"/>
      <w:r w:rsidRPr="00B03A7B">
        <w:rPr>
          <w:szCs w:val="24"/>
          <w:lang w:val="es-ES_tradnl" w:eastAsia="zh-CN"/>
        </w:rPr>
        <w:t>, sentando una base para los debates encaminados a garantizar la protección de los sistemas del servicio móvil aeronáutico existentes y planificados</w:t>
      </w:r>
      <w:proofErr w:type="gramEnd"/>
      <w:r w:rsidRPr="00B03A7B">
        <w:rPr>
          <w:szCs w:val="24"/>
          <w:lang w:val="es-ES_tradnl" w:eastAsia="zh-CN"/>
        </w:rPr>
        <w:t xml:space="preserve"> en todas las administraciones interesadas. </w:t>
      </w:r>
    </w:p>
    <w:p w:rsidR="002A0CAC" w:rsidRPr="00B03A7B" w:rsidRDefault="002A0CAC" w:rsidP="007F7DA6">
      <w:pPr>
        <w:tabs>
          <w:tab w:val="right" w:pos="9639"/>
        </w:tabs>
        <w:spacing w:before="480"/>
        <w:rPr>
          <w:rStyle w:val="RectitleChar"/>
          <w:rFonts w:asciiTheme="minorHAnsi" w:hAnsiTheme="minorHAnsi" w:cstheme="minorHAnsi"/>
          <w:b w:val="0"/>
          <w:szCs w:val="24"/>
          <w:lang w:val="es-ES_tradnl"/>
        </w:rPr>
      </w:pPr>
      <w:r w:rsidRPr="00B03A7B">
        <w:rPr>
          <w:bCs/>
          <w:u w:val="single"/>
          <w:lang w:val="es-ES_tradnl"/>
        </w:rPr>
        <w:t xml:space="preserve">Proyecto de revisión de la Recomendación </w:t>
      </w:r>
      <w:proofErr w:type="spellStart"/>
      <w:r w:rsidRPr="00B03A7B">
        <w:rPr>
          <w:bCs/>
          <w:u w:val="single"/>
          <w:lang w:val="es-ES_tradnl"/>
        </w:rPr>
        <w:t>UIT</w:t>
      </w:r>
      <w:proofErr w:type="spellEnd"/>
      <w:r w:rsidRPr="00B03A7B">
        <w:rPr>
          <w:bCs/>
          <w:u w:val="single"/>
          <w:lang w:val="es-ES_tradnl"/>
        </w:rPr>
        <w:t xml:space="preserve">-R </w:t>
      </w:r>
      <w:proofErr w:type="spellStart"/>
      <w:r w:rsidRPr="00B03A7B">
        <w:rPr>
          <w:bCs/>
          <w:u w:val="single"/>
          <w:lang w:val="es-ES_tradnl"/>
        </w:rPr>
        <w:t>M.1184</w:t>
      </w:r>
      <w:proofErr w:type="spellEnd"/>
      <w:r w:rsidRPr="00B03A7B">
        <w:rPr>
          <w:bCs/>
          <w:u w:val="single"/>
          <w:lang w:val="es-ES_tradnl"/>
        </w:rPr>
        <w:t>-2</w:t>
      </w:r>
      <w:r w:rsidRPr="00B03A7B">
        <w:rPr>
          <w:rStyle w:val="RectitleChar"/>
          <w:rFonts w:asciiTheme="minorHAnsi" w:hAnsiTheme="minorHAnsi" w:cstheme="minorHAnsi"/>
          <w:bCs/>
          <w:szCs w:val="24"/>
          <w:lang w:val="es-ES_tradnl"/>
        </w:rPr>
        <w:tab/>
      </w:r>
      <w:r w:rsidRPr="004D0CD8">
        <w:rPr>
          <w:rStyle w:val="RectitleChar"/>
          <w:rFonts w:asciiTheme="minorHAnsi" w:hAnsiTheme="minorHAnsi" w:cstheme="minorHAnsi"/>
          <w:b w:val="0"/>
          <w:bCs/>
          <w:sz w:val="24"/>
          <w:szCs w:val="24"/>
          <w:lang w:val="es-ES_tradnl"/>
        </w:rPr>
        <w:t>Doc. 4/37</w:t>
      </w:r>
    </w:p>
    <w:p w:rsidR="002A0CAC" w:rsidRPr="00B03A7B" w:rsidRDefault="002A0CAC" w:rsidP="002A0CAC">
      <w:pPr>
        <w:spacing w:before="360"/>
        <w:jc w:val="center"/>
        <w:rPr>
          <w:b/>
          <w:bCs/>
          <w:sz w:val="28"/>
          <w:szCs w:val="28"/>
          <w:lang w:val="es-ES_tradnl" w:eastAsia="ja-JP"/>
        </w:rPr>
      </w:pPr>
      <w:r w:rsidRPr="00B03A7B">
        <w:rPr>
          <w:b/>
          <w:bCs/>
          <w:sz w:val="28"/>
          <w:szCs w:val="28"/>
          <w:lang w:val="es-ES_tradnl" w:eastAsia="ja-JP"/>
        </w:rPr>
        <w:t xml:space="preserve">Características técnicas de los sistemas móviles por satélite en las bandas de frecuencias inferiores a 3 GHz para su utilización en el desarrollo de criterios para la compartición para el servicio móvil por satélite (SMS) y otros servicios </w:t>
      </w:r>
    </w:p>
    <w:p w:rsidR="002A0CAC" w:rsidRPr="00B03A7B" w:rsidRDefault="002A0CAC" w:rsidP="007F7DA6">
      <w:pPr>
        <w:spacing w:before="240"/>
        <w:rPr>
          <w:szCs w:val="24"/>
          <w:lang w:val="es-ES_tradnl"/>
        </w:rPr>
      </w:pPr>
      <w:r w:rsidRPr="00B03A7B">
        <w:rPr>
          <w:rFonts w:eastAsia="MS Mincho"/>
          <w:szCs w:val="24"/>
          <w:lang w:val="es-ES_tradnl"/>
        </w:rPr>
        <w:t>Esta revisión comprende las siguientes modificaciones:</w:t>
      </w:r>
    </w:p>
    <w:p w:rsidR="002A0CAC" w:rsidRPr="00B03A7B" w:rsidRDefault="002A0CAC" w:rsidP="001D21E5">
      <w:pPr>
        <w:pStyle w:val="enumlev1"/>
        <w:rPr>
          <w:rFonts w:eastAsia="SimSun"/>
          <w:szCs w:val="24"/>
          <w:lang w:val="es-ES_tradnl"/>
        </w:rPr>
      </w:pPr>
      <w:r w:rsidRPr="00B03A7B">
        <w:rPr>
          <w:szCs w:val="24"/>
          <w:lang w:val="es-ES_tradnl"/>
        </w:rPr>
        <w:t>1)</w:t>
      </w:r>
      <w:r w:rsidRPr="00B03A7B">
        <w:rPr>
          <w:szCs w:val="24"/>
          <w:lang w:val="es-ES_tradnl"/>
        </w:rPr>
        <w:tab/>
        <w:t xml:space="preserve">actualización de la sección 2, </w:t>
      </w:r>
      <w:r w:rsidR="001D21E5" w:rsidRPr="001D21E5">
        <w:rPr>
          <w:szCs w:val="24"/>
          <w:lang w:val="es-ES_tradnl"/>
        </w:rPr>
        <w:t xml:space="preserve">Sistemas </w:t>
      </w:r>
      <w:proofErr w:type="spellStart"/>
      <w:r w:rsidR="001D21E5" w:rsidRPr="001D21E5">
        <w:rPr>
          <w:szCs w:val="24"/>
          <w:lang w:val="es-ES_tradnl"/>
        </w:rPr>
        <w:t>OSG</w:t>
      </w:r>
      <w:proofErr w:type="spellEnd"/>
      <w:r w:rsidR="001D21E5" w:rsidRPr="001D21E5">
        <w:rPr>
          <w:szCs w:val="24"/>
          <w:lang w:val="es-ES_tradnl"/>
        </w:rPr>
        <w:t xml:space="preserve"> mundiales y regionales/nacionales</w:t>
      </w:r>
      <w:r w:rsidRPr="00B03A7B">
        <w:rPr>
          <w:szCs w:val="24"/>
          <w:lang w:val="es-ES_tradnl"/>
        </w:rPr>
        <w:t xml:space="preserve">, con miras a la inclusión de nuevos sistemas </w:t>
      </w:r>
      <w:proofErr w:type="spellStart"/>
      <w:r w:rsidRPr="00B03A7B">
        <w:rPr>
          <w:szCs w:val="24"/>
          <w:lang w:val="es-ES_tradnl"/>
        </w:rPr>
        <w:t>OSG</w:t>
      </w:r>
      <w:proofErr w:type="spellEnd"/>
      <w:r w:rsidRPr="00B03A7B">
        <w:rPr>
          <w:szCs w:val="24"/>
          <w:lang w:val="es-ES_tradnl"/>
        </w:rPr>
        <w:t xml:space="preserve"> y no </w:t>
      </w:r>
      <w:proofErr w:type="spellStart"/>
      <w:r w:rsidRPr="00B03A7B">
        <w:rPr>
          <w:szCs w:val="24"/>
          <w:lang w:val="es-ES_tradnl"/>
        </w:rPr>
        <w:t>OSG</w:t>
      </w:r>
      <w:proofErr w:type="spellEnd"/>
      <w:r w:rsidRPr="00B03A7B">
        <w:rPr>
          <w:szCs w:val="24"/>
          <w:lang w:val="es-ES_tradnl"/>
        </w:rPr>
        <w:t xml:space="preserve"> del SMS;</w:t>
      </w:r>
    </w:p>
    <w:p w:rsidR="002A0CAC" w:rsidRPr="00B03A7B" w:rsidRDefault="002A0CAC" w:rsidP="002A0CAC">
      <w:pPr>
        <w:pStyle w:val="enumlev1"/>
        <w:rPr>
          <w:szCs w:val="24"/>
          <w:lang w:val="es-ES_tradnl"/>
        </w:rPr>
      </w:pPr>
      <w:r w:rsidRPr="00B03A7B">
        <w:rPr>
          <w:rFonts w:eastAsia="MS Mincho"/>
          <w:szCs w:val="24"/>
          <w:lang w:val="es-ES_tradnl"/>
        </w:rPr>
        <w:t>2)</w:t>
      </w:r>
      <w:r w:rsidRPr="00B03A7B">
        <w:rPr>
          <w:rFonts w:eastAsia="MS Mincho"/>
          <w:szCs w:val="24"/>
          <w:lang w:val="es-ES_tradnl"/>
        </w:rPr>
        <w:tab/>
      </w:r>
      <w:r w:rsidRPr="00B03A7B">
        <w:rPr>
          <w:szCs w:val="24"/>
          <w:lang w:val="es-ES_tradnl"/>
        </w:rPr>
        <w:t xml:space="preserve">actualización del </w:t>
      </w:r>
      <w:r w:rsidR="004E61C7" w:rsidRPr="00B03A7B">
        <w:rPr>
          <w:szCs w:val="24"/>
          <w:lang w:val="es-ES_tradnl"/>
        </w:rPr>
        <w:t>Cuadro</w:t>
      </w:r>
      <w:r w:rsidR="004E61C7" w:rsidRPr="00B03A7B">
        <w:rPr>
          <w:rFonts w:eastAsia="MS Mincho"/>
          <w:szCs w:val="24"/>
          <w:lang w:val="es-ES_tradnl"/>
        </w:rPr>
        <w:t xml:space="preserve"> </w:t>
      </w:r>
      <w:r w:rsidRPr="00B03A7B">
        <w:rPr>
          <w:rFonts w:eastAsia="MS Mincho"/>
          <w:szCs w:val="24"/>
          <w:lang w:val="es-ES_tradnl"/>
        </w:rPr>
        <w:t xml:space="preserve">1, con miras a la revisión de las características </w:t>
      </w:r>
      <w:r w:rsidRPr="00B03A7B">
        <w:rPr>
          <w:lang w:val="es-ES_tradnl"/>
        </w:rPr>
        <w:t xml:space="preserve">técnicas de los sistemas móviles por satélite en la </w:t>
      </w:r>
      <w:proofErr w:type="spellStart"/>
      <w:r w:rsidRPr="00B03A7B">
        <w:rPr>
          <w:lang w:val="es-ES_tradnl"/>
        </w:rPr>
        <w:t>OSG</w:t>
      </w:r>
      <w:proofErr w:type="spellEnd"/>
      <w:r w:rsidRPr="00B03A7B">
        <w:rPr>
          <w:lang w:val="es-ES_tradnl"/>
        </w:rPr>
        <w:t xml:space="preserve"> </w:t>
      </w:r>
      <w:r w:rsidRPr="00B03A7B">
        <w:rPr>
          <w:rFonts w:eastAsia="MS Mincho"/>
          <w:szCs w:val="24"/>
          <w:lang w:val="es-ES_tradnl"/>
        </w:rPr>
        <w:t>de China;</w:t>
      </w:r>
    </w:p>
    <w:p w:rsidR="002A0CAC" w:rsidRPr="00B03A7B" w:rsidRDefault="002A0CAC" w:rsidP="002A0CAC">
      <w:pPr>
        <w:pStyle w:val="enumlev1"/>
        <w:rPr>
          <w:szCs w:val="24"/>
          <w:lang w:val="es-ES_tradnl"/>
        </w:rPr>
      </w:pPr>
      <w:r w:rsidRPr="00B03A7B">
        <w:rPr>
          <w:rFonts w:eastAsia="MS Mincho"/>
          <w:szCs w:val="24"/>
          <w:lang w:val="es-ES_tradnl"/>
        </w:rPr>
        <w:t>3)</w:t>
      </w:r>
      <w:r w:rsidRPr="00B03A7B">
        <w:rPr>
          <w:rFonts w:eastAsia="MS Mincho"/>
          <w:szCs w:val="24"/>
          <w:lang w:val="es-ES_tradnl"/>
        </w:rPr>
        <w:tab/>
      </w:r>
      <w:r w:rsidRPr="00B03A7B">
        <w:rPr>
          <w:szCs w:val="24"/>
          <w:lang w:val="es-ES_tradnl"/>
        </w:rPr>
        <w:t xml:space="preserve">actualización del </w:t>
      </w:r>
      <w:r w:rsidR="004E61C7" w:rsidRPr="00B03A7B">
        <w:rPr>
          <w:szCs w:val="24"/>
          <w:lang w:val="es-ES_tradnl"/>
        </w:rPr>
        <w:t>Cuadro</w:t>
      </w:r>
      <w:r w:rsidR="004E61C7" w:rsidRPr="00B03A7B">
        <w:rPr>
          <w:rFonts w:eastAsia="MS Mincho"/>
          <w:szCs w:val="24"/>
          <w:lang w:val="es-ES_tradnl"/>
        </w:rPr>
        <w:t xml:space="preserve"> </w:t>
      </w:r>
      <w:r w:rsidRPr="00B03A7B">
        <w:rPr>
          <w:rFonts w:eastAsia="MS Mincho"/>
          <w:szCs w:val="24"/>
          <w:lang w:val="es-ES_tradnl"/>
        </w:rPr>
        <w:t xml:space="preserve">4, con miras a la revisión de las características técnicas de los sistemas móviles por satélites no </w:t>
      </w:r>
      <w:proofErr w:type="spellStart"/>
      <w:r w:rsidRPr="00B03A7B">
        <w:rPr>
          <w:rFonts w:eastAsia="MS Mincho"/>
          <w:szCs w:val="24"/>
          <w:lang w:val="es-ES_tradnl"/>
        </w:rPr>
        <w:t>OSG</w:t>
      </w:r>
      <w:proofErr w:type="spellEnd"/>
      <w:r w:rsidRPr="00B03A7B">
        <w:rPr>
          <w:rFonts w:eastAsia="MS Mincho"/>
          <w:szCs w:val="24"/>
          <w:lang w:val="es-ES_tradnl"/>
        </w:rPr>
        <w:t xml:space="preserve"> de China;</w:t>
      </w:r>
    </w:p>
    <w:p w:rsidR="002A0CAC" w:rsidRPr="00B03A7B" w:rsidRDefault="002A0CAC" w:rsidP="00A7045B">
      <w:pPr>
        <w:pStyle w:val="enumlev1"/>
        <w:rPr>
          <w:szCs w:val="24"/>
          <w:lang w:val="es-ES_tradnl"/>
        </w:rPr>
      </w:pPr>
      <w:r w:rsidRPr="00B03A7B">
        <w:rPr>
          <w:szCs w:val="24"/>
          <w:lang w:val="es-ES_tradnl"/>
        </w:rPr>
        <w:t>4)</w:t>
      </w:r>
      <w:r w:rsidRPr="00B03A7B">
        <w:rPr>
          <w:szCs w:val="24"/>
          <w:lang w:val="es-ES_tradnl"/>
        </w:rPr>
        <w:tab/>
        <w:t xml:space="preserve">actualización de la sección 2.1, </w:t>
      </w:r>
      <w:r w:rsidR="00A7045B" w:rsidRPr="00A7045B">
        <w:rPr>
          <w:szCs w:val="24"/>
          <w:lang w:val="es-ES_tradnl"/>
        </w:rPr>
        <w:t>Servicio móvil marítimo por satélite</w:t>
      </w:r>
      <w:r w:rsidRPr="00B03A7B">
        <w:rPr>
          <w:szCs w:val="24"/>
          <w:lang w:val="es-ES_tradnl"/>
        </w:rPr>
        <w:t>, con miras a la inclusión de servicios actuales;</w:t>
      </w:r>
    </w:p>
    <w:p w:rsidR="002A0CAC" w:rsidRPr="00B03A7B" w:rsidRDefault="002A0CAC" w:rsidP="002A0CAC">
      <w:pPr>
        <w:pStyle w:val="enumlev1"/>
        <w:rPr>
          <w:szCs w:val="24"/>
          <w:lang w:val="es-ES_tradnl"/>
        </w:rPr>
      </w:pPr>
      <w:r w:rsidRPr="00B03A7B">
        <w:rPr>
          <w:szCs w:val="24"/>
          <w:lang w:val="es-ES_tradnl"/>
        </w:rPr>
        <w:t>5)</w:t>
      </w:r>
      <w:r w:rsidRPr="00B03A7B">
        <w:rPr>
          <w:szCs w:val="24"/>
          <w:lang w:val="es-ES_tradnl"/>
        </w:rPr>
        <w:tab/>
        <w:t xml:space="preserve">supresión en la sección 2.4 de la referencia a la Recomendación </w:t>
      </w:r>
      <w:proofErr w:type="spellStart"/>
      <w:r w:rsidRPr="00B03A7B">
        <w:rPr>
          <w:szCs w:val="24"/>
          <w:lang w:val="es-ES_tradnl"/>
        </w:rPr>
        <w:t>UIT</w:t>
      </w:r>
      <w:proofErr w:type="spellEnd"/>
      <w:r w:rsidRPr="00B03A7B">
        <w:rPr>
          <w:szCs w:val="24"/>
          <w:lang w:val="es-ES_tradnl"/>
        </w:rPr>
        <w:t xml:space="preserve">-R </w:t>
      </w:r>
      <w:proofErr w:type="spellStart"/>
      <w:r w:rsidRPr="00B03A7B">
        <w:rPr>
          <w:szCs w:val="24"/>
          <w:lang w:val="es-ES_tradnl"/>
        </w:rPr>
        <w:t>M.632</w:t>
      </w:r>
      <w:proofErr w:type="spellEnd"/>
      <w:r w:rsidRPr="00B03A7B">
        <w:rPr>
          <w:szCs w:val="24"/>
          <w:lang w:val="es-ES_tradnl"/>
        </w:rPr>
        <w:t>, que ha dejado de ser aplicable, y</w:t>
      </w:r>
    </w:p>
    <w:p w:rsidR="002A0CAC" w:rsidRPr="00B03A7B" w:rsidRDefault="002A0CAC" w:rsidP="009371F2">
      <w:pPr>
        <w:pStyle w:val="enumlev1"/>
        <w:rPr>
          <w:szCs w:val="24"/>
          <w:lang w:val="es-ES_tradnl"/>
        </w:rPr>
      </w:pPr>
      <w:r w:rsidRPr="00B03A7B">
        <w:rPr>
          <w:szCs w:val="24"/>
          <w:lang w:val="es-ES_tradnl"/>
        </w:rPr>
        <w:t>6)</w:t>
      </w:r>
      <w:r w:rsidRPr="00B03A7B">
        <w:rPr>
          <w:szCs w:val="24"/>
          <w:lang w:val="es-ES_tradnl"/>
        </w:rPr>
        <w:tab/>
        <w:t xml:space="preserve">actualización del </w:t>
      </w:r>
      <w:r w:rsidR="004E61C7" w:rsidRPr="00B03A7B">
        <w:rPr>
          <w:szCs w:val="24"/>
          <w:lang w:val="es-ES_tradnl"/>
        </w:rPr>
        <w:t>Cuadro</w:t>
      </w:r>
      <w:r w:rsidR="004E61C7" w:rsidRPr="00B03A7B">
        <w:rPr>
          <w:rFonts w:eastAsia="MS Mincho"/>
          <w:szCs w:val="24"/>
          <w:lang w:val="es-ES_tradnl"/>
        </w:rPr>
        <w:t xml:space="preserve"> </w:t>
      </w:r>
      <w:r w:rsidRPr="00B03A7B">
        <w:rPr>
          <w:szCs w:val="24"/>
          <w:lang w:val="es-ES_tradnl"/>
        </w:rPr>
        <w:t xml:space="preserve">2, </w:t>
      </w:r>
      <w:r w:rsidR="009371F2" w:rsidRPr="009371F2">
        <w:rPr>
          <w:szCs w:val="24"/>
          <w:lang w:val="es-ES_tradnl"/>
        </w:rPr>
        <w:t xml:space="preserve">Características de los sistemas </w:t>
      </w:r>
      <w:proofErr w:type="spellStart"/>
      <w:r w:rsidR="009371F2" w:rsidRPr="009371F2">
        <w:rPr>
          <w:szCs w:val="24"/>
          <w:lang w:val="es-ES_tradnl"/>
        </w:rPr>
        <w:t>Inmarsat</w:t>
      </w:r>
      <w:proofErr w:type="spellEnd"/>
      <w:r w:rsidR="009371F2" w:rsidRPr="009371F2">
        <w:rPr>
          <w:szCs w:val="24"/>
          <w:lang w:val="es-ES_tradnl"/>
        </w:rPr>
        <w:t xml:space="preserve"> en la </w:t>
      </w:r>
      <w:proofErr w:type="spellStart"/>
      <w:r w:rsidR="009371F2" w:rsidRPr="009371F2">
        <w:rPr>
          <w:szCs w:val="24"/>
          <w:lang w:val="es-ES_tradnl"/>
        </w:rPr>
        <w:t>OSG</w:t>
      </w:r>
      <w:proofErr w:type="spellEnd"/>
      <w:r w:rsidRPr="00B03A7B">
        <w:rPr>
          <w:szCs w:val="24"/>
          <w:lang w:val="es-ES_tradnl"/>
        </w:rPr>
        <w:t>.</w:t>
      </w:r>
    </w:p>
    <w:p w:rsidR="002A0CAC" w:rsidRDefault="002A0CAC" w:rsidP="002A0CAC">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Cs w:val="24"/>
          <w:u w:val="single"/>
          <w:lang w:val="es-ES_tradnl"/>
        </w:rPr>
      </w:pPr>
      <w:r>
        <w:rPr>
          <w:rStyle w:val="RectitleChar"/>
          <w:rFonts w:asciiTheme="minorHAnsi" w:hAnsiTheme="minorHAnsi" w:cstheme="minorHAnsi"/>
          <w:bCs/>
          <w:szCs w:val="24"/>
          <w:u w:val="single"/>
          <w:lang w:val="es-ES_tradnl"/>
        </w:rPr>
        <w:br w:type="page"/>
      </w:r>
    </w:p>
    <w:p w:rsidR="002A0CAC" w:rsidRPr="00B03A7B" w:rsidRDefault="002A0CAC" w:rsidP="002A0CAC">
      <w:pPr>
        <w:tabs>
          <w:tab w:val="right" w:pos="9639"/>
        </w:tabs>
        <w:spacing w:before="240"/>
        <w:rPr>
          <w:rStyle w:val="RectitleChar"/>
          <w:rFonts w:asciiTheme="minorHAnsi" w:hAnsiTheme="minorHAnsi" w:cstheme="minorHAnsi"/>
          <w:b w:val="0"/>
          <w:szCs w:val="24"/>
          <w:lang w:val="es-ES_tradnl"/>
        </w:rPr>
      </w:pPr>
      <w:r w:rsidRPr="00B03A7B">
        <w:rPr>
          <w:bCs/>
          <w:u w:val="single"/>
          <w:lang w:val="es-ES_tradnl"/>
        </w:rPr>
        <w:lastRenderedPageBreak/>
        <w:t xml:space="preserve">Proyecto de revisión de la Recomendación </w:t>
      </w:r>
      <w:proofErr w:type="spellStart"/>
      <w:r w:rsidRPr="00B03A7B">
        <w:rPr>
          <w:bCs/>
          <w:u w:val="single"/>
          <w:lang w:val="es-ES_tradnl"/>
        </w:rPr>
        <w:t>UIT</w:t>
      </w:r>
      <w:proofErr w:type="spellEnd"/>
      <w:r w:rsidRPr="00B03A7B">
        <w:rPr>
          <w:bCs/>
          <w:u w:val="single"/>
          <w:lang w:val="es-ES_tradnl"/>
        </w:rPr>
        <w:t xml:space="preserve">-R </w:t>
      </w:r>
      <w:proofErr w:type="spellStart"/>
      <w:r w:rsidRPr="00B03A7B">
        <w:rPr>
          <w:bCs/>
          <w:u w:val="single"/>
          <w:lang w:val="es-ES_tradnl"/>
        </w:rPr>
        <w:t>S.1503</w:t>
      </w:r>
      <w:proofErr w:type="spellEnd"/>
      <w:r w:rsidRPr="00B03A7B">
        <w:rPr>
          <w:bCs/>
          <w:u w:val="single"/>
          <w:lang w:val="es-ES_tradnl"/>
        </w:rPr>
        <w:t>-2</w:t>
      </w:r>
      <w:r w:rsidRPr="00B03A7B">
        <w:rPr>
          <w:rStyle w:val="RectitleChar"/>
          <w:rFonts w:asciiTheme="minorHAnsi" w:hAnsiTheme="minorHAnsi" w:cstheme="minorHAnsi"/>
          <w:bCs/>
          <w:szCs w:val="24"/>
          <w:lang w:val="es-ES_tradnl"/>
        </w:rPr>
        <w:tab/>
      </w:r>
      <w:r w:rsidRPr="004D0CD8">
        <w:rPr>
          <w:rStyle w:val="RectitleChar"/>
          <w:rFonts w:asciiTheme="minorHAnsi" w:hAnsiTheme="minorHAnsi" w:cstheme="minorHAnsi"/>
          <w:b w:val="0"/>
          <w:bCs/>
          <w:sz w:val="24"/>
          <w:szCs w:val="24"/>
          <w:lang w:val="es-ES_tradnl"/>
        </w:rPr>
        <w:t>Doc. 4/41</w:t>
      </w:r>
    </w:p>
    <w:p w:rsidR="002A0CAC" w:rsidRDefault="002A0CAC" w:rsidP="00330801">
      <w:pPr>
        <w:spacing w:before="360"/>
        <w:jc w:val="center"/>
        <w:rPr>
          <w:b/>
          <w:bCs/>
          <w:sz w:val="28"/>
          <w:szCs w:val="28"/>
          <w:lang w:val="es-ES_tradnl"/>
        </w:rPr>
      </w:pPr>
      <w:r w:rsidRPr="00B03A7B">
        <w:rPr>
          <w:b/>
          <w:bCs/>
          <w:sz w:val="28"/>
          <w:szCs w:val="28"/>
          <w:lang w:val="es-ES_tradnl"/>
        </w:rPr>
        <w:t xml:space="preserve">Descripción funcional que ha de utilizarse en el desarrollo de herramientas informáticas para determinar la conformidad de las redes de satélites no geoestacionarios del servicio fijo por satélite con los límites contenidos </w:t>
      </w:r>
      <w:r w:rsidR="00A7045B">
        <w:rPr>
          <w:b/>
          <w:bCs/>
          <w:sz w:val="28"/>
          <w:szCs w:val="28"/>
          <w:lang w:val="es-ES_tradnl"/>
        </w:rPr>
        <w:br/>
      </w:r>
      <w:r w:rsidRPr="00B03A7B">
        <w:rPr>
          <w:b/>
          <w:bCs/>
          <w:sz w:val="28"/>
          <w:szCs w:val="28"/>
          <w:lang w:val="es-ES_tradnl"/>
        </w:rPr>
        <w:t xml:space="preserve">en el Artículo 22 del Reglamento de Radiocomunicaciones </w:t>
      </w:r>
    </w:p>
    <w:p w:rsidR="002A0CAC" w:rsidRPr="00B03A7B" w:rsidRDefault="002A0CAC" w:rsidP="007F7DA6">
      <w:pPr>
        <w:spacing w:before="240"/>
        <w:rPr>
          <w:szCs w:val="24"/>
          <w:lang w:val="es-ES_tradnl"/>
        </w:rPr>
      </w:pPr>
      <w:r w:rsidRPr="00B03A7B">
        <w:rPr>
          <w:szCs w:val="24"/>
          <w:lang w:val="es-ES_tradnl"/>
        </w:rPr>
        <w:t xml:space="preserve">Esta revisión </w:t>
      </w:r>
      <w:r w:rsidRPr="00B03A7B">
        <w:rPr>
          <w:rFonts w:eastAsia="MS Mincho"/>
          <w:szCs w:val="24"/>
          <w:lang w:val="es-ES_tradnl"/>
        </w:rPr>
        <w:t xml:space="preserve">comprende </w:t>
      </w:r>
      <w:r w:rsidRPr="00B03A7B">
        <w:rPr>
          <w:szCs w:val="24"/>
          <w:lang w:val="es-ES_tradnl"/>
        </w:rPr>
        <w:t>las siguientes modificaciones:</w:t>
      </w:r>
    </w:p>
    <w:p w:rsidR="002A0CAC" w:rsidRPr="00B03A7B" w:rsidRDefault="002A0CAC" w:rsidP="002A0CAC">
      <w:pPr>
        <w:pStyle w:val="enumlev1"/>
        <w:rPr>
          <w:szCs w:val="24"/>
          <w:lang w:val="es-ES_tradnl"/>
        </w:rPr>
      </w:pPr>
      <w:r w:rsidRPr="00B03A7B">
        <w:rPr>
          <w:szCs w:val="24"/>
          <w:lang w:val="es-ES_tradnl"/>
        </w:rPr>
        <w:t>1)</w:t>
      </w:r>
      <w:r w:rsidRPr="00B03A7B">
        <w:rPr>
          <w:szCs w:val="24"/>
          <w:lang w:val="es-ES_tradnl"/>
        </w:rPr>
        <w:tab/>
        <w:t xml:space="preserve">incremento de la flexibilidad de los parámetros de entrada, por ejemplo, para permitir variaciones </w:t>
      </w:r>
      <w:r>
        <w:rPr>
          <w:szCs w:val="24"/>
          <w:lang w:val="es-ES_tradnl"/>
        </w:rPr>
        <w:t xml:space="preserve">en </w:t>
      </w:r>
      <w:r w:rsidRPr="00B03A7B">
        <w:rPr>
          <w:szCs w:val="24"/>
          <w:lang w:val="es-ES_tradnl"/>
        </w:rPr>
        <w:t xml:space="preserve">el tamaño de la zona de exclusión </w:t>
      </w:r>
      <w:r>
        <w:rPr>
          <w:szCs w:val="24"/>
          <w:lang w:val="es-ES_tradnl"/>
        </w:rPr>
        <w:t>con arreglo a</w:t>
      </w:r>
      <w:r w:rsidRPr="00B03A7B">
        <w:rPr>
          <w:szCs w:val="24"/>
          <w:lang w:val="es-ES_tradnl"/>
        </w:rPr>
        <w:t xml:space="preserve"> la latitud y </w:t>
      </w:r>
      <w:r>
        <w:rPr>
          <w:szCs w:val="24"/>
          <w:lang w:val="es-ES_tradnl"/>
        </w:rPr>
        <w:t xml:space="preserve">en </w:t>
      </w:r>
      <w:r w:rsidRPr="00B03A7B">
        <w:rPr>
          <w:szCs w:val="24"/>
          <w:lang w:val="es-ES_tradnl"/>
        </w:rPr>
        <w:t xml:space="preserve">el ángulo de elevación mínimo </w:t>
      </w:r>
      <w:r>
        <w:rPr>
          <w:szCs w:val="24"/>
          <w:lang w:val="es-ES_tradnl"/>
        </w:rPr>
        <w:t>con arreglo a</w:t>
      </w:r>
      <w:r w:rsidRPr="00B03A7B">
        <w:rPr>
          <w:szCs w:val="24"/>
          <w:lang w:val="es-ES_tradnl"/>
        </w:rPr>
        <w:t xml:space="preserve"> la latitud y </w:t>
      </w:r>
      <w:r>
        <w:rPr>
          <w:szCs w:val="24"/>
          <w:lang w:val="es-ES_tradnl"/>
        </w:rPr>
        <w:t>a</w:t>
      </w:r>
      <w:r w:rsidRPr="00B03A7B">
        <w:rPr>
          <w:szCs w:val="24"/>
          <w:lang w:val="es-ES_tradnl"/>
        </w:rPr>
        <w:t>l acimut;</w:t>
      </w:r>
    </w:p>
    <w:p w:rsidR="002A0CAC" w:rsidRPr="00B03A7B" w:rsidRDefault="002A0CAC" w:rsidP="002A0CAC">
      <w:pPr>
        <w:pStyle w:val="enumlev1"/>
        <w:rPr>
          <w:szCs w:val="24"/>
          <w:lang w:val="es-ES_tradnl"/>
        </w:rPr>
      </w:pPr>
      <w:r w:rsidRPr="00B03A7B">
        <w:rPr>
          <w:szCs w:val="24"/>
          <w:lang w:val="es-ES_tradnl"/>
        </w:rPr>
        <w:t>2)</w:t>
      </w:r>
      <w:r w:rsidRPr="00B03A7B">
        <w:rPr>
          <w:szCs w:val="24"/>
          <w:lang w:val="es-ES_tradnl"/>
        </w:rPr>
        <w:tab/>
        <w:t xml:space="preserve">inclusión de la capacidad de definir un período de seguimiento mínimo entre traspasos en el cálculo de la </w:t>
      </w:r>
      <w:r w:rsidRPr="00B03A7B">
        <w:rPr>
          <w:lang w:val="es-ES_tradnl"/>
        </w:rPr>
        <w:t>densidad de flujo de potencia equivalente</w:t>
      </w:r>
      <w:r w:rsidRPr="00B03A7B">
        <w:rPr>
          <w:szCs w:val="24"/>
          <w:lang w:val="es-ES_tradnl"/>
        </w:rPr>
        <w:t xml:space="preserve"> (inferior);</w:t>
      </w:r>
    </w:p>
    <w:p w:rsidR="002A0CAC" w:rsidRPr="00B03A7B" w:rsidRDefault="002A0CAC" w:rsidP="002A0CAC">
      <w:pPr>
        <w:pStyle w:val="enumlev1"/>
        <w:rPr>
          <w:szCs w:val="24"/>
          <w:lang w:val="es-ES_tradnl"/>
        </w:rPr>
      </w:pPr>
      <w:r w:rsidRPr="00B03A7B">
        <w:rPr>
          <w:szCs w:val="24"/>
          <w:lang w:val="es-ES_tradnl"/>
        </w:rPr>
        <w:t>3)</w:t>
      </w:r>
      <w:r w:rsidRPr="00B03A7B">
        <w:rPr>
          <w:szCs w:val="24"/>
          <w:lang w:val="es-ES_tradnl"/>
        </w:rPr>
        <w:tab/>
        <w:t>reestructuración del formato de los elementos de datos, a fin de permitir que los parámetros de</w:t>
      </w:r>
      <w:r>
        <w:rPr>
          <w:szCs w:val="24"/>
          <w:lang w:val="es-ES_tradnl"/>
        </w:rPr>
        <w:t xml:space="preserve"> </w:t>
      </w:r>
      <w:r w:rsidRPr="00B03A7B">
        <w:rPr>
          <w:szCs w:val="24"/>
          <w:lang w:val="es-ES_tradnl"/>
        </w:rPr>
        <w:t>l</w:t>
      </w:r>
      <w:r>
        <w:rPr>
          <w:szCs w:val="24"/>
          <w:lang w:val="es-ES_tradnl"/>
        </w:rPr>
        <w:t>os</w:t>
      </w:r>
      <w:r w:rsidRPr="00B03A7B">
        <w:rPr>
          <w:szCs w:val="24"/>
          <w:lang w:val="es-ES_tradnl"/>
        </w:rPr>
        <w:t xml:space="preserve"> sistema</w:t>
      </w:r>
      <w:r>
        <w:rPr>
          <w:szCs w:val="24"/>
          <w:lang w:val="es-ES_tradnl"/>
        </w:rPr>
        <w:t>s</w:t>
      </w:r>
      <w:r w:rsidRPr="00B03A7B">
        <w:rPr>
          <w:szCs w:val="24"/>
          <w:lang w:val="es-ES_tradnl"/>
        </w:rPr>
        <w:t xml:space="preserve"> no </w:t>
      </w:r>
      <w:proofErr w:type="spellStart"/>
      <w:r w:rsidRPr="00B03A7B">
        <w:rPr>
          <w:szCs w:val="24"/>
          <w:lang w:val="es-ES_tradnl"/>
        </w:rPr>
        <w:t>OSG</w:t>
      </w:r>
      <w:proofErr w:type="spellEnd"/>
      <w:r w:rsidRPr="00B03A7B">
        <w:rPr>
          <w:szCs w:val="24"/>
          <w:lang w:val="es-ES_tradnl"/>
        </w:rPr>
        <w:t xml:space="preserve"> varíen entre las bandas de frecuencia, y simplificación del ángulo de la zona de exclusión a únicamente alfa;</w:t>
      </w:r>
    </w:p>
    <w:p w:rsidR="002A0CAC" w:rsidRPr="00B03A7B" w:rsidRDefault="002A0CAC" w:rsidP="002A0CAC">
      <w:pPr>
        <w:pStyle w:val="enumlev1"/>
        <w:rPr>
          <w:szCs w:val="24"/>
          <w:lang w:val="es-ES_tradnl"/>
        </w:rPr>
      </w:pPr>
      <w:r w:rsidRPr="00B03A7B">
        <w:rPr>
          <w:szCs w:val="24"/>
          <w:lang w:val="es-ES_tradnl"/>
        </w:rPr>
        <w:t>4)</w:t>
      </w:r>
      <w:r w:rsidRPr="00B03A7B">
        <w:rPr>
          <w:szCs w:val="24"/>
          <w:lang w:val="es-ES_tradnl"/>
        </w:rPr>
        <w:tab/>
        <w:t xml:space="preserve">capacidad para manejar constelaciones no </w:t>
      </w:r>
      <w:proofErr w:type="spellStart"/>
      <w:r w:rsidRPr="00B03A7B">
        <w:rPr>
          <w:szCs w:val="24"/>
          <w:lang w:val="es-ES_tradnl"/>
        </w:rPr>
        <w:t>OSG</w:t>
      </w:r>
      <w:proofErr w:type="spellEnd"/>
      <w:r w:rsidRPr="00B03A7B">
        <w:rPr>
          <w:szCs w:val="24"/>
          <w:lang w:val="es-ES_tradnl"/>
        </w:rPr>
        <w:t xml:space="preserve"> compuestas de múltiples constelaciones secundarias;</w:t>
      </w:r>
    </w:p>
    <w:p w:rsidR="002A0CAC" w:rsidRPr="00B03A7B" w:rsidRDefault="002A0CAC" w:rsidP="002A0CAC">
      <w:pPr>
        <w:pStyle w:val="enumlev1"/>
        <w:rPr>
          <w:szCs w:val="24"/>
          <w:lang w:val="es-ES_tradnl"/>
        </w:rPr>
      </w:pPr>
      <w:r w:rsidRPr="00B03A7B">
        <w:rPr>
          <w:szCs w:val="24"/>
          <w:lang w:val="es-ES_tradnl"/>
        </w:rPr>
        <w:t>5)</w:t>
      </w:r>
      <w:r w:rsidRPr="00B03A7B">
        <w:rPr>
          <w:szCs w:val="24"/>
          <w:lang w:val="es-ES_tradnl"/>
        </w:rPr>
        <w:tab/>
        <w:t>mejora del algoritmo geométrico del caso más desfavorable, y</w:t>
      </w:r>
    </w:p>
    <w:p w:rsidR="002A0CAC" w:rsidRPr="00B03A7B" w:rsidRDefault="002A0CAC" w:rsidP="002A0CAC">
      <w:pPr>
        <w:pStyle w:val="enumlev1"/>
        <w:rPr>
          <w:szCs w:val="24"/>
          <w:lang w:val="es-ES_tradnl"/>
        </w:rPr>
      </w:pPr>
      <w:r w:rsidRPr="00B03A7B">
        <w:rPr>
          <w:szCs w:val="24"/>
          <w:lang w:val="es-ES_tradnl"/>
        </w:rPr>
        <w:t>6)</w:t>
      </w:r>
      <w:r w:rsidRPr="00B03A7B">
        <w:rPr>
          <w:szCs w:val="24"/>
          <w:lang w:val="es-ES_tradnl"/>
        </w:rPr>
        <w:tab/>
        <w:t>mejoras generales en términos de legibilidad, incluidas aclaraciones, e inclusión de un método analítico para calcular alfa.</w:t>
      </w:r>
      <w:bookmarkStart w:id="2" w:name="_GoBack"/>
      <w:bookmarkEnd w:id="2"/>
    </w:p>
    <w:p w:rsidR="004D0CD8" w:rsidRPr="00F570C1" w:rsidRDefault="004D0CD8" w:rsidP="0032202E">
      <w:pPr>
        <w:pStyle w:val="Reasons"/>
        <w:rPr>
          <w:lang w:val="es-ES"/>
        </w:rPr>
      </w:pPr>
    </w:p>
    <w:p w:rsidR="00623AE3" w:rsidRDefault="004D0CD8" w:rsidP="004D0CD8">
      <w:pPr>
        <w:jc w:val="center"/>
      </w:pPr>
      <w:r>
        <w:t>______________</w:t>
      </w:r>
    </w:p>
    <w:sectPr w:rsidR="00623AE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Unión Internacional de Telecomunicaciones • Place des Nations • CH</w:t>
    </w:r>
    <w:r w:rsidRPr="0056695E">
      <w:rPr>
        <w:sz w:val="18"/>
        <w:szCs w:val="18"/>
        <w:lang w:val="es-ES_tradnl"/>
      </w:rPr>
      <w:noBreakHyphen/>
      <w:t>1211 Ginebra 20 • Suiza</w:t>
    </w:r>
    <w:r w:rsidRPr="0056695E">
      <w:rPr>
        <w:sz w:val="18"/>
        <w:szCs w:val="18"/>
        <w:lang w:val="es-ES_tradnl"/>
      </w:rPr>
      <w:br/>
      <w:t xml:space="preserve">Tel: +41 22 730 5111 • Fax: +41 22 733 7256 • Correo-e: </w:t>
    </w:r>
    <w:r w:rsidR="009F1A2F">
      <w:fldChar w:fldCharType="begin"/>
    </w:r>
    <w:r w:rsidR="009F1A2F" w:rsidRPr="000273C1">
      <w:rPr>
        <w:lang w:val="es-ES_tradnl"/>
        <w:rPrChange w:id="3" w:author="^_^" w:date="2017-05-03T12:34:00Z">
          <w:rPr/>
        </w:rPrChange>
      </w:rPr>
      <w:instrText xml:space="preserve"> HYPERLINK "mailto:itumail@itu.int" </w:instrText>
    </w:r>
    <w:r w:rsidR="009F1A2F">
      <w:fldChar w:fldCharType="separate"/>
    </w:r>
    <w:proofErr w:type="spellStart"/>
    <w:r w:rsidRPr="0056695E">
      <w:rPr>
        <w:rStyle w:val="Hyperlink"/>
        <w:sz w:val="18"/>
        <w:szCs w:val="18"/>
        <w:lang w:val="es-ES_tradnl"/>
      </w:rPr>
      <w:t>itumail@itu.int</w:t>
    </w:r>
    <w:proofErr w:type="spellEnd"/>
    <w:r w:rsidR="009F1A2F">
      <w:rPr>
        <w:rStyle w:val="Hyperlink"/>
        <w:sz w:val="18"/>
        <w:szCs w:val="18"/>
        <w:lang w:val="es-ES_tradnl"/>
      </w:rPr>
      <w:fldChar w:fldCharType="end"/>
    </w:r>
    <w:r w:rsidRPr="0056695E">
      <w:rPr>
        <w:sz w:val="18"/>
        <w:szCs w:val="18"/>
        <w:lang w:val="es-ES_tradnl"/>
      </w:rPr>
      <w:t xml:space="preserve"> • </w:t>
    </w:r>
    <w:r w:rsidR="009F1A2F">
      <w:fldChar w:fldCharType="begin"/>
    </w:r>
    <w:r w:rsidR="009F1A2F" w:rsidRPr="000273C1">
      <w:rPr>
        <w:lang w:val="es-ES_tradnl"/>
        <w:rPrChange w:id="4" w:author="^_^" w:date="2017-05-03T12:34:00Z">
          <w:rPr/>
        </w:rPrChange>
      </w:rPr>
      <w:instrText xml:space="preserve"> HYPERLINK "http://www.itu.int/en/pages/default.aspx" </w:instrText>
    </w:r>
    <w:r w:rsidR="009F1A2F">
      <w:fldChar w:fldCharType="separate"/>
    </w:r>
    <w:proofErr w:type="spellStart"/>
    <w:r w:rsidRPr="0056695E">
      <w:rPr>
        <w:rStyle w:val="Hyperlink"/>
        <w:sz w:val="18"/>
        <w:szCs w:val="18"/>
        <w:lang w:val="es-ES_tradnl"/>
      </w:rPr>
      <w:t>www.itu.int</w:t>
    </w:r>
    <w:proofErr w:type="spellEnd"/>
    <w:r w:rsidR="009F1A2F">
      <w:rPr>
        <w:rStyle w:val="Hyperlink"/>
        <w:sz w:val="18"/>
        <w:szCs w:val="18"/>
        <w:lang w:val="es-ES_tradnl"/>
      </w:rPr>
      <w:fldChar w:fldCharType="end"/>
    </w:r>
    <w:r w:rsidRPr="0056695E">
      <w:rPr>
        <w:sz w:val="18"/>
        <w:szCs w:val="18"/>
        <w:lang w:val="es-ES_tradnl"/>
      </w:rPr>
      <w:t xml:space="preserve"> </w:t>
    </w:r>
  </w:p>
  <w:p w:rsidR="00CD1697" w:rsidRPr="0046524F" w:rsidRDefault="0046524F" w:rsidP="0046524F">
    <w:pPr>
      <w:pStyle w:val="FirstFooter"/>
      <w:spacing w:before="0" w:line="240" w:lineRule="auto"/>
      <w:ind w:left="-397" w:right="-397"/>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227AB">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7045B">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96C71" w:rsidTr="00685F35">
      <w:tc>
        <w:tcPr>
          <w:tcW w:w="4961" w:type="dxa"/>
        </w:tcPr>
        <w:p w:rsidR="00C96C71" w:rsidRDefault="00C96C71" w:rsidP="00C96C71">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96C71" w:rsidRDefault="00C96C71" w:rsidP="00C96C71">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CD1697" w:rsidRPr="00C96C71" w:rsidRDefault="00CD1697" w:rsidP="00C96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1E5"/>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8193E"/>
    <w:rsid w:val="00283C3B"/>
    <w:rsid w:val="002861E6"/>
    <w:rsid w:val="00287D18"/>
    <w:rsid w:val="002A0CAC"/>
    <w:rsid w:val="002A2618"/>
    <w:rsid w:val="002A5DD7"/>
    <w:rsid w:val="002B0CAC"/>
    <w:rsid w:val="002C09A3"/>
    <w:rsid w:val="002D5A15"/>
    <w:rsid w:val="002D5BDD"/>
    <w:rsid w:val="002E3D27"/>
    <w:rsid w:val="002E6646"/>
    <w:rsid w:val="002F0890"/>
    <w:rsid w:val="002F2531"/>
    <w:rsid w:val="002F4967"/>
    <w:rsid w:val="00306452"/>
    <w:rsid w:val="00316935"/>
    <w:rsid w:val="003266ED"/>
    <w:rsid w:val="00326C68"/>
    <w:rsid w:val="0033029C"/>
    <w:rsid w:val="00330801"/>
    <w:rsid w:val="003370B8"/>
    <w:rsid w:val="003428EF"/>
    <w:rsid w:val="00345D38"/>
    <w:rsid w:val="00352097"/>
    <w:rsid w:val="003666FF"/>
    <w:rsid w:val="0037309C"/>
    <w:rsid w:val="00380A6E"/>
    <w:rsid w:val="003836D4"/>
    <w:rsid w:val="00392833"/>
    <w:rsid w:val="003974CD"/>
    <w:rsid w:val="003A1F49"/>
    <w:rsid w:val="003A55ED"/>
    <w:rsid w:val="003A5D52"/>
    <w:rsid w:val="003B0C8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0CD8"/>
    <w:rsid w:val="004D733B"/>
    <w:rsid w:val="004E0DC4"/>
    <w:rsid w:val="004E0FB5"/>
    <w:rsid w:val="004E43BB"/>
    <w:rsid w:val="004E460D"/>
    <w:rsid w:val="004E61C7"/>
    <w:rsid w:val="004E772A"/>
    <w:rsid w:val="004F1719"/>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27A"/>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B6C70"/>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7F7DA6"/>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371F2"/>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A2F"/>
    <w:rsid w:val="00A119E6"/>
    <w:rsid w:val="00A20FBC"/>
    <w:rsid w:val="00A243E2"/>
    <w:rsid w:val="00A25788"/>
    <w:rsid w:val="00A31370"/>
    <w:rsid w:val="00A34D6F"/>
    <w:rsid w:val="00A41F91"/>
    <w:rsid w:val="00A63355"/>
    <w:rsid w:val="00A7045B"/>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A6BBC"/>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3777F"/>
    <w:rsid w:val="00D41571"/>
    <w:rsid w:val="00D416A0"/>
    <w:rsid w:val="00D45A40"/>
    <w:rsid w:val="00D47672"/>
    <w:rsid w:val="00D5123C"/>
    <w:rsid w:val="00D51756"/>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27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424BF"/>
    <w:rsid w:val="00F44FC3"/>
    <w:rsid w:val="00F46107"/>
    <w:rsid w:val="00F468C5"/>
    <w:rsid w:val="00F52F39"/>
    <w:rsid w:val="00F570C1"/>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RectitleChar">
    <w:name w:val="Rec_title Char"/>
    <w:link w:val="Rectitle"/>
    <w:uiPriority w:val="99"/>
    <w:rsid w:val="002A0CAC"/>
    <w:rPr>
      <w:b/>
      <w:sz w:val="28"/>
      <w:szCs w:val="22"/>
      <w:lang w:val="en-US" w:eastAsia="en-US"/>
    </w:rPr>
  </w:style>
  <w:style w:type="character" w:customStyle="1" w:styleId="enumlev10">
    <w:name w:val="enumlev1 Знак"/>
    <w:link w:val="enumlev1"/>
    <w:rsid w:val="002A0CA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4-C-0040/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4-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4-C-0041/en" TargetMode="External"/><Relationship Id="rId4" Type="http://schemas.openxmlformats.org/officeDocument/2006/relationships/settings" Target="settings.xml"/><Relationship Id="rId9" Type="http://schemas.openxmlformats.org/officeDocument/2006/relationships/hyperlink" Target="https://www.itu.int/md/R15-SG04-C-0037/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C67E-0099-4402-BC9D-8C3DCE21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68</TotalTime>
  <Pages>4</Pages>
  <Words>1057</Words>
  <Characters>6366</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^_^</cp:lastModifiedBy>
  <cp:revision>15</cp:revision>
  <cp:lastPrinted>2017-11-13T11:26:00Z</cp:lastPrinted>
  <dcterms:created xsi:type="dcterms:W3CDTF">2017-11-08T09:17:00Z</dcterms:created>
  <dcterms:modified xsi:type="dcterms:W3CDTF">2017-11-13T14:23:00Z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